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F7" w:rsidRPr="00A631E9" w:rsidRDefault="006727F7" w:rsidP="006727F7">
      <w:pPr>
        <w:pStyle w:val="Szvegtrzsbehzssal"/>
        <w:spacing w:line="360" w:lineRule="auto"/>
        <w:ind w:left="0"/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A631E9">
        <w:rPr>
          <w:sz w:val="28"/>
          <w:szCs w:val="28"/>
          <w:u w:val="single"/>
        </w:rPr>
        <w:t xml:space="preserve">Koncepció 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center"/>
        <w:rPr>
          <w:i/>
          <w:sz w:val="26"/>
          <w:szCs w:val="26"/>
        </w:rPr>
      </w:pPr>
      <w:proofErr w:type="gramStart"/>
      <w:r>
        <w:rPr>
          <w:i/>
          <w:sz w:val="26"/>
          <w:szCs w:val="26"/>
        </w:rPr>
        <w:t>az</w:t>
      </w:r>
      <w:proofErr w:type="gramEnd"/>
      <w:r>
        <w:rPr>
          <w:i/>
          <w:sz w:val="26"/>
          <w:szCs w:val="26"/>
        </w:rPr>
        <w:t xml:space="preserve"> Erzsébetvárosi </w:t>
      </w:r>
      <w:proofErr w:type="spellStart"/>
      <w:r>
        <w:rPr>
          <w:i/>
          <w:sz w:val="26"/>
          <w:szCs w:val="26"/>
        </w:rPr>
        <w:t>Pe</w:t>
      </w:r>
      <w:r w:rsidRPr="00A631E9">
        <w:rPr>
          <w:i/>
          <w:sz w:val="26"/>
          <w:szCs w:val="26"/>
        </w:rPr>
        <w:t>dagógiai-Szakmai</w:t>
      </w:r>
      <w:proofErr w:type="spellEnd"/>
      <w:r w:rsidRPr="00A631E9">
        <w:rPr>
          <w:i/>
          <w:sz w:val="26"/>
          <w:szCs w:val="26"/>
        </w:rPr>
        <w:t xml:space="preserve"> Szolgáltató Intézmény (EPSZK) feladatainak 2012. évi feladatainak ellátásáról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Pr="00B85942" w:rsidRDefault="006727F7" w:rsidP="006727F7">
      <w:pPr>
        <w:pStyle w:val="Szvegtrzsbehzssal"/>
        <w:spacing w:line="360" w:lineRule="auto"/>
        <w:ind w:left="0"/>
        <w:jc w:val="both"/>
        <w:rPr>
          <w:b/>
          <w:sz w:val="26"/>
          <w:szCs w:val="26"/>
          <w:u w:val="single"/>
        </w:rPr>
      </w:pPr>
      <w:r w:rsidRPr="00B85942">
        <w:rPr>
          <w:b/>
          <w:sz w:val="26"/>
          <w:szCs w:val="26"/>
        </w:rPr>
        <w:t xml:space="preserve">I. </w:t>
      </w:r>
      <w:r w:rsidRPr="00B85942">
        <w:rPr>
          <w:b/>
          <w:sz w:val="26"/>
          <w:szCs w:val="26"/>
          <w:u w:val="single"/>
        </w:rPr>
        <w:t>Jogszabályi háttér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  <w:r w:rsidRPr="00B85942">
        <w:rPr>
          <w:sz w:val="26"/>
          <w:szCs w:val="26"/>
        </w:rPr>
        <w:t xml:space="preserve">       </w:t>
      </w:r>
      <w:r w:rsidRPr="00A631E9">
        <w:t xml:space="preserve">A pedagógiai szakmai szolgáltatásokról a módosítások sorát megélt </w:t>
      </w:r>
      <w:r w:rsidRPr="00A631E9">
        <w:rPr>
          <w:b/>
        </w:rPr>
        <w:t xml:space="preserve">1993. évi LXXIX. törvény, </w:t>
      </w:r>
      <w:r w:rsidRPr="00A631E9">
        <w:t>valamint</w:t>
      </w:r>
      <w:r w:rsidRPr="00A631E9">
        <w:rPr>
          <w:b/>
        </w:rPr>
        <w:t xml:space="preserve"> a 10/1994. (V. 13.) MKM rendelet</w:t>
      </w:r>
      <w:r w:rsidRPr="00A631E9">
        <w:t xml:space="preserve"> szól részletesen. Ez utóbbi kizárólag a pedagógiai-szakmai szolgáltatásokat ellátó intézményekről és a pedagógiai-szakmai szolgáltatásokban való közreműködés feltételeiről rendelkezik. A rendelet a pedagógiai értékelés ellátását, a szaktanácsadást, a pedagógiai tájékoztatást és az igazgatási, pedagógiai szolgáltatás módszereit (példának okáért a pedagógusok továbbképzését) írja le.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  <w:r w:rsidRPr="00A631E9">
        <w:t xml:space="preserve">       </w:t>
      </w:r>
      <w:r w:rsidRPr="00A631E9">
        <w:rPr>
          <w:b/>
        </w:rPr>
        <w:t xml:space="preserve">A jelenleg hatályos </w:t>
      </w:r>
      <w:r w:rsidRPr="00A631E9">
        <w:rPr>
          <w:b/>
          <w:i/>
        </w:rPr>
        <w:t>1993. évi LXXIX. törvény a közoktatásról</w:t>
      </w:r>
      <w:r w:rsidRPr="00A631E9">
        <w:rPr>
          <w:b/>
        </w:rPr>
        <w:t xml:space="preserve"> 36. szakasza (2) pontja</w:t>
      </w:r>
      <w:r w:rsidRPr="00A631E9">
        <w:t xml:space="preserve"> a közoktatási intézményekben folytatott </w:t>
      </w:r>
      <w:r w:rsidRPr="00A631E9">
        <w:rPr>
          <w:b/>
        </w:rPr>
        <w:t>pedagógiai–szakmai szolgáltatásokat definiálja</w:t>
      </w:r>
      <w:r w:rsidRPr="00A631E9">
        <w:t xml:space="preserve"> a következőképpen: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Pedagógiai értékelés, amely a közoktatási intézményekben végzett oktató-nevelő munka eredményességét hivatott mérni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Szaktanácsadás, amelynek lényegi feladata a jó pedagógiai gyakorlati módszerek megismertetése és terjesztése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Pedagógiai tájékoztatás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Igazgatási, pedagógiai szolgáltatás (minta tantervek készítése, iskolaszerkezeti tanácsadás, stb.)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Pedagógusok képzésének, továbbképzésének szervezése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Tanulmányi és tehetséggondozó versenyek szervezése</w:t>
      </w:r>
    </w:p>
    <w:p w:rsidR="006727F7" w:rsidRPr="00A631E9" w:rsidRDefault="006727F7" w:rsidP="006727F7">
      <w:pPr>
        <w:pStyle w:val="Szvegtrzsbehzssal"/>
        <w:numPr>
          <w:ilvl w:val="0"/>
          <w:numId w:val="1"/>
        </w:numPr>
        <w:spacing w:line="360" w:lineRule="auto"/>
        <w:jc w:val="both"/>
      </w:pPr>
      <w:r w:rsidRPr="00A631E9">
        <w:t>Tanuló tájékoztató, tanácsadó szolgálat (diákönkormányzatok segítése, pályaválasztás, stb.)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  <w:rPr>
          <w:b/>
          <w:i/>
        </w:rPr>
      </w:pPr>
      <w:r w:rsidRPr="00A631E9">
        <w:rPr>
          <w:b/>
        </w:rPr>
        <w:t xml:space="preserve">      A törvény</w:t>
      </w:r>
      <w:r w:rsidRPr="00A631E9">
        <w:t xml:space="preserve"> idézett szakaszának (3) pontja </w:t>
      </w:r>
      <w:r w:rsidRPr="00A631E9">
        <w:rPr>
          <w:b/>
        </w:rPr>
        <w:t>szerint</w:t>
      </w:r>
      <w:r w:rsidRPr="00A631E9">
        <w:t xml:space="preserve"> pedig </w:t>
      </w:r>
      <w:r w:rsidRPr="00A631E9">
        <w:rPr>
          <w:b/>
        </w:rPr>
        <w:t>mindezen feladatokat</w:t>
      </w:r>
      <w:r w:rsidRPr="00A631E9">
        <w:t xml:space="preserve"> </w:t>
      </w:r>
      <w:r w:rsidRPr="00A631E9">
        <w:rPr>
          <w:b/>
          <w:i/>
        </w:rPr>
        <w:t>„az igényeknek megfelelően kell szervezni.”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  <w:rPr>
          <w:b/>
          <w:sz w:val="26"/>
          <w:szCs w:val="26"/>
          <w:u w:val="single"/>
        </w:rPr>
      </w:pPr>
    </w:p>
    <w:p w:rsidR="006727F7" w:rsidRDefault="006727F7" w:rsidP="006727F7">
      <w:pPr>
        <w:pStyle w:val="Szvegtrzsbehzssal"/>
        <w:spacing w:line="360" w:lineRule="auto"/>
        <w:ind w:left="0"/>
        <w:jc w:val="both"/>
        <w:rPr>
          <w:b/>
          <w:sz w:val="26"/>
          <w:szCs w:val="26"/>
          <w:u w:val="single"/>
        </w:rPr>
      </w:pPr>
      <w:r w:rsidRPr="00B85942">
        <w:rPr>
          <w:b/>
          <w:sz w:val="26"/>
          <w:szCs w:val="26"/>
          <w:u w:val="single"/>
        </w:rPr>
        <w:lastRenderedPageBreak/>
        <w:t xml:space="preserve">II. Az EPSZK feladatainak elláthatósága a helyi igényeknek megfelelően   </w:t>
      </w:r>
    </w:p>
    <w:p w:rsidR="006727F7" w:rsidRPr="00B85942" w:rsidRDefault="006727F7" w:rsidP="006727F7">
      <w:pPr>
        <w:pStyle w:val="Szvegtrzsbehzssal"/>
        <w:spacing w:line="360" w:lineRule="auto"/>
        <w:ind w:left="0"/>
        <w:jc w:val="both"/>
        <w:rPr>
          <w:b/>
          <w:sz w:val="26"/>
          <w:szCs w:val="26"/>
          <w:u w:val="single"/>
        </w:rPr>
      </w:pP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  <w:r w:rsidRPr="00CA206F">
        <w:rPr>
          <w:b/>
          <w:sz w:val="26"/>
          <w:szCs w:val="26"/>
        </w:rPr>
        <w:t xml:space="preserve">      </w:t>
      </w:r>
      <w:r w:rsidRPr="00A631E9">
        <w:rPr>
          <w:b/>
        </w:rPr>
        <w:t>A jogszabályok nem rendelkeznek</w:t>
      </w:r>
      <w:r w:rsidRPr="00A631E9">
        <w:t xml:space="preserve"> arról, hogy a Budapest kerületi </w:t>
      </w:r>
      <w:r w:rsidRPr="00A631E9">
        <w:rPr>
          <w:b/>
        </w:rPr>
        <w:t>önkormányzatok kötelesek fenntartani pedagógiai-szakmai szolgáltató intézetet</w:t>
      </w:r>
      <w:r w:rsidRPr="00A631E9">
        <w:t xml:space="preserve">, </w:t>
      </w:r>
      <w:r w:rsidRPr="00A631E9">
        <w:rPr>
          <w:b/>
        </w:rPr>
        <w:t>amennyiben a feladatok más formában ellátásra kerülnek</w:t>
      </w:r>
      <w:r w:rsidRPr="00A631E9">
        <w:t xml:space="preserve">. Az utóbbi években – elsősorban a csökkenő finanszírozási lehetőségek miatt – a kerületek sorra szüntették meg a hasonló jellegű intézeteiket és a feladataikat külső szolgáltatók bevonásával, </w:t>
      </w:r>
      <w:r w:rsidRPr="00A631E9">
        <w:rPr>
          <w:b/>
        </w:rPr>
        <w:t>lényeges költségcsökkentéssel oldják meg</w:t>
      </w:r>
      <w:r w:rsidRPr="00A631E9">
        <w:t xml:space="preserve">, míg </w:t>
      </w:r>
      <w:r w:rsidRPr="00A631E9">
        <w:rPr>
          <w:b/>
        </w:rPr>
        <w:t>a szakmai hatékonyság csökkenése nem érzékelhető</w:t>
      </w:r>
      <w:r w:rsidRPr="00A631E9">
        <w:t>.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  <w:r w:rsidRPr="00A631E9">
        <w:t xml:space="preserve">      Figyelembe kell venni mindenképpen, hogy egyes feladatokat (szaktanácsadás, fővárosi versenyek, mérések) már a jelenleg működő rendszerben is </w:t>
      </w:r>
      <w:r w:rsidRPr="00A631E9">
        <w:rPr>
          <w:i/>
        </w:rPr>
        <w:t>„duplikátumként”</w:t>
      </w:r>
      <w:r w:rsidRPr="00A631E9">
        <w:t xml:space="preserve"> végeznek a helyi szolgáltatók, mivel </w:t>
      </w:r>
      <w:r w:rsidRPr="00A631E9">
        <w:rPr>
          <w:b/>
        </w:rPr>
        <w:t>a budapesti kerületek fenntartásában lévő közoktatási intézmények esetében a szaktanácsadási feladatok</w:t>
      </w:r>
      <w:r w:rsidRPr="00A631E9">
        <w:t xml:space="preserve"> általános iskolai szinten a Fazekas Mihály Fővárosi Gyakorló Iskolához, míg a középiskolai szaktanácsadás és a fővárosi versenyek szervezése a </w:t>
      </w:r>
      <w:proofErr w:type="spellStart"/>
      <w:r w:rsidRPr="00A631E9">
        <w:t>Mérei</w:t>
      </w:r>
      <w:proofErr w:type="spellEnd"/>
      <w:r w:rsidRPr="00A631E9">
        <w:t xml:space="preserve"> Ferenc Fővárosi Pedagógiai és Pályaválasztási Intézethez tartoznak.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  <w:r w:rsidRPr="00A631E9">
        <w:rPr>
          <w:b/>
        </w:rPr>
        <w:t xml:space="preserve">     Erzsébetváros esetében</w:t>
      </w:r>
      <w:r w:rsidRPr="00A631E9">
        <w:t xml:space="preserve"> továbbá a </w:t>
      </w:r>
      <w:r w:rsidRPr="00A631E9">
        <w:rPr>
          <w:b/>
        </w:rPr>
        <w:t>három fenntartott általános- és középiskola nem indokolja egy önálló pedagógiai szakmai szolgáltató intézmény fenntartását</w:t>
      </w:r>
      <w:r w:rsidRPr="00A631E9">
        <w:t xml:space="preserve">, </w:t>
      </w:r>
      <w:proofErr w:type="spellStart"/>
      <w:r w:rsidRPr="00A631E9">
        <w:t>mégha</w:t>
      </w:r>
      <w:proofErr w:type="spellEnd"/>
      <w:r w:rsidRPr="00A631E9">
        <w:t xml:space="preserve"> egy tradicionális központról van is szó. A kerületben (igaz, az óvodai nevelést nem számítva) az általános- és középiskolai feladatok ellátásához jelenleg 234 fő általános iskolai és 11 fő középiskolai pedagógus létszám szükséges, amely mellé egy külön intézményesült szakmai szolgáltató intézet fenntartása még a hagyományosan jóléti államokban, régiókban is kuriózumnak számítana. 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  <w:r>
        <w:t xml:space="preserve">     A fentiek tükrében az EPSZK megszűntetése indokolt és költséghatékony megoldás a közoktatási intézményekre fordított pénzügyi források ésszerű felhasználása érdekében.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  <w:r w:rsidRPr="00A631E9">
        <w:t xml:space="preserve">    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  <w:r w:rsidRPr="00A631E9">
        <w:t xml:space="preserve">      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  <w:r w:rsidRPr="00A631E9">
        <w:t xml:space="preserve">Az </w:t>
      </w:r>
      <w:r w:rsidRPr="00A631E9">
        <w:rPr>
          <w:b/>
        </w:rPr>
        <w:t>alábbiakban a jogszabályban részletezett feladatok</w:t>
      </w:r>
      <w:r w:rsidRPr="00A631E9">
        <w:t xml:space="preserve"> további </w:t>
      </w:r>
      <w:r w:rsidRPr="00A631E9">
        <w:rPr>
          <w:b/>
        </w:rPr>
        <w:t xml:space="preserve">ellátására </w:t>
      </w:r>
      <w:r w:rsidRPr="00A631E9">
        <w:t xml:space="preserve">(2012. január 1.- december 31.) javasolható </w:t>
      </w:r>
      <w:r w:rsidRPr="00A631E9">
        <w:rPr>
          <w:b/>
        </w:rPr>
        <w:t>lehetőségek leírása</w:t>
      </w:r>
      <w:r w:rsidRPr="00A631E9">
        <w:t xml:space="preserve"> található:</w:t>
      </w:r>
    </w:p>
    <w:p w:rsidR="006727F7" w:rsidRPr="00A631E9" w:rsidRDefault="006727F7" w:rsidP="006727F7">
      <w:pPr>
        <w:pStyle w:val="Szvegtrzsbehzssal"/>
        <w:spacing w:line="360" w:lineRule="auto"/>
        <w:ind w:left="0"/>
        <w:jc w:val="both"/>
      </w:pP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3642"/>
        <w:gridCol w:w="2127"/>
      </w:tblGrid>
      <w:tr w:rsidR="006727F7" w:rsidRPr="00284D77" w:rsidTr="000F6DA5">
        <w:trPr>
          <w:trHeight w:val="1031"/>
          <w:jc w:val="center"/>
        </w:trPr>
        <w:tc>
          <w:tcPr>
            <w:tcW w:w="2884" w:type="dxa"/>
            <w:shd w:val="clear" w:color="auto" w:fill="99CCFF"/>
            <w:vAlign w:val="center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284D77">
              <w:rPr>
                <w:b/>
                <w:sz w:val="26"/>
                <w:szCs w:val="26"/>
              </w:rPr>
              <w:lastRenderedPageBreak/>
              <w:t>Jogszabályi feladatok</w:t>
            </w:r>
          </w:p>
        </w:tc>
        <w:tc>
          <w:tcPr>
            <w:tcW w:w="3642" w:type="dxa"/>
            <w:shd w:val="clear" w:color="auto" w:fill="99CCFF"/>
            <w:vAlign w:val="center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284D77">
              <w:rPr>
                <w:b/>
                <w:sz w:val="26"/>
                <w:szCs w:val="26"/>
              </w:rPr>
              <w:t>Ellátás módja</w:t>
            </w:r>
          </w:p>
        </w:tc>
        <w:tc>
          <w:tcPr>
            <w:tcW w:w="2127" w:type="dxa"/>
            <w:shd w:val="clear" w:color="auto" w:fill="99CCFF"/>
            <w:vAlign w:val="center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284D77">
              <w:rPr>
                <w:b/>
                <w:sz w:val="26"/>
                <w:szCs w:val="26"/>
              </w:rPr>
              <w:t>Költség</w:t>
            </w:r>
          </w:p>
        </w:tc>
      </w:tr>
      <w:tr w:rsidR="006727F7" w:rsidRPr="00284D77" w:rsidTr="000F6DA5">
        <w:trPr>
          <w:trHeight w:val="2163"/>
          <w:jc w:val="center"/>
        </w:trPr>
        <w:tc>
          <w:tcPr>
            <w:tcW w:w="2884" w:type="dxa"/>
            <w:shd w:val="clear" w:color="auto" w:fill="FFCC99"/>
            <w:vAlign w:val="center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 w:rsidRPr="007E6B2C">
              <w:t>Pedagógiai értékelés, amely a közoktatási intézményekben végzett oktató-nevelő munka eredményességét hivatott mérni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708"/>
              <w:jc w:val="both"/>
            </w:pPr>
          </w:p>
        </w:tc>
        <w:tc>
          <w:tcPr>
            <w:tcW w:w="3642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Mivel a mérések és általában a kompetencia-szintek iskolánkénti összehasonlítása éppen ellentétes az országos oktatási koncepcióval, ez a feladat – amennyiben országos mérések lesznek egyáltalán a jövőben – az állami rendszerbe integrálódik.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</w:tc>
        <w:tc>
          <w:tcPr>
            <w:tcW w:w="2127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284D77">
              <w:rPr>
                <w:sz w:val="22"/>
                <w:szCs w:val="22"/>
              </w:rPr>
              <w:t>Nincsen költség</w:t>
            </w:r>
          </w:p>
        </w:tc>
      </w:tr>
      <w:tr w:rsidR="006727F7" w:rsidRPr="00284D77" w:rsidTr="000F6DA5">
        <w:trPr>
          <w:trHeight w:val="896"/>
          <w:jc w:val="center"/>
        </w:trPr>
        <w:tc>
          <w:tcPr>
            <w:tcW w:w="2884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>Szaktanácsadás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</w:tc>
        <w:tc>
          <w:tcPr>
            <w:tcW w:w="3642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 xml:space="preserve">A szaktanácsadói tevékenységet az iskolai nevelés-oktatás területén a Fazekas Mihály Gyakorló Isk. illetve a </w:t>
            </w:r>
            <w:proofErr w:type="spellStart"/>
            <w:r w:rsidRPr="00284D77">
              <w:rPr>
                <w:i/>
              </w:rPr>
              <w:t>Mérei</w:t>
            </w:r>
            <w:proofErr w:type="spellEnd"/>
            <w:r w:rsidRPr="00284D77">
              <w:rPr>
                <w:i/>
              </w:rPr>
              <w:t xml:space="preserve"> Ferenc FPPTI látja el térítésmentesen (Lásd: fentebb!)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A köznevelési törvény koncepciója alapján ezt a tevékenységet külső szakmai ellenőrök végzik a törvény hatályba lépése után, azaz a pedagógusok tevékenységét és a külső szakmai ellenőrzéseket nevelő-oktató munkát végző alkalmazottak, továbbá kiképzett mentorok, szakértők és szaktanácsadók segítik.</w:t>
            </w:r>
          </w:p>
          <w:p w:rsidR="006727F7" w:rsidRPr="007E6B2C" w:rsidRDefault="006727F7" w:rsidP="000F6DA5"/>
        </w:tc>
        <w:tc>
          <w:tcPr>
            <w:tcW w:w="2127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284D77">
              <w:rPr>
                <w:sz w:val="22"/>
                <w:szCs w:val="22"/>
              </w:rPr>
              <w:t>Nincsen költség</w:t>
            </w:r>
          </w:p>
        </w:tc>
      </w:tr>
      <w:tr w:rsidR="006727F7" w:rsidRPr="00284D77" w:rsidTr="000F6DA5">
        <w:trPr>
          <w:trHeight w:val="694"/>
          <w:jc w:val="center"/>
        </w:trPr>
        <w:tc>
          <w:tcPr>
            <w:tcW w:w="2884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 xml:space="preserve">Pedagógiai tájékoztatás 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>és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>Igazgatási, pedagógiai szolgáltatás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</w:tc>
        <w:tc>
          <w:tcPr>
            <w:tcW w:w="3642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Részben intézményvezetői feladat, amely az oktatási ágazatban történő változások követését, összegyűjtését és az intézményekben dolgozók pedagógiai tájékoztatását foglalja magában. Honlap-követéssel, a Fővárosi Pedagógiai Intézet honlapján minden információ megtalálható.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Minta-adatbázisok, kiegészítő kiadványok a Fővárosi Pedagógiai Intézetben találhatóak.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 xml:space="preserve">Konferenciák, módszertani napok szervezése, kiadványok kiadása külső gazdasági szervezet bevonásával szükséges a pedagógiai módszertan fejlesztésére. 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</w:p>
        </w:tc>
        <w:tc>
          <w:tcPr>
            <w:tcW w:w="2127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284D77">
              <w:rPr>
                <w:sz w:val="22"/>
                <w:szCs w:val="22"/>
              </w:rPr>
              <w:t>Kb. 10-12m.Ft.</w:t>
            </w:r>
          </w:p>
        </w:tc>
      </w:tr>
      <w:tr w:rsidR="006727F7" w:rsidRPr="00284D77" w:rsidTr="000F6DA5">
        <w:trPr>
          <w:trHeight w:val="70"/>
          <w:jc w:val="center"/>
        </w:trPr>
        <w:tc>
          <w:tcPr>
            <w:tcW w:w="2884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>Pedagógusok képzésének, továbbképzésének szervezése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</w:pP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</w:tc>
        <w:tc>
          <w:tcPr>
            <w:tcW w:w="3642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 xml:space="preserve">Külső gazdasági szervezet bevonása, amely az önkormányzat, mint megrendelő kiírása alapján </w:t>
            </w:r>
            <w:r w:rsidRPr="00284D77">
              <w:rPr>
                <w:i/>
              </w:rPr>
              <w:lastRenderedPageBreak/>
              <w:t>szervezi és bonyolítja le a továbbképzéseket.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 xml:space="preserve">A továbbképzési tematika tervezésébe az intézmények vezetőit be kell vonni, akik meghatározzák a helyi igényeknek megfelelő képzési tartalmat. 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A szolgáltatások tartalmazzák az intézményvezetőknek, a pedagógusoknak, az óvodai és iskolai nevelőtestületeknek szóló képzéseket egyaránt, csakúgy, mint a nevelési értekezletek rövidebb, tematikus „tréningjeit”.</w:t>
            </w:r>
          </w:p>
        </w:tc>
        <w:tc>
          <w:tcPr>
            <w:tcW w:w="2127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284D77">
              <w:rPr>
                <w:sz w:val="22"/>
                <w:szCs w:val="22"/>
              </w:rPr>
              <w:t>Kb. 20-22m.Ft.</w:t>
            </w:r>
            <w:r w:rsidRPr="00284D77">
              <w:rPr>
                <w:rStyle w:val="Lbjegyzet-hivatkozs"/>
                <w:sz w:val="22"/>
                <w:szCs w:val="22"/>
              </w:rPr>
              <w:footnoteReference w:id="1"/>
            </w:r>
          </w:p>
        </w:tc>
      </w:tr>
      <w:tr w:rsidR="006727F7" w:rsidRPr="00284D77" w:rsidTr="000F6DA5">
        <w:trPr>
          <w:trHeight w:val="694"/>
          <w:jc w:val="center"/>
        </w:trPr>
        <w:tc>
          <w:tcPr>
            <w:tcW w:w="2884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>Tanulmányi és tehetséggondozó versenyek szervezése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</w:tc>
        <w:tc>
          <w:tcPr>
            <w:tcW w:w="3642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Az intézmények vezetőinek irányítása mellett a szakmai munkaközösségek szervezésében, minden intézmény két-három szaktárgyat kezel, a fővárosi verseny-naptárral összehangolva.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>Felelőse az az intézményvezető, aki a versenyre kijelölt nevelési-oktatási intézményt irányítja.</w:t>
            </w:r>
          </w:p>
        </w:tc>
        <w:tc>
          <w:tcPr>
            <w:tcW w:w="2127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284D77">
              <w:rPr>
                <w:sz w:val="22"/>
                <w:szCs w:val="22"/>
              </w:rPr>
              <w:t>Kb. 1m</w:t>
            </w:r>
            <w:proofErr w:type="gramStart"/>
            <w:r w:rsidRPr="00284D77">
              <w:rPr>
                <w:sz w:val="22"/>
                <w:szCs w:val="22"/>
              </w:rPr>
              <w:t>.Ft</w:t>
            </w:r>
            <w:proofErr w:type="gramEnd"/>
            <w:r w:rsidRPr="00284D77">
              <w:rPr>
                <w:sz w:val="22"/>
                <w:szCs w:val="22"/>
              </w:rPr>
              <w:t>., amely a verseny-szervezés dologi költségeit és esetlegesen megbízási jogdíjat foglal magában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727F7" w:rsidRPr="00284D77" w:rsidTr="000F6DA5">
        <w:trPr>
          <w:trHeight w:val="675"/>
          <w:jc w:val="center"/>
        </w:trPr>
        <w:tc>
          <w:tcPr>
            <w:tcW w:w="2884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 w:rsidRPr="007E6B2C">
              <w:t>Tanuló tájékoztató, tanácsadó szolgálat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</w:tc>
        <w:tc>
          <w:tcPr>
            <w:tcW w:w="3642" w:type="dxa"/>
            <w:shd w:val="clear" w:color="auto" w:fill="FFCC99"/>
          </w:tcPr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i/>
              </w:rPr>
            </w:pPr>
            <w:r w:rsidRPr="00284D77">
              <w:rPr>
                <w:i/>
              </w:rPr>
              <w:t xml:space="preserve">A kerületi pályaválasztási tanácsadást a kötelező feladatokat is ellátó Nevelési Tanácsadó kiválóan el tudja végezni. </w:t>
            </w:r>
          </w:p>
          <w:p w:rsidR="006727F7" w:rsidRPr="007E6B2C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 w:rsidRPr="00284D77">
              <w:rPr>
                <w:i/>
              </w:rPr>
              <w:t xml:space="preserve">A Fővárosi Pedagógia </w:t>
            </w:r>
            <w:r w:rsidRPr="00284D77">
              <w:rPr>
                <w:i/>
              </w:rPr>
              <w:lastRenderedPageBreak/>
              <w:t>Szakszolgálat pedig szintén végez pályaválasztási tanácsadást tanulók részére egyénileg és csoportosan is.</w:t>
            </w:r>
          </w:p>
        </w:tc>
        <w:tc>
          <w:tcPr>
            <w:tcW w:w="2127" w:type="dxa"/>
            <w:shd w:val="clear" w:color="auto" w:fill="FFCC99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284D77">
              <w:rPr>
                <w:sz w:val="22"/>
                <w:szCs w:val="22"/>
              </w:rPr>
              <w:t>Nincsen költség</w:t>
            </w:r>
          </w:p>
        </w:tc>
      </w:tr>
    </w:tbl>
    <w:p w:rsidR="006727F7" w:rsidRDefault="006727F7" w:rsidP="006727F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</w:p>
    <w:p w:rsidR="006727F7" w:rsidRDefault="006727F7" w:rsidP="006727F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6727F7" w:rsidRDefault="006727F7" w:rsidP="006727F7">
      <w:pPr>
        <w:spacing w:line="360" w:lineRule="auto"/>
        <w:jc w:val="both"/>
        <w:rPr>
          <w:sz w:val="26"/>
          <w:szCs w:val="26"/>
        </w:rPr>
      </w:pPr>
    </w:p>
    <w:p w:rsidR="006727F7" w:rsidRDefault="006727F7" w:rsidP="006727F7">
      <w:pPr>
        <w:spacing w:line="360" w:lineRule="auto"/>
        <w:jc w:val="both"/>
      </w:pPr>
      <w:r w:rsidRPr="00263CB6">
        <w:t xml:space="preserve"> </w:t>
      </w:r>
      <w:r>
        <w:t xml:space="preserve">     </w:t>
      </w:r>
      <w:r w:rsidRPr="00263CB6">
        <w:t xml:space="preserve">Összegzésképpen mindenképpen </w:t>
      </w:r>
      <w:r w:rsidRPr="00263CB6">
        <w:rPr>
          <w:b/>
        </w:rPr>
        <w:t>ki kell emelni</w:t>
      </w:r>
      <w:r w:rsidRPr="00263CB6">
        <w:t xml:space="preserve">, hogy </w:t>
      </w:r>
      <w:r w:rsidRPr="00263CB6">
        <w:rPr>
          <w:b/>
        </w:rPr>
        <w:t>az iskoláknak</w:t>
      </w:r>
      <w:r w:rsidRPr="00263CB6">
        <w:t xml:space="preserve"> – önkormányzati koordinálás mellett – </w:t>
      </w:r>
      <w:r w:rsidRPr="00263CB6">
        <w:rPr>
          <w:b/>
        </w:rPr>
        <w:t>nagyobb autonómiát</w:t>
      </w:r>
      <w:r w:rsidRPr="00263CB6">
        <w:t xml:space="preserve"> kellene kapniuk a </w:t>
      </w:r>
      <w:r w:rsidRPr="00263CB6">
        <w:rPr>
          <w:b/>
        </w:rPr>
        <w:t>versenyek szervezésében</w:t>
      </w:r>
      <w:r w:rsidRPr="00263CB6">
        <w:t xml:space="preserve">, koordinálásában, a belső </w:t>
      </w:r>
      <w:r w:rsidRPr="00263CB6">
        <w:rPr>
          <w:b/>
        </w:rPr>
        <w:t>pedagógiai szakmai munka</w:t>
      </w:r>
      <w:r w:rsidRPr="00263CB6">
        <w:t xml:space="preserve"> </w:t>
      </w:r>
      <w:r w:rsidRPr="00263CB6">
        <w:rPr>
          <w:b/>
        </w:rPr>
        <w:t>mérésében</w:t>
      </w:r>
      <w:r w:rsidRPr="00263CB6">
        <w:t xml:space="preserve">, értékelésében, valamint a </w:t>
      </w:r>
      <w:r w:rsidRPr="00263CB6">
        <w:rPr>
          <w:b/>
        </w:rPr>
        <w:t>továbbképzések,</w:t>
      </w:r>
      <w:r w:rsidRPr="00263CB6">
        <w:t xml:space="preserve"> szakmai tréningek tematikájának </w:t>
      </w:r>
      <w:r w:rsidRPr="00263CB6">
        <w:rPr>
          <w:b/>
        </w:rPr>
        <w:t>meghatározásában</w:t>
      </w:r>
      <w:r w:rsidRPr="00263CB6">
        <w:t>. Az intézmények menedzsmentje nagyobb rálátással bír a helyi igényekre; arra, hogy milyen irányú képzésekre, nevelési értekezletekre van szüksége a tantestületben dolgozóknak. A versenyek esetében pedig egy-egy iskola szaktárgyi munkaközössége kezdeményezésével, a kerületben dolgozó szaktanárok maximális bevonásával szükséges a megmérettetéseket szervezni és azokat a fővárosi és az országos verseny-naptárhoz igazítani.</w:t>
      </w:r>
    </w:p>
    <w:p w:rsidR="006727F7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</w:pPr>
    </w:p>
    <w:p w:rsidR="006727F7" w:rsidRPr="00263CB6" w:rsidRDefault="006727F7" w:rsidP="006727F7">
      <w:pPr>
        <w:spacing w:line="360" w:lineRule="auto"/>
        <w:jc w:val="both"/>
      </w:pPr>
    </w:p>
    <w:p w:rsidR="006727F7" w:rsidRPr="00263CB6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</w:pPr>
      <w:r w:rsidRPr="00263CB6">
        <w:t xml:space="preserve">      A fenti feladat-mátrixból hűen kitűnik, hogy </w:t>
      </w:r>
      <w:r w:rsidRPr="00263CB6">
        <w:rPr>
          <w:b/>
        </w:rPr>
        <w:t>a szakmai szolgáltatás – úgy, hogy a továbbképzéseket</w:t>
      </w:r>
      <w:r w:rsidRPr="00263CB6">
        <w:rPr>
          <w:rStyle w:val="Lbjegyzet-hivatkozs"/>
          <w:b/>
        </w:rPr>
        <w:footnoteReference w:id="2"/>
      </w:r>
      <w:r w:rsidRPr="00263CB6">
        <w:rPr>
          <w:b/>
        </w:rPr>
        <w:t xml:space="preserve"> a kerület a pedagógusok szakmai munkájának elismeréseként és fejlődésük érdekében finanszírozza – 32m - 35m</w:t>
      </w:r>
      <w:proofErr w:type="gramStart"/>
      <w:r w:rsidRPr="00263CB6">
        <w:rPr>
          <w:b/>
        </w:rPr>
        <w:t>.Ft</w:t>
      </w:r>
      <w:proofErr w:type="gramEnd"/>
      <w:r w:rsidRPr="00263CB6">
        <w:t xml:space="preserve">. közötti összegből megoldható. Ez </w:t>
      </w:r>
      <w:r w:rsidRPr="00263CB6">
        <w:rPr>
          <w:b/>
        </w:rPr>
        <w:t>az EPSZK éves költségvetésének 65 %-</w:t>
      </w:r>
      <w:proofErr w:type="gramStart"/>
      <w:r w:rsidRPr="00263CB6">
        <w:rPr>
          <w:b/>
        </w:rPr>
        <w:t>a</w:t>
      </w:r>
      <w:proofErr w:type="gramEnd"/>
      <w:r w:rsidRPr="00263CB6">
        <w:t xml:space="preserve">, így a feladatok átcsoportosításával </w:t>
      </w:r>
      <w:r w:rsidRPr="00263CB6">
        <w:rPr>
          <w:b/>
        </w:rPr>
        <w:t>közvetlenül 17m. – 20m</w:t>
      </w:r>
      <w:proofErr w:type="gramStart"/>
      <w:r w:rsidRPr="00263CB6">
        <w:rPr>
          <w:b/>
        </w:rPr>
        <w:t>.Ft</w:t>
      </w:r>
      <w:proofErr w:type="gramEnd"/>
      <w:r w:rsidRPr="00263CB6">
        <w:rPr>
          <w:b/>
        </w:rPr>
        <w:t>. takarítható meg</w:t>
      </w:r>
      <w:r w:rsidRPr="00263CB6">
        <w:t xml:space="preserve"> a kerületi költségvetésből.</w:t>
      </w:r>
    </w:p>
    <w:p w:rsidR="006727F7" w:rsidRPr="00263CB6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  <w:rPr>
          <w:b/>
        </w:rPr>
      </w:pPr>
      <w:r w:rsidRPr="00263CB6">
        <w:t xml:space="preserve">      Mindezek mellett </w:t>
      </w:r>
      <w:r w:rsidRPr="00263CB6">
        <w:rPr>
          <w:b/>
        </w:rPr>
        <w:t>a kerületi közoktatási intézmények közvetlenül pályázhatnának és juthatnának pályázati</w:t>
      </w:r>
      <w:r w:rsidRPr="00263CB6">
        <w:t xml:space="preserve"> – hazai illetve európai uniós – </w:t>
      </w:r>
      <w:r w:rsidRPr="00263CB6">
        <w:rPr>
          <w:b/>
        </w:rPr>
        <w:t>pénzügyi forrásokhoz</w:t>
      </w:r>
      <w:r w:rsidRPr="00263CB6">
        <w:t xml:space="preserve">, mivel a munka </w:t>
      </w:r>
      <w:r w:rsidRPr="00263CB6">
        <w:lastRenderedPageBreak/>
        <w:t>java része – csakúgy, mint az EPSZK vezetőjének 2010 / 2011. tanévi beszámolójából kiderül a TÁMOP 3.1.4.-es azonosító számú projekttel kapcsolatosan – amúgy is az iskolákban zajlik</w:t>
      </w:r>
      <w:r w:rsidRPr="00263CB6">
        <w:rPr>
          <w:b/>
        </w:rPr>
        <w:t xml:space="preserve">. </w:t>
      </w:r>
    </w:p>
    <w:p w:rsidR="006727F7" w:rsidRDefault="006727F7" w:rsidP="006727F7">
      <w:pPr>
        <w:spacing w:line="360" w:lineRule="auto"/>
        <w:jc w:val="both"/>
        <w:rPr>
          <w:b/>
        </w:rPr>
      </w:pPr>
    </w:p>
    <w:p w:rsidR="006727F7" w:rsidRDefault="006727F7" w:rsidP="006727F7">
      <w:pPr>
        <w:spacing w:line="360" w:lineRule="auto"/>
        <w:jc w:val="both"/>
        <w:rPr>
          <w:sz w:val="26"/>
          <w:szCs w:val="26"/>
        </w:rPr>
      </w:pPr>
      <w:r>
        <w:rPr>
          <w:b/>
        </w:rPr>
        <w:t xml:space="preserve">     </w:t>
      </w:r>
      <w:r w:rsidRPr="00263CB6">
        <w:rPr>
          <w:b/>
        </w:rPr>
        <w:t>A külső pályázati keretek felhasználása</w:t>
      </w:r>
      <w:r w:rsidRPr="00263CB6">
        <w:t xml:space="preserve"> lényegesen </w:t>
      </w:r>
      <w:r w:rsidRPr="00263CB6">
        <w:rPr>
          <w:b/>
        </w:rPr>
        <w:t>hatékonyabb</w:t>
      </w:r>
      <w:r w:rsidRPr="00263CB6">
        <w:t xml:space="preserve"> lenne, ha maguk az intézmények menedzselhetnék és közvetlenül működésük fejlesztésére fordíthatnák azokat. Ezzel az </w:t>
      </w:r>
      <w:r w:rsidRPr="00263CB6">
        <w:rPr>
          <w:b/>
        </w:rPr>
        <w:t>önkormányzat is további jelentős összegeket spórolhatna meg közvetve</w:t>
      </w:r>
      <w:r w:rsidRPr="00263CB6">
        <w:t xml:space="preserve">, hiszen dologi kiadások, egyes bér- és személyjellegű költségek, fejlesztési hozzájárulások takaríthatóak meg a pályázati időszak ideje alatt. Ráadásul az intézmények vezetésének motivációja, a pályázási kedv jelentősen fokozódna </w:t>
      </w:r>
      <w:proofErr w:type="gramStart"/>
      <w:r w:rsidRPr="00263CB6">
        <w:t>ezáltal</w:t>
      </w:r>
      <w:proofErr w:type="gramEnd"/>
      <w:r w:rsidRPr="00263CB6">
        <w:t>.</w:t>
      </w:r>
      <w:r>
        <w:rPr>
          <w:sz w:val="26"/>
          <w:szCs w:val="26"/>
        </w:rPr>
        <w:t xml:space="preserve"> </w:t>
      </w:r>
    </w:p>
    <w:p w:rsidR="006727F7" w:rsidRPr="00B85942" w:rsidRDefault="006727F7" w:rsidP="006727F7">
      <w:pPr>
        <w:spacing w:line="360" w:lineRule="auto"/>
        <w:jc w:val="both"/>
        <w:rPr>
          <w:sz w:val="26"/>
          <w:szCs w:val="26"/>
        </w:rPr>
      </w:pPr>
      <w:r>
        <w:t xml:space="preserve">      </w:t>
      </w:r>
      <w:r w:rsidRPr="00263CB6">
        <w:t>Összegezve: a jövőben tehát közvetlen intézményi irányítással lényegesen hatékonyabb tervezési – szervezési - lebonyolítási lehetőségek rejlenek az uniós</w:t>
      </w:r>
      <w:r w:rsidRPr="00B85942">
        <w:rPr>
          <w:sz w:val="26"/>
          <w:szCs w:val="26"/>
        </w:rPr>
        <w:t xml:space="preserve"> </w:t>
      </w:r>
      <w:r w:rsidRPr="00263CB6">
        <w:t>projektekben. A pályázati aktivitást fokozva a költségvetési hozzájárulás az intézmények fenntartásához csökkenthető.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Pr="007E6B2C" w:rsidRDefault="006727F7" w:rsidP="006727F7">
      <w:pPr>
        <w:pStyle w:val="Szvegtrzsbehzssal"/>
        <w:spacing w:line="360" w:lineRule="auto"/>
        <w:ind w:left="0"/>
        <w:jc w:val="both"/>
        <w:rPr>
          <w:u w:val="single"/>
        </w:rPr>
      </w:pPr>
    </w:p>
    <w:p w:rsidR="006727F7" w:rsidRDefault="006727F7" w:rsidP="006727F7">
      <w:pPr>
        <w:pStyle w:val="Szvegtrzsbehzssal"/>
        <w:spacing w:line="360" w:lineRule="auto"/>
        <w:ind w:left="0"/>
        <w:jc w:val="both"/>
        <w:rPr>
          <w:b/>
          <w:sz w:val="26"/>
          <w:szCs w:val="26"/>
          <w:u w:val="single"/>
        </w:rPr>
      </w:pPr>
      <w:r w:rsidRPr="007E6B2C">
        <w:rPr>
          <w:b/>
          <w:sz w:val="26"/>
          <w:szCs w:val="26"/>
          <w:u w:val="single"/>
        </w:rPr>
        <w:t xml:space="preserve">III. </w:t>
      </w:r>
      <w:proofErr w:type="gramStart"/>
      <w:r w:rsidRPr="007E6B2C">
        <w:rPr>
          <w:b/>
          <w:sz w:val="26"/>
          <w:szCs w:val="26"/>
          <w:u w:val="single"/>
        </w:rPr>
        <w:t>A</w:t>
      </w:r>
      <w:proofErr w:type="gramEnd"/>
      <w:r w:rsidRPr="007E6B2C">
        <w:rPr>
          <w:b/>
          <w:sz w:val="26"/>
          <w:szCs w:val="26"/>
          <w:u w:val="single"/>
        </w:rPr>
        <w:t xml:space="preserve"> pedagógiai szakmai szolgáltatások ellátása külső szolgáltatókkal </w:t>
      </w:r>
      <w:r>
        <w:rPr>
          <w:b/>
          <w:sz w:val="26"/>
          <w:szCs w:val="26"/>
          <w:u w:val="single"/>
        </w:rPr>
        <w:t xml:space="preserve">      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  <w:r>
        <w:rPr>
          <w:sz w:val="26"/>
          <w:szCs w:val="26"/>
        </w:rPr>
        <w:t xml:space="preserve">      </w:t>
      </w:r>
      <w:r>
        <w:t xml:space="preserve">A pedagógiai szakmai szolgáltatások ellátása az </w:t>
      </w:r>
      <w:r w:rsidRPr="00915755">
        <w:rPr>
          <w:b/>
        </w:rPr>
        <w:t>intézményrendszer hatékony és professzionális bevonásával</w:t>
      </w:r>
      <w:r>
        <w:t xml:space="preserve">, valamint </w:t>
      </w:r>
      <w:r w:rsidRPr="00915755">
        <w:rPr>
          <w:b/>
        </w:rPr>
        <w:t>a továbbképzések, a tájékoztatási és a módszertani elemek külső gazdasági egységeknek való kiszervezésével</w:t>
      </w:r>
      <w:r>
        <w:t xml:space="preserve"> jelentős </w:t>
      </w:r>
      <w:r w:rsidRPr="00915755">
        <w:rPr>
          <w:b/>
        </w:rPr>
        <w:t>financiális megtakarítást jelent Erzsébetváros Önkormányzatának</w:t>
      </w:r>
      <w:r>
        <w:t xml:space="preserve"> számára. A pénzügyi vonzat mellett azonban meg kell vizsgálni az EPSZK megszűntetésének – „</w:t>
      </w:r>
      <w:r w:rsidRPr="003919F1">
        <w:rPr>
          <w:i/>
        </w:rPr>
        <w:t xml:space="preserve">nem </w:t>
      </w:r>
      <w:r>
        <w:rPr>
          <w:i/>
        </w:rPr>
        <w:t xml:space="preserve">kizárólagosan </w:t>
      </w:r>
      <w:proofErr w:type="spellStart"/>
      <w:r w:rsidRPr="003919F1">
        <w:rPr>
          <w:i/>
        </w:rPr>
        <w:t>forintosítható</w:t>
      </w:r>
      <w:proofErr w:type="spellEnd"/>
      <w:r>
        <w:rPr>
          <w:i/>
        </w:rPr>
        <w:t>”</w:t>
      </w:r>
      <w:r>
        <w:t xml:space="preserve"> - előnyeit és hátrányait is, valamint a kockázatok felmérését szintén el kell végezni.</w:t>
      </w:r>
    </w:p>
    <w:p w:rsidR="006727F7" w:rsidRDefault="006727F7" w:rsidP="006727F7">
      <w:pPr>
        <w:pStyle w:val="Szvegtrzsbehzssal"/>
        <w:spacing w:line="360" w:lineRule="auto"/>
        <w:ind w:left="0"/>
        <w:jc w:val="both"/>
      </w:pPr>
      <w:r w:rsidRPr="00915755">
        <w:rPr>
          <w:b/>
        </w:rPr>
        <w:t xml:space="preserve">      Az EPSZK megszűntetésének és külső </w:t>
      </w:r>
      <w:proofErr w:type="gramStart"/>
      <w:r w:rsidRPr="00915755">
        <w:rPr>
          <w:b/>
        </w:rPr>
        <w:t>szolgáltató(</w:t>
      </w:r>
      <w:proofErr w:type="gramEnd"/>
      <w:r w:rsidRPr="00915755">
        <w:rPr>
          <w:b/>
        </w:rPr>
        <w:t>k) bevonásának előnyei</w:t>
      </w:r>
      <w: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4366"/>
      </w:tblGrid>
      <w:tr w:rsidR="006727F7" w:rsidTr="000F6DA5">
        <w:trPr>
          <w:trHeight w:val="702"/>
          <w:jc w:val="center"/>
        </w:trPr>
        <w:tc>
          <w:tcPr>
            <w:tcW w:w="4365" w:type="dxa"/>
            <w:shd w:val="clear" w:color="auto" w:fill="99CCFF"/>
            <w:vAlign w:val="center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b/>
              </w:rPr>
            </w:pPr>
            <w:r w:rsidRPr="00284D77">
              <w:rPr>
                <w:b/>
              </w:rPr>
              <w:t>Előnyök</w:t>
            </w:r>
          </w:p>
        </w:tc>
        <w:tc>
          <w:tcPr>
            <w:tcW w:w="4366" w:type="dxa"/>
            <w:shd w:val="clear" w:color="auto" w:fill="99CCFF"/>
            <w:vAlign w:val="center"/>
          </w:tcPr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b/>
              </w:rPr>
            </w:pPr>
            <w:r w:rsidRPr="00284D77">
              <w:rPr>
                <w:b/>
              </w:rPr>
              <w:t>Előnyök mértéke</w:t>
            </w:r>
          </w:p>
          <w:p w:rsidR="006727F7" w:rsidRPr="00284D77" w:rsidRDefault="006727F7" w:rsidP="000F6DA5">
            <w:pPr>
              <w:pStyle w:val="Szvegtrzsbehzssal"/>
              <w:spacing w:line="360" w:lineRule="auto"/>
              <w:ind w:left="0"/>
              <w:jc w:val="center"/>
              <w:rPr>
                <w:b/>
              </w:rPr>
            </w:pPr>
            <w:r w:rsidRPr="00284D77">
              <w:rPr>
                <w:b/>
              </w:rPr>
              <w:t>Magyarázat</w:t>
            </w:r>
          </w:p>
        </w:tc>
      </w:tr>
      <w:tr w:rsidR="006727F7" w:rsidTr="000F6DA5">
        <w:trPr>
          <w:trHeight w:val="702"/>
          <w:jc w:val="center"/>
        </w:trPr>
        <w:tc>
          <w:tcPr>
            <w:tcW w:w="4365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Határozott időre köthető szerződés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(2012. évre)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Nagy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 xml:space="preserve">A köznevelési törvény koncepciója szerint az állami szerepvállalás a pedagógiai szakmai szolgáltatásban növekszik, így a kerületi szakmai szolgáltatók szerepe megszűnik. 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 xml:space="preserve">A szerződés megszűnésével a </w:t>
            </w:r>
            <w:proofErr w:type="gramStart"/>
            <w:r>
              <w:t>szolgáltató(</w:t>
            </w:r>
            <w:proofErr w:type="gramEnd"/>
            <w:r>
              <w:t>k) nem léphetnek fel követeléssel.</w:t>
            </w:r>
          </w:p>
        </w:tc>
      </w:tr>
      <w:tr w:rsidR="006727F7" w:rsidTr="000F6DA5">
        <w:trPr>
          <w:trHeight w:val="702"/>
          <w:jc w:val="center"/>
        </w:trPr>
        <w:tc>
          <w:tcPr>
            <w:tcW w:w="4365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Versenyeztethető szolgáltatók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Nagy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 xml:space="preserve">A külső szolgáltatást </w:t>
            </w:r>
            <w:proofErr w:type="gramStart"/>
            <w:r>
              <w:t>végző(</w:t>
            </w:r>
            <w:proofErr w:type="gramEnd"/>
            <w:r>
              <w:t xml:space="preserve">k) meghívásos pályázaton versenyeztethetőek. Ez biztosítja a megfelelő minőség biztosítását és garanciáját, valamint a piaci árak megfelelő biztosítását. 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>Csak megfelelő referenciával, minimum 3 éve oktatással foglalkozó gazdasági társaság hívható meg a tárgyalásokra.</w:t>
            </w:r>
          </w:p>
        </w:tc>
      </w:tr>
      <w:tr w:rsidR="006727F7" w:rsidTr="000F6DA5">
        <w:trPr>
          <w:trHeight w:val="722"/>
          <w:jc w:val="center"/>
        </w:trPr>
        <w:tc>
          <w:tcPr>
            <w:tcW w:w="4365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Célzott, jogszabályi feladatokra koncentrál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Nagy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>A jogszabályoknak megfelelő feladatok ellátását célozza kizárólag.</w:t>
            </w:r>
          </w:p>
        </w:tc>
      </w:tr>
      <w:tr w:rsidR="006727F7" w:rsidTr="000F6DA5">
        <w:trPr>
          <w:trHeight w:val="702"/>
          <w:jc w:val="center"/>
        </w:trPr>
        <w:tc>
          <w:tcPr>
            <w:tcW w:w="4365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Költséghatékonyság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Nagy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>17-20m.Ft. megtakarítást eredményez a költségvetésben.</w:t>
            </w:r>
          </w:p>
        </w:tc>
      </w:tr>
      <w:tr w:rsidR="006727F7" w:rsidTr="000F6DA5">
        <w:trPr>
          <w:trHeight w:val="702"/>
          <w:jc w:val="center"/>
        </w:trPr>
        <w:tc>
          <w:tcPr>
            <w:tcW w:w="4365" w:type="dxa"/>
            <w:shd w:val="clear" w:color="auto" w:fill="FFCC99"/>
            <w:vAlign w:val="center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Nem helyi illetőségű a szaktanácsadói tevékenység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 xml:space="preserve">                            Közepes</w:t>
            </w:r>
            <w:r>
              <w:br/>
              <w:t>Szélesebb körű kitekintést és viszonyítási alapot nyújt a szakmai munka áttekintéséhez, a pedagógiai munka összehasonlíthatósága segíti a szakmai tanácsadást.</w:t>
            </w:r>
          </w:p>
        </w:tc>
      </w:tr>
      <w:tr w:rsidR="006727F7" w:rsidTr="000F6DA5">
        <w:trPr>
          <w:trHeight w:val="702"/>
          <w:jc w:val="center"/>
        </w:trPr>
        <w:tc>
          <w:tcPr>
            <w:tcW w:w="4365" w:type="dxa"/>
            <w:shd w:val="clear" w:color="auto" w:fill="FFCC99"/>
            <w:vAlign w:val="center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A közoktatási intézmények szerepe erősödik a szervezési-tervezési folyamatba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Közepes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>Ez határozottan nagyobb motivációt eredményez a feladatok megoldásában, a versenyek szervezésében, és optimálisan kihasználja az intézmény-rendszerben rejlő értékeket.</w:t>
            </w:r>
          </w:p>
        </w:tc>
      </w:tr>
      <w:tr w:rsidR="006727F7" w:rsidTr="000F6DA5">
        <w:trPr>
          <w:trHeight w:val="722"/>
          <w:jc w:val="center"/>
        </w:trPr>
        <w:tc>
          <w:tcPr>
            <w:tcW w:w="4365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Az intézményi pályázatokban közvetlen intézményi részvétel biztosítása</w:t>
            </w:r>
          </w:p>
        </w:tc>
        <w:tc>
          <w:tcPr>
            <w:tcW w:w="4366" w:type="dxa"/>
            <w:shd w:val="clear" w:color="auto" w:fill="FFCC99"/>
          </w:tcPr>
          <w:p w:rsidR="006727F7" w:rsidRDefault="006727F7" w:rsidP="000F6DA5">
            <w:pPr>
              <w:pStyle w:val="Szvegtrzsbehzssal"/>
              <w:spacing w:line="360" w:lineRule="auto"/>
              <w:ind w:left="0"/>
              <w:jc w:val="center"/>
            </w:pPr>
            <w:r>
              <w:t>Közepes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 xml:space="preserve">Az intézmények szívesebben, lelkesebben vesznek részt az általuk tervezett és menedzselt projektekben, valamit a pályázási kedv is jelentősen növekszik. </w:t>
            </w:r>
          </w:p>
          <w:p w:rsidR="006727F7" w:rsidRDefault="006727F7" w:rsidP="000F6DA5">
            <w:pPr>
              <w:pStyle w:val="Szvegtrzsbehzssal"/>
              <w:spacing w:line="360" w:lineRule="auto"/>
              <w:ind w:left="0"/>
              <w:jc w:val="both"/>
            </w:pPr>
            <w:r>
              <w:t>Emellett költséget takaríthat meg az önkormányzatnak</w:t>
            </w:r>
          </w:p>
        </w:tc>
      </w:tr>
    </w:tbl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Pr="007E6B2C" w:rsidRDefault="006727F7" w:rsidP="006727F7">
      <w:pPr>
        <w:pStyle w:val="Szvegtrzsbehzssal"/>
        <w:spacing w:line="360" w:lineRule="auto"/>
        <w:ind w:left="0"/>
        <w:jc w:val="both"/>
      </w:pPr>
    </w:p>
    <w:p w:rsidR="006727F7" w:rsidRDefault="006727F7" w:rsidP="006727F7">
      <w:pPr>
        <w:pStyle w:val="Szvegtrzsbehzssal"/>
        <w:spacing w:line="360" w:lineRule="auto"/>
        <w:ind w:left="0"/>
        <w:jc w:val="both"/>
      </w:pPr>
    </w:p>
    <w:p w:rsidR="006727F7" w:rsidRPr="00834C5E" w:rsidRDefault="006727F7" w:rsidP="006727F7">
      <w:pPr>
        <w:pStyle w:val="Szvegtrzsbehzssal"/>
        <w:spacing w:line="360" w:lineRule="auto"/>
        <w:ind w:left="0"/>
        <w:jc w:val="both"/>
      </w:pPr>
    </w:p>
    <w:p w:rsidR="006727F7" w:rsidRPr="00915755" w:rsidRDefault="006727F7" w:rsidP="006727F7">
      <w:pPr>
        <w:spacing w:line="480" w:lineRule="auto"/>
        <w:jc w:val="both"/>
        <w:rPr>
          <w:b/>
        </w:rPr>
      </w:pPr>
      <w:r>
        <w:t xml:space="preserve">    </w:t>
      </w:r>
      <w:r w:rsidRPr="00915755">
        <w:rPr>
          <w:b/>
        </w:rPr>
        <w:t xml:space="preserve">Az EPSZK megszűntetésének és külső </w:t>
      </w:r>
      <w:proofErr w:type="gramStart"/>
      <w:r w:rsidRPr="00915755">
        <w:rPr>
          <w:b/>
        </w:rPr>
        <w:t>szolgáltató(</w:t>
      </w:r>
      <w:proofErr w:type="gramEnd"/>
      <w:r w:rsidRPr="00915755">
        <w:rPr>
          <w:b/>
        </w:rPr>
        <w:t>k) bevonásának hátrányai:</w:t>
      </w:r>
    </w:p>
    <w:tbl>
      <w:tblPr>
        <w:tblW w:w="8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0"/>
        <w:gridCol w:w="2980"/>
        <w:gridCol w:w="2981"/>
      </w:tblGrid>
      <w:tr w:rsidR="006727F7" w:rsidTr="000F6DA5">
        <w:trPr>
          <w:trHeight w:val="644"/>
        </w:trPr>
        <w:tc>
          <w:tcPr>
            <w:tcW w:w="2980" w:type="dxa"/>
            <w:shd w:val="clear" w:color="auto" w:fill="99CCFF"/>
          </w:tcPr>
          <w:p w:rsidR="006727F7" w:rsidRPr="00284D77" w:rsidRDefault="006727F7" w:rsidP="000F6DA5">
            <w:pPr>
              <w:spacing w:line="480" w:lineRule="auto"/>
              <w:jc w:val="center"/>
              <w:rPr>
                <w:b/>
              </w:rPr>
            </w:pPr>
            <w:r w:rsidRPr="00284D77">
              <w:rPr>
                <w:b/>
              </w:rPr>
              <w:t>Hátrányok</w:t>
            </w:r>
          </w:p>
        </w:tc>
        <w:tc>
          <w:tcPr>
            <w:tcW w:w="2980" w:type="dxa"/>
            <w:shd w:val="clear" w:color="auto" w:fill="99CCFF"/>
          </w:tcPr>
          <w:p w:rsidR="006727F7" w:rsidRPr="00284D77" w:rsidRDefault="006727F7" w:rsidP="000F6DA5">
            <w:pPr>
              <w:spacing w:line="480" w:lineRule="auto"/>
              <w:jc w:val="center"/>
              <w:rPr>
                <w:b/>
              </w:rPr>
            </w:pPr>
            <w:r w:rsidRPr="00284D77">
              <w:rPr>
                <w:b/>
              </w:rPr>
              <w:t>Kockázat mértéke</w:t>
            </w:r>
          </w:p>
        </w:tc>
        <w:tc>
          <w:tcPr>
            <w:tcW w:w="2981" w:type="dxa"/>
            <w:shd w:val="clear" w:color="auto" w:fill="99CCFF"/>
          </w:tcPr>
          <w:p w:rsidR="006727F7" w:rsidRPr="00284D77" w:rsidRDefault="006727F7" w:rsidP="000F6DA5">
            <w:pPr>
              <w:spacing w:line="480" w:lineRule="auto"/>
              <w:jc w:val="center"/>
              <w:rPr>
                <w:b/>
              </w:rPr>
            </w:pPr>
            <w:r w:rsidRPr="00284D77">
              <w:rPr>
                <w:b/>
              </w:rPr>
              <w:t>Kockázat kezelési lehetősége</w:t>
            </w:r>
          </w:p>
        </w:tc>
      </w:tr>
      <w:tr w:rsidR="006727F7" w:rsidTr="000F6DA5">
        <w:trPr>
          <w:trHeight w:val="644"/>
        </w:trPr>
        <w:tc>
          <w:tcPr>
            <w:tcW w:w="2980" w:type="dxa"/>
            <w:shd w:val="clear" w:color="auto" w:fill="FFCC99"/>
          </w:tcPr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  <w:r>
              <w:t>Kerületi kötődés, hagyományok</w:t>
            </w:r>
          </w:p>
          <w:p w:rsidR="006727F7" w:rsidRDefault="006727F7" w:rsidP="000F6DA5">
            <w:pPr>
              <w:spacing w:line="360" w:lineRule="auto"/>
              <w:jc w:val="center"/>
            </w:pPr>
            <w:r>
              <w:t>elveszítése</w:t>
            </w:r>
          </w:p>
        </w:tc>
        <w:tc>
          <w:tcPr>
            <w:tcW w:w="2980" w:type="dxa"/>
            <w:shd w:val="clear" w:color="auto" w:fill="FFCC99"/>
          </w:tcPr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  <w:r>
              <w:t>Közepes</w:t>
            </w:r>
          </w:p>
          <w:p w:rsidR="006727F7" w:rsidRDefault="006727F7" w:rsidP="000F6DA5">
            <w:pPr>
              <w:spacing w:line="360" w:lineRule="auto"/>
              <w:jc w:val="both"/>
            </w:pPr>
            <w:r>
              <w:t>Az intézet a helyi viszonyok ismeretében végzi a tevékenységét, egy tradicionális központ szerepét tölti be.</w:t>
            </w:r>
          </w:p>
        </w:tc>
        <w:tc>
          <w:tcPr>
            <w:tcW w:w="2981" w:type="dxa"/>
            <w:shd w:val="clear" w:color="auto" w:fill="FFCC99"/>
          </w:tcPr>
          <w:p w:rsidR="006727F7" w:rsidRDefault="006727F7" w:rsidP="000F6DA5">
            <w:pPr>
              <w:spacing w:line="480" w:lineRule="auto"/>
            </w:pPr>
          </w:p>
          <w:p w:rsidR="006727F7" w:rsidRDefault="006727F7" w:rsidP="000F6DA5">
            <w:pPr>
              <w:spacing w:line="360" w:lineRule="auto"/>
            </w:pPr>
            <w:r>
              <w:t xml:space="preserve">A szolgáltatók kiválasztása körültekintően, a megfelelő szakmai színvonal hiteles igazolásával történhet meg. </w:t>
            </w:r>
          </w:p>
          <w:p w:rsidR="006727F7" w:rsidRDefault="006727F7" w:rsidP="000F6DA5">
            <w:pPr>
              <w:spacing w:line="360" w:lineRule="auto"/>
            </w:pPr>
            <w:r>
              <w:t xml:space="preserve">Elvárás a szakmai szolgáltatókkal szemben, hogy Erzsébetváros értékrendjének megfelelően </w:t>
            </w:r>
            <w:r>
              <w:lastRenderedPageBreak/>
              <w:t>végezzék el a feladataikat, és személyes kapcsolatot építsenek ki a helyi intézmények menedzsmentjével.</w:t>
            </w:r>
          </w:p>
        </w:tc>
      </w:tr>
      <w:tr w:rsidR="006727F7" w:rsidTr="000F6DA5">
        <w:trPr>
          <w:trHeight w:val="644"/>
        </w:trPr>
        <w:tc>
          <w:tcPr>
            <w:tcW w:w="2980" w:type="dxa"/>
            <w:shd w:val="clear" w:color="auto" w:fill="FFCC99"/>
          </w:tcPr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</w:p>
          <w:p w:rsidR="006727F7" w:rsidRDefault="006727F7" w:rsidP="000F6DA5">
            <w:pPr>
              <w:spacing w:line="360" w:lineRule="auto"/>
              <w:jc w:val="center"/>
            </w:pPr>
            <w:r>
              <w:t>Nem jogszabályi, önként vállalt feladatok elhanyagolása</w:t>
            </w:r>
          </w:p>
        </w:tc>
        <w:tc>
          <w:tcPr>
            <w:tcW w:w="2980" w:type="dxa"/>
            <w:shd w:val="clear" w:color="auto" w:fill="FFCC99"/>
          </w:tcPr>
          <w:p w:rsidR="006727F7" w:rsidRDefault="006727F7" w:rsidP="000F6DA5">
            <w:pPr>
              <w:spacing w:line="480" w:lineRule="auto"/>
              <w:jc w:val="center"/>
            </w:pPr>
          </w:p>
          <w:p w:rsidR="006727F7" w:rsidRDefault="006727F7" w:rsidP="000F6DA5">
            <w:pPr>
              <w:spacing w:line="480" w:lineRule="auto"/>
              <w:jc w:val="center"/>
            </w:pPr>
            <w:r>
              <w:t>Gyenge</w:t>
            </w:r>
          </w:p>
          <w:p w:rsidR="006727F7" w:rsidRDefault="006727F7" w:rsidP="000F6DA5">
            <w:pPr>
              <w:spacing w:line="360" w:lineRule="auto"/>
              <w:jc w:val="both"/>
            </w:pPr>
            <w:r>
              <w:t>Pályázati tevékenységeket, egyéb nem jogszabályban rögzített feladatokat vállal fel az EPSZK.</w:t>
            </w:r>
          </w:p>
        </w:tc>
        <w:tc>
          <w:tcPr>
            <w:tcW w:w="2981" w:type="dxa"/>
            <w:shd w:val="clear" w:color="auto" w:fill="FFCC99"/>
          </w:tcPr>
          <w:p w:rsidR="006727F7" w:rsidRDefault="006727F7" w:rsidP="000F6DA5">
            <w:pPr>
              <w:spacing w:line="480" w:lineRule="auto"/>
            </w:pPr>
          </w:p>
          <w:p w:rsidR="006727F7" w:rsidRDefault="006727F7" w:rsidP="000F6DA5">
            <w:pPr>
              <w:spacing w:line="360" w:lineRule="auto"/>
              <w:jc w:val="both"/>
            </w:pPr>
            <w:r>
              <w:t>Az intézmények érdekeltté tétele a pályázatokban, amelyek fejlesztési forrásokat biztosítanak számukra. A projektek olyan feladatok ellátására is lehetőséget biztosítanak, amelyek szükségesek, de nem jogszabályi keretek között rögzítettek.</w:t>
            </w:r>
          </w:p>
        </w:tc>
      </w:tr>
    </w:tbl>
    <w:p w:rsidR="006727F7" w:rsidRDefault="006727F7" w:rsidP="006727F7"/>
    <w:p w:rsidR="006727F7" w:rsidRDefault="006727F7" w:rsidP="006727F7"/>
    <w:p w:rsidR="006727F7" w:rsidRDefault="006727F7" w:rsidP="006727F7"/>
    <w:p w:rsidR="006727F7" w:rsidRDefault="006727F7" w:rsidP="006727F7"/>
    <w:p w:rsidR="006727F7" w:rsidRDefault="006727F7" w:rsidP="006727F7">
      <w:pPr>
        <w:rPr>
          <w:b/>
          <w:sz w:val="26"/>
          <w:szCs w:val="26"/>
          <w:u w:val="single"/>
        </w:rPr>
      </w:pPr>
      <w:r w:rsidRPr="008E59F5">
        <w:rPr>
          <w:b/>
          <w:sz w:val="26"/>
          <w:szCs w:val="26"/>
          <w:u w:val="single"/>
        </w:rPr>
        <w:t>IV. Összefoglalás</w:t>
      </w:r>
    </w:p>
    <w:p w:rsidR="006727F7" w:rsidRDefault="006727F7" w:rsidP="006727F7">
      <w:pPr>
        <w:rPr>
          <w:b/>
          <w:sz w:val="26"/>
          <w:szCs w:val="26"/>
          <w:u w:val="single"/>
        </w:rPr>
      </w:pPr>
    </w:p>
    <w:p w:rsidR="006727F7" w:rsidRDefault="006727F7" w:rsidP="006727F7">
      <w:pPr>
        <w:rPr>
          <w:b/>
          <w:sz w:val="26"/>
          <w:szCs w:val="26"/>
          <w:u w:val="single"/>
        </w:rPr>
      </w:pPr>
    </w:p>
    <w:p w:rsidR="006727F7" w:rsidRDefault="006727F7" w:rsidP="006727F7">
      <w:pPr>
        <w:spacing w:line="360" w:lineRule="auto"/>
        <w:jc w:val="both"/>
      </w:pPr>
      <w:r w:rsidRPr="008E59F5">
        <w:t xml:space="preserve">       Mindent egybevetve az Erzsébetvárosi </w:t>
      </w:r>
      <w:proofErr w:type="spellStart"/>
      <w:r w:rsidRPr="008E59F5">
        <w:t>Pedagógiai-Szakmai</w:t>
      </w:r>
      <w:proofErr w:type="spellEnd"/>
      <w:r w:rsidRPr="008E59F5">
        <w:t xml:space="preserve"> Szolgáltató Intézmény (EPSZK)</w:t>
      </w:r>
      <w:r>
        <w:t xml:space="preserve"> megszűntetése és feladatainak átszervezése jelentős megtakarítást eredményez a VII. kerületi önkormányzat számára. A feladatok részben a már meglévő intézményrendszer optimális kihasználásával, részben pedig egyes feladatok külső szolgáltatók számára való kiszervezéssel maximálisan megoldhatóak. A célzottan jogszabályi kötelezettségekre koncentráló szakmai szolgáltatás elveszíti ugyan helyi kötődését, de éppen a szélesebb perspektíva ad hiteles támpontot arról, hogy hol tart Erzsébetvárosban a pedagógusok, a szakmát képviselők professzionális színvonala. </w:t>
      </w:r>
    </w:p>
    <w:p w:rsidR="006727F7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</w:pPr>
      <w:r>
        <w:t xml:space="preserve">     Mindezek mellett költséghatékonyan szervezhető meg a szolgáltatás, amely a jelen koncepció figyelembevételével erőteljesebb részt vállal a pedagógiai továbbképzések </w:t>
      </w:r>
      <w:r>
        <w:lastRenderedPageBreak/>
        <w:t xml:space="preserve">biztosításában, ezzel is erősítve a pedagógusok helyi kötődését és biztosítva kerületi kötődését. </w:t>
      </w:r>
    </w:p>
    <w:p w:rsidR="006727F7" w:rsidRDefault="006727F7" w:rsidP="006727F7">
      <w:pPr>
        <w:spacing w:line="360" w:lineRule="auto"/>
        <w:jc w:val="both"/>
      </w:pPr>
    </w:p>
    <w:p w:rsidR="006727F7" w:rsidRDefault="006727F7" w:rsidP="006727F7">
      <w:pPr>
        <w:spacing w:line="360" w:lineRule="auto"/>
        <w:jc w:val="both"/>
      </w:pPr>
      <w:r>
        <w:t xml:space="preserve">     Természetesen, a szolgáltatások biztosítása csak megfelelő garanciákkal és referenciákkal rendelkező gazdasági szervezet részéről lehet megfelelő színvonalú, így meghívásos pályáztatás keretében két pályázatot kell meghirdetni; az elsőt a továbbképzések megszervezésére és lebonyolítására, a másodikat pedig szakmai rendezvények megszervezésére, kiadványok biztosítására. </w:t>
      </w:r>
    </w:p>
    <w:p w:rsidR="006727F7" w:rsidRDefault="006727F7" w:rsidP="006727F7">
      <w:pPr>
        <w:spacing w:line="360" w:lineRule="auto"/>
        <w:jc w:val="both"/>
      </w:pPr>
    </w:p>
    <w:p w:rsidR="006727F7" w:rsidRPr="008E59F5" w:rsidRDefault="006727F7" w:rsidP="006727F7">
      <w:pPr>
        <w:spacing w:line="360" w:lineRule="auto"/>
        <w:jc w:val="both"/>
      </w:pPr>
      <w:r>
        <w:t xml:space="preserve">Kelt: Budapest, 2011. </w:t>
      </w:r>
      <w:proofErr w:type="gramStart"/>
      <w:r>
        <w:t>október …</w:t>
      </w:r>
      <w:proofErr w:type="gramEnd"/>
      <w:r>
        <w:t>…</w:t>
      </w:r>
    </w:p>
    <w:p w:rsidR="007E6040" w:rsidRDefault="007E6040"/>
    <w:sectPr w:rsidR="007E6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F7" w:rsidRDefault="006727F7" w:rsidP="006727F7">
      <w:r>
        <w:separator/>
      </w:r>
    </w:p>
  </w:endnote>
  <w:endnote w:type="continuationSeparator" w:id="0">
    <w:p w:rsidR="006727F7" w:rsidRDefault="006727F7" w:rsidP="0067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F7" w:rsidRDefault="006727F7" w:rsidP="006727F7">
      <w:r>
        <w:separator/>
      </w:r>
    </w:p>
  </w:footnote>
  <w:footnote w:type="continuationSeparator" w:id="0">
    <w:p w:rsidR="006727F7" w:rsidRDefault="006727F7" w:rsidP="006727F7">
      <w:r>
        <w:continuationSeparator/>
      </w:r>
    </w:p>
  </w:footnote>
  <w:footnote w:id="1">
    <w:p w:rsidR="006727F7" w:rsidRDefault="006727F7" w:rsidP="006727F7">
      <w:pPr>
        <w:pStyle w:val="Lbjegyzetszveg"/>
        <w:spacing w:line="360" w:lineRule="auto"/>
        <w:jc w:val="both"/>
      </w:pPr>
      <w:r>
        <w:rPr>
          <w:rStyle w:val="Lbjegyzet-hivatkozs"/>
        </w:rPr>
        <w:footnoteRef/>
      </w:r>
      <w:r>
        <w:t xml:space="preserve"> Az összes megrendelt képzés ingyenesen vehető igénybe a kerületi fenntartású közoktatási intézményben dolgozók számára, így a továbbképzési kötelezettség finanszírozása nem a résztvevőket terheli. </w:t>
      </w:r>
    </w:p>
  </w:footnote>
  <w:footnote w:id="2">
    <w:p w:rsidR="006727F7" w:rsidRPr="00997364" w:rsidRDefault="006727F7" w:rsidP="006727F7">
      <w:pPr>
        <w:pStyle w:val="Lbjegyzetszveg"/>
        <w:spacing w:line="360" w:lineRule="auto"/>
        <w:jc w:val="both"/>
      </w:pPr>
      <w:r w:rsidRPr="00997364">
        <w:rPr>
          <w:rStyle w:val="Lbjegyzet-hivatkozs"/>
        </w:rPr>
        <w:footnoteRef/>
      </w:r>
      <w:r w:rsidRPr="00997364">
        <w:t xml:space="preserve"> A továbbképzési finanszírozás annak tükrében még markánsabb jelentőséget hordoz, hogy az idei 10.</w:t>
      </w:r>
      <w:r>
        <w:t>500</w:t>
      </w:r>
      <w:r w:rsidRPr="00997364">
        <w:t>Ft.-os</w:t>
      </w:r>
      <w:r>
        <w:t xml:space="preserve"> pedagógus</w:t>
      </w:r>
      <w:r w:rsidRPr="00997364">
        <w:t xml:space="preserve"> továbbképzési normatíva a tervezet</w:t>
      </w:r>
      <w:r>
        <w:t>ek</w:t>
      </w:r>
      <w:r w:rsidRPr="00997364">
        <w:t xml:space="preserve"> szerint 2012-ben 6.400Ft.</w:t>
      </w:r>
      <w:r>
        <w:t>-ra csökken.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21E61"/>
    <w:multiLevelType w:val="hybridMultilevel"/>
    <w:tmpl w:val="56C67BE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7"/>
    <w:rsid w:val="00352D47"/>
    <w:rsid w:val="006727F7"/>
    <w:rsid w:val="007E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2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rsid w:val="006727F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727F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727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727F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6727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2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rsid w:val="006727F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727F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6727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727F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6727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1694</Words>
  <Characters>11693</Characters>
  <Application>Microsoft Office Word</Application>
  <DocSecurity>4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Németh Zsanett dr.</cp:lastModifiedBy>
  <cp:revision>2</cp:revision>
  <dcterms:created xsi:type="dcterms:W3CDTF">2011-11-14T14:17:00Z</dcterms:created>
  <dcterms:modified xsi:type="dcterms:W3CDTF">2011-11-14T14:17:00Z</dcterms:modified>
</cp:coreProperties>
</file>