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A0C" w:rsidRPr="00042F17" w:rsidRDefault="00AB6A0C" w:rsidP="00AB6A0C">
      <w:pPr>
        <w:suppressAutoHyphens w:val="0"/>
        <w:spacing w:line="240" w:lineRule="atLeast"/>
        <w:jc w:val="right"/>
        <w:rPr>
          <w:rFonts w:ascii="Tahoma" w:hAnsi="Tahoma" w:cs="Tahoma"/>
          <w:i/>
          <w:color w:val="222222"/>
          <w:kern w:val="0"/>
          <w:lang w:eastAsia="hu-HU"/>
        </w:rPr>
      </w:pPr>
      <w:r w:rsidRPr="00042F17">
        <w:rPr>
          <w:rFonts w:ascii="Tahoma" w:hAnsi="Tahoma" w:cs="Tahoma"/>
          <w:i/>
          <w:color w:val="222222"/>
          <w:kern w:val="0"/>
          <w:lang w:eastAsia="hu-HU"/>
        </w:rPr>
        <w:t xml:space="preserve">Melléklet </w:t>
      </w:r>
      <w:proofErr w:type="gramStart"/>
      <w:r w:rsidRPr="00042F17">
        <w:rPr>
          <w:rFonts w:ascii="Tahoma" w:hAnsi="Tahoma" w:cs="Tahoma"/>
          <w:i/>
          <w:color w:val="222222"/>
          <w:kern w:val="0"/>
          <w:lang w:eastAsia="hu-HU"/>
        </w:rPr>
        <w:t>a ….</w:t>
      </w:r>
      <w:proofErr w:type="gramEnd"/>
      <w:r w:rsidRPr="00042F17">
        <w:rPr>
          <w:rFonts w:ascii="Tahoma" w:hAnsi="Tahoma" w:cs="Tahoma"/>
          <w:i/>
          <w:color w:val="222222"/>
          <w:kern w:val="0"/>
          <w:lang w:eastAsia="hu-HU"/>
        </w:rPr>
        <w:t>./2012 (…..) önkormányzati rendelethez</w:t>
      </w:r>
    </w:p>
    <w:p w:rsidR="00AB6A0C" w:rsidRDefault="00AB6A0C" w:rsidP="00AB6A0C">
      <w:pPr>
        <w:rPr>
          <w:color w:val="000000"/>
          <w:kern w:val="0"/>
          <w:sz w:val="23"/>
          <w:szCs w:val="23"/>
          <w:lang w:eastAsia="hu-HU"/>
        </w:rPr>
      </w:pPr>
    </w:p>
    <w:p w:rsidR="00AB6A0C" w:rsidRPr="00042F17" w:rsidRDefault="00AB6A0C" w:rsidP="00AB6A0C">
      <w:pPr>
        <w:jc w:val="center"/>
        <w:rPr>
          <w:b/>
          <w:color w:val="000000"/>
          <w:kern w:val="0"/>
          <w:sz w:val="23"/>
          <w:szCs w:val="23"/>
          <w:lang w:eastAsia="hu-HU"/>
        </w:rPr>
      </w:pPr>
      <w:r w:rsidRPr="00042F17">
        <w:rPr>
          <w:b/>
          <w:color w:val="000000"/>
          <w:kern w:val="0"/>
          <w:sz w:val="23"/>
          <w:szCs w:val="23"/>
          <w:lang w:eastAsia="hu-HU"/>
        </w:rPr>
        <w:t>Az egyedi közzétételi lista tartalma</w:t>
      </w:r>
    </w:p>
    <w:p w:rsidR="00AB6A0C" w:rsidRPr="00B57B62" w:rsidRDefault="00AB6A0C" w:rsidP="00AB6A0C">
      <w:pPr>
        <w:rPr>
          <w:color w:val="000000"/>
          <w:kern w:val="0"/>
          <w:sz w:val="23"/>
          <w:szCs w:val="23"/>
          <w:lang w:eastAsia="hu-HU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2"/>
        <w:gridCol w:w="2461"/>
        <w:gridCol w:w="2379"/>
        <w:tblGridChange w:id="0">
          <w:tblGrid>
            <w:gridCol w:w="4232"/>
            <w:gridCol w:w="2461"/>
            <w:gridCol w:w="2379"/>
          </w:tblGrid>
        </w:tblGridChange>
      </w:tblGrid>
      <w:tr w:rsidR="00AB6A0C" w:rsidRPr="00654557" w:rsidTr="007F3592">
        <w:tc>
          <w:tcPr>
            <w:tcW w:w="5475" w:type="dxa"/>
            <w:shd w:val="clear" w:color="auto" w:fill="FFFFFF"/>
            <w:vAlign w:val="center"/>
            <w:hideMark/>
          </w:tcPr>
          <w:p w:rsidR="00AB6A0C" w:rsidRPr="00654557" w:rsidRDefault="00AB6A0C" w:rsidP="007F3592">
            <w:pPr>
              <w:suppressAutoHyphens w:val="0"/>
              <w:spacing w:line="240" w:lineRule="atLeast"/>
              <w:jc w:val="both"/>
              <w:rPr>
                <w:rFonts w:ascii="Tahoma" w:hAnsi="Tahoma" w:cs="Tahoma"/>
                <w:color w:val="222222"/>
                <w:kern w:val="0"/>
                <w:lang w:eastAsia="hu-HU"/>
              </w:rPr>
            </w:pPr>
            <w:r>
              <w:rPr>
                <w:rFonts w:ascii="Tahoma" w:hAnsi="Tahoma" w:cs="Tahoma"/>
                <w:color w:val="222222"/>
                <w:kern w:val="0"/>
                <w:lang w:eastAsia="hu-HU"/>
              </w:rPr>
              <w:t>Adat</w:t>
            </w:r>
          </w:p>
        </w:tc>
        <w:tc>
          <w:tcPr>
            <w:tcW w:w="3135" w:type="dxa"/>
            <w:shd w:val="clear" w:color="auto" w:fill="FFFFFF"/>
            <w:vAlign w:val="center"/>
            <w:hideMark/>
          </w:tcPr>
          <w:p w:rsidR="00AB6A0C" w:rsidRDefault="00AB6A0C" w:rsidP="007F3592">
            <w:pPr>
              <w:suppressAutoHyphens w:val="0"/>
              <w:spacing w:line="240" w:lineRule="atLeast"/>
              <w:jc w:val="center"/>
              <w:rPr>
                <w:rFonts w:ascii="Tahoma" w:hAnsi="Tahoma" w:cs="Tahoma"/>
                <w:color w:val="222222"/>
                <w:kern w:val="0"/>
                <w:lang w:eastAsia="hu-HU"/>
              </w:rPr>
            </w:pPr>
            <w:r>
              <w:rPr>
                <w:rFonts w:ascii="Tahoma" w:hAnsi="Tahoma" w:cs="Tahoma"/>
                <w:color w:val="222222"/>
                <w:kern w:val="0"/>
                <w:lang w:eastAsia="hu-HU"/>
              </w:rPr>
              <w:t>Frissítés</w:t>
            </w:r>
          </w:p>
        </w:tc>
        <w:tc>
          <w:tcPr>
            <w:tcW w:w="3135" w:type="dxa"/>
            <w:shd w:val="clear" w:color="auto" w:fill="FFFFFF"/>
            <w:vAlign w:val="center"/>
            <w:hideMark/>
          </w:tcPr>
          <w:p w:rsidR="00AB6A0C" w:rsidRPr="00654557" w:rsidRDefault="00AB6A0C" w:rsidP="007F3592">
            <w:pPr>
              <w:suppressAutoHyphens w:val="0"/>
              <w:spacing w:line="240" w:lineRule="atLeast"/>
              <w:jc w:val="both"/>
              <w:rPr>
                <w:rFonts w:ascii="Tahoma" w:hAnsi="Tahoma" w:cs="Tahoma"/>
                <w:color w:val="222222"/>
                <w:kern w:val="0"/>
                <w:lang w:eastAsia="hu-HU"/>
              </w:rPr>
            </w:pPr>
            <w:r>
              <w:rPr>
                <w:rFonts w:ascii="Tahoma" w:hAnsi="Tahoma" w:cs="Tahoma"/>
                <w:color w:val="222222"/>
                <w:kern w:val="0"/>
                <w:lang w:eastAsia="hu-HU"/>
              </w:rPr>
              <w:t>Megőrzés</w:t>
            </w:r>
          </w:p>
        </w:tc>
      </w:tr>
      <w:tr w:rsidR="00AB6A0C" w:rsidRPr="00654557" w:rsidTr="007F3592">
        <w:tc>
          <w:tcPr>
            <w:tcW w:w="5475" w:type="dxa"/>
            <w:shd w:val="clear" w:color="auto" w:fill="FFFFFF"/>
            <w:vAlign w:val="center"/>
            <w:hideMark/>
          </w:tcPr>
          <w:p w:rsidR="00AB6A0C" w:rsidRPr="00654557" w:rsidRDefault="00AB6A0C" w:rsidP="007F3592">
            <w:pPr>
              <w:suppressAutoHyphens w:val="0"/>
              <w:spacing w:line="240" w:lineRule="atLeast"/>
              <w:jc w:val="both"/>
              <w:rPr>
                <w:rFonts w:ascii="Tahoma" w:hAnsi="Tahoma" w:cs="Tahoma"/>
                <w:color w:val="222222"/>
                <w:kern w:val="0"/>
                <w:lang w:eastAsia="hu-HU"/>
              </w:rPr>
            </w:pPr>
            <w:r w:rsidRPr="00654557">
              <w:rPr>
                <w:rFonts w:ascii="Tahoma" w:hAnsi="Tahoma" w:cs="Tahoma"/>
                <w:color w:val="222222"/>
                <w:kern w:val="0"/>
                <w:lang w:eastAsia="hu-HU"/>
              </w:rPr>
              <w:br/>
            </w:r>
            <w:r>
              <w:rPr>
                <w:rFonts w:ascii="Tahoma" w:hAnsi="Tahoma" w:cs="Tahoma"/>
                <w:color w:val="222222"/>
                <w:kern w:val="0"/>
                <w:lang w:eastAsia="hu-HU"/>
              </w:rPr>
              <w:t>„</w:t>
            </w:r>
            <w:proofErr w:type="gramStart"/>
            <w:r w:rsidRPr="00654557">
              <w:rPr>
                <w:rFonts w:ascii="Tahoma" w:hAnsi="Tahoma" w:cs="Tahoma"/>
                <w:color w:val="222222"/>
                <w:kern w:val="0"/>
                <w:lang w:eastAsia="hu-HU"/>
              </w:rPr>
              <w:t>Az államháztartás pénzeszközei felhasználásával, az államháztartáshoz tartozó vagyonnal törté</w:t>
            </w:r>
            <w:r>
              <w:rPr>
                <w:rFonts w:ascii="Tahoma" w:hAnsi="Tahoma" w:cs="Tahoma"/>
                <w:color w:val="222222"/>
                <w:kern w:val="0"/>
                <w:lang w:eastAsia="hu-HU"/>
              </w:rPr>
              <w:t>nő gazdálkodással összefüggő, egy</w:t>
            </w:r>
            <w:r w:rsidRPr="00654557">
              <w:rPr>
                <w:rFonts w:ascii="Tahoma" w:hAnsi="Tahoma" w:cs="Tahoma"/>
                <w:color w:val="222222"/>
                <w:kern w:val="0"/>
                <w:lang w:eastAsia="hu-HU"/>
              </w:rPr>
              <w:t>millió forintot elérő vagy azt meghaladó értékű árubeszerzésre, építési beruházásra, szolgáltatás megrendelésre, vagyonértékesítésre, vagyonhasznosításra, vagyon vagy vagyoni értékű jog átadására, valamint koncesszióba adásra vonatkozó szerződések megnevezése (típusa), tárgya, a szerződést kötő felek neve, a szerződés értéke, határozott időre kötött szerződés esetében annak időtartama, valamint az említett adatok változásai, a nemzetbiztonsági, illetve honvédelmi érdekkel</w:t>
            </w:r>
            <w:proofErr w:type="gramEnd"/>
            <w:r w:rsidRPr="00654557">
              <w:rPr>
                <w:rFonts w:ascii="Tahoma" w:hAnsi="Tahoma" w:cs="Tahoma"/>
                <w:color w:val="222222"/>
                <w:kern w:val="0"/>
                <w:lang w:eastAsia="hu-HU"/>
              </w:rPr>
              <w:t xml:space="preserve"> közvetlenül összefüggő beszerzések adatai, és a minősített adatok kivételével</w:t>
            </w:r>
            <w:r w:rsidRPr="00654557">
              <w:rPr>
                <w:rFonts w:ascii="Tahoma" w:hAnsi="Tahoma" w:cs="Tahoma"/>
                <w:color w:val="222222"/>
                <w:kern w:val="0"/>
                <w:lang w:eastAsia="hu-HU"/>
              </w:rPr>
              <w:br/>
            </w:r>
            <w:proofErr w:type="gramStart"/>
            <w:r w:rsidRPr="00654557">
              <w:rPr>
                <w:rFonts w:ascii="Tahoma" w:hAnsi="Tahoma" w:cs="Tahoma"/>
                <w:color w:val="222222"/>
                <w:kern w:val="0"/>
                <w:lang w:eastAsia="hu-HU"/>
              </w:rPr>
              <w:t>A</w:t>
            </w:r>
            <w:proofErr w:type="gramEnd"/>
            <w:r w:rsidRPr="00654557">
              <w:rPr>
                <w:rFonts w:ascii="Tahoma" w:hAnsi="Tahoma" w:cs="Tahoma"/>
                <w:color w:val="222222"/>
                <w:kern w:val="0"/>
                <w:lang w:eastAsia="hu-HU"/>
              </w:rPr>
              <w:t xml:space="preserve"> szerződés értéke alatt a szerződés tárgyáért kikötött </w:t>
            </w:r>
            <w:r>
              <w:rPr>
                <w:rFonts w:ascii="Tahoma" w:hAnsi="Tahoma" w:cs="Tahoma"/>
                <w:color w:val="222222"/>
                <w:kern w:val="0"/>
                <w:lang w:eastAsia="hu-HU"/>
              </w:rPr>
              <w:t>–</w:t>
            </w:r>
            <w:r w:rsidRPr="00654557">
              <w:rPr>
                <w:rFonts w:ascii="Tahoma" w:hAnsi="Tahoma" w:cs="Tahoma"/>
                <w:color w:val="222222"/>
                <w:kern w:val="0"/>
                <w:lang w:eastAsia="hu-HU"/>
              </w:rPr>
              <w:t xml:space="preserve"> általános forgalmi adó nélkül számított </w:t>
            </w:r>
            <w:r>
              <w:rPr>
                <w:rFonts w:ascii="Tahoma" w:hAnsi="Tahoma" w:cs="Tahoma"/>
                <w:color w:val="222222"/>
                <w:kern w:val="0"/>
                <w:lang w:eastAsia="hu-HU"/>
              </w:rPr>
              <w:t xml:space="preserve">– </w:t>
            </w:r>
            <w:r w:rsidRPr="00654557">
              <w:rPr>
                <w:rFonts w:ascii="Tahoma" w:hAnsi="Tahoma" w:cs="Tahoma"/>
                <w:color w:val="222222"/>
                <w:kern w:val="0"/>
                <w:lang w:eastAsia="hu-HU"/>
              </w:rPr>
              <w:t xml:space="preserve"> ellenszolgáltatást kell érteni, ingyenes ügylet esetén a vagyon piaci vagy könyv szerinti értéke közül a magasabb összeget kell figyelembe venn</w:t>
            </w:r>
            <w:r>
              <w:rPr>
                <w:rFonts w:ascii="Tahoma" w:hAnsi="Tahoma" w:cs="Tahoma"/>
                <w:color w:val="222222"/>
                <w:kern w:val="0"/>
                <w:lang w:eastAsia="hu-HU"/>
              </w:rPr>
              <w:t>i. Az időszakonként visszatérő –</w:t>
            </w:r>
            <w:r w:rsidRPr="00654557">
              <w:rPr>
                <w:rFonts w:ascii="Tahoma" w:hAnsi="Tahoma" w:cs="Tahoma"/>
                <w:color w:val="222222"/>
                <w:kern w:val="0"/>
                <w:lang w:eastAsia="hu-HU"/>
              </w:rPr>
              <w:t xml:space="preserve"> egy évn</w:t>
            </w:r>
            <w:r>
              <w:rPr>
                <w:rFonts w:ascii="Tahoma" w:hAnsi="Tahoma" w:cs="Tahoma"/>
                <w:color w:val="222222"/>
                <w:kern w:val="0"/>
                <w:lang w:eastAsia="hu-HU"/>
              </w:rPr>
              <w:t>él hosszabb időtartamra kötött –</w:t>
            </w:r>
            <w:r w:rsidRPr="00654557">
              <w:rPr>
                <w:rFonts w:ascii="Tahoma" w:hAnsi="Tahoma" w:cs="Tahoma"/>
                <w:color w:val="222222"/>
                <w:kern w:val="0"/>
                <w:lang w:eastAsia="hu-HU"/>
              </w:rPr>
              <w:t xml:space="preserve"> szerződéseknél az érték kiszámításakor az ellenszolgáltatás egy évre számított összegét kell alapul venni. Az egy költségvetési évben ugyanazon szerződő féllel kötött azonos tárgyú szerződések értékét egybe kell számítani</w:t>
            </w:r>
          </w:p>
        </w:tc>
        <w:tc>
          <w:tcPr>
            <w:tcW w:w="3135" w:type="dxa"/>
            <w:shd w:val="clear" w:color="auto" w:fill="FFFFFF"/>
            <w:vAlign w:val="center"/>
            <w:hideMark/>
          </w:tcPr>
          <w:p w:rsidR="00AB6A0C" w:rsidRPr="00654557" w:rsidRDefault="00AB6A0C" w:rsidP="007F3592">
            <w:pPr>
              <w:suppressAutoHyphens w:val="0"/>
              <w:spacing w:line="240" w:lineRule="atLeast"/>
              <w:jc w:val="center"/>
              <w:rPr>
                <w:rFonts w:ascii="Tahoma" w:hAnsi="Tahoma" w:cs="Tahoma"/>
                <w:color w:val="222222"/>
                <w:kern w:val="0"/>
                <w:lang w:eastAsia="hu-HU"/>
              </w:rPr>
            </w:pPr>
            <w:r>
              <w:rPr>
                <w:rFonts w:ascii="Tahoma" w:hAnsi="Tahoma" w:cs="Tahoma"/>
                <w:color w:val="222222"/>
                <w:kern w:val="0"/>
                <w:lang w:eastAsia="hu-HU"/>
              </w:rPr>
              <w:t xml:space="preserve">A döntés meghozatalát </w:t>
            </w:r>
            <w:r w:rsidRPr="00654557">
              <w:rPr>
                <w:rFonts w:ascii="Tahoma" w:hAnsi="Tahoma" w:cs="Tahoma"/>
                <w:color w:val="222222"/>
                <w:kern w:val="0"/>
                <w:lang w:eastAsia="hu-HU"/>
              </w:rPr>
              <w:t>követő hatvanadik napig</w:t>
            </w:r>
          </w:p>
        </w:tc>
        <w:tc>
          <w:tcPr>
            <w:tcW w:w="3135" w:type="dxa"/>
            <w:shd w:val="clear" w:color="auto" w:fill="FFFFFF"/>
            <w:vAlign w:val="center"/>
            <w:hideMark/>
          </w:tcPr>
          <w:p w:rsidR="00AB6A0C" w:rsidRPr="00654557" w:rsidRDefault="00AB6A0C" w:rsidP="007F3592">
            <w:pPr>
              <w:suppressAutoHyphens w:val="0"/>
              <w:spacing w:line="240" w:lineRule="atLeast"/>
              <w:jc w:val="both"/>
              <w:rPr>
                <w:rFonts w:ascii="Tahoma" w:hAnsi="Tahoma" w:cs="Tahoma"/>
                <w:color w:val="222222"/>
                <w:kern w:val="0"/>
                <w:lang w:eastAsia="hu-HU"/>
              </w:rPr>
            </w:pPr>
            <w:r w:rsidRPr="00654557">
              <w:rPr>
                <w:rFonts w:ascii="Tahoma" w:hAnsi="Tahoma" w:cs="Tahoma"/>
                <w:color w:val="222222"/>
                <w:kern w:val="0"/>
                <w:lang w:eastAsia="hu-HU"/>
              </w:rPr>
              <w:t>A közzétételt követő 5 évig”</w:t>
            </w:r>
          </w:p>
        </w:tc>
      </w:tr>
    </w:tbl>
    <w:p w:rsidR="00F43A9E" w:rsidRDefault="00F43A9E">
      <w:bookmarkStart w:id="1" w:name="_GoBack"/>
      <w:bookmarkEnd w:id="1"/>
    </w:p>
    <w:sectPr w:rsidR="00F43A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A0C"/>
    <w:rsid w:val="00AB6A0C"/>
    <w:rsid w:val="00F4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Normal1,Normal11"/>
    <w:qFormat/>
    <w:rsid w:val="00AB6A0C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Normal1,Normal11"/>
    <w:qFormat/>
    <w:rsid w:val="00AB6A0C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Mayersz</dc:creator>
  <cp:keywords/>
  <dc:description/>
  <cp:lastModifiedBy>Mayersz</cp:lastModifiedBy>
  <cp:revision>1</cp:revision>
  <dcterms:created xsi:type="dcterms:W3CDTF">2012-12-04T14:10:00Z</dcterms:created>
  <dcterms:modified xsi:type="dcterms:W3CDTF">2012-12-04T14:10:00Z</dcterms:modified>
</cp:coreProperties>
</file>