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44E" w:rsidRPr="00D36854" w:rsidRDefault="003A744E" w:rsidP="003A744E">
      <w:pPr>
        <w:autoSpaceDE w:val="0"/>
        <w:autoSpaceDN w:val="0"/>
        <w:adjustRightInd w:val="0"/>
        <w:jc w:val="center"/>
        <w:rPr>
          <w:b/>
          <w:caps/>
        </w:rPr>
      </w:pPr>
      <w:r w:rsidRPr="00D36854">
        <w:rPr>
          <w:b/>
          <w:caps/>
        </w:rPr>
        <w:t>Budapest</w:t>
      </w:r>
      <w:r w:rsidR="00DA6679">
        <w:rPr>
          <w:b/>
          <w:caps/>
        </w:rPr>
        <w:t xml:space="preserve"> Főváros</w:t>
      </w:r>
      <w:r w:rsidRPr="00D36854">
        <w:rPr>
          <w:b/>
          <w:caps/>
        </w:rPr>
        <w:t xml:space="preserve"> </w:t>
      </w:r>
      <w:r>
        <w:rPr>
          <w:b/>
          <w:caps/>
        </w:rPr>
        <w:t>VII</w:t>
      </w:r>
      <w:r w:rsidRPr="00D36854">
        <w:rPr>
          <w:b/>
          <w:caps/>
        </w:rPr>
        <w:t>. Kerület</w:t>
      </w:r>
      <w:r>
        <w:rPr>
          <w:b/>
          <w:caps/>
        </w:rPr>
        <w:t xml:space="preserve"> Erzsébetváros</w:t>
      </w:r>
    </w:p>
    <w:p w:rsidR="003A744E" w:rsidRPr="00D36854" w:rsidRDefault="003A744E" w:rsidP="003A744E">
      <w:pPr>
        <w:autoSpaceDE w:val="0"/>
        <w:autoSpaceDN w:val="0"/>
        <w:adjustRightInd w:val="0"/>
        <w:jc w:val="center"/>
        <w:rPr>
          <w:b/>
          <w:caps/>
        </w:rPr>
      </w:pPr>
      <w:r w:rsidRPr="00D36854">
        <w:rPr>
          <w:b/>
          <w:caps/>
        </w:rPr>
        <w:t xml:space="preserve"> településfejlesztéssel</w:t>
      </w:r>
      <w:r w:rsidR="00745DF3">
        <w:rPr>
          <w:b/>
          <w:caps/>
        </w:rPr>
        <w:t xml:space="preserve"> </w:t>
      </w:r>
      <w:proofErr w:type="gramStart"/>
      <w:r w:rsidRPr="00D36854">
        <w:rPr>
          <w:b/>
          <w:caps/>
        </w:rPr>
        <w:t>és</w:t>
      </w:r>
      <w:proofErr w:type="gramEnd"/>
      <w:r w:rsidRPr="00D36854">
        <w:rPr>
          <w:b/>
          <w:caps/>
        </w:rPr>
        <w:t xml:space="preserve"> településrendezéssel összefüggő </w:t>
      </w:r>
    </w:p>
    <w:p w:rsidR="003A744E" w:rsidRPr="00D36854" w:rsidRDefault="003A744E" w:rsidP="003A744E">
      <w:pPr>
        <w:autoSpaceDE w:val="0"/>
        <w:autoSpaceDN w:val="0"/>
        <w:adjustRightInd w:val="0"/>
        <w:jc w:val="center"/>
        <w:rPr>
          <w:b/>
          <w:caps/>
        </w:rPr>
      </w:pPr>
      <w:r w:rsidRPr="00D36854">
        <w:rPr>
          <w:b/>
          <w:caps/>
        </w:rPr>
        <w:t>Partnerségi Egyeztetés Szabályai</w:t>
      </w:r>
    </w:p>
    <w:p w:rsidR="003A744E" w:rsidRDefault="003A744E" w:rsidP="003A744E">
      <w:pPr>
        <w:autoSpaceDE w:val="0"/>
        <w:autoSpaceDN w:val="0"/>
        <w:adjustRightInd w:val="0"/>
        <w:jc w:val="both"/>
        <w:rPr>
          <w:bCs/>
          <w:i/>
        </w:rPr>
      </w:pPr>
    </w:p>
    <w:p w:rsidR="003A744E" w:rsidRPr="00D36854" w:rsidRDefault="003A744E" w:rsidP="003A744E">
      <w:pPr>
        <w:autoSpaceDE w:val="0"/>
        <w:autoSpaceDN w:val="0"/>
        <w:adjustRightInd w:val="0"/>
        <w:jc w:val="both"/>
        <w:rPr>
          <w:bCs/>
          <w:i/>
        </w:rPr>
      </w:pPr>
    </w:p>
    <w:p w:rsidR="003A744E" w:rsidRPr="00D36854" w:rsidRDefault="003A744E" w:rsidP="003A744E">
      <w:pPr>
        <w:jc w:val="both"/>
      </w:pPr>
      <w:r w:rsidRPr="00D36854">
        <w:t xml:space="preserve">A szabályzat elkészítésének a célja, hogy a településfejlesztési és településrendezési dokumentumok megalkotására irányuló eljárás során történő egyeztetéseknél biztosítani lehessen a minél szélesebb körű véleményezői partnerek bevonását, a vélemények megfelelő dokumentálási rendszerét és az elfogadott településrendezési eszközök nyilvánosságát. </w:t>
      </w:r>
    </w:p>
    <w:p w:rsidR="003A744E" w:rsidRPr="00D36854" w:rsidRDefault="003A744E" w:rsidP="003A744E">
      <w:pPr>
        <w:autoSpaceDE w:val="0"/>
        <w:autoSpaceDN w:val="0"/>
        <w:adjustRightInd w:val="0"/>
        <w:jc w:val="both"/>
        <w:rPr>
          <w:bCs/>
          <w:i/>
        </w:rPr>
      </w:pPr>
    </w:p>
    <w:p w:rsidR="003A744E" w:rsidRPr="00D36854" w:rsidRDefault="003A744E" w:rsidP="003A744E">
      <w:pPr>
        <w:jc w:val="both"/>
      </w:pPr>
      <w:r w:rsidRPr="00D36854">
        <w:t>A településfejlesztési koncepcióról, az integrált településfejlesztési stratégiáról és a településrendezési eszközökről, valamint egyes településrendezési sajátos jogintézményekről szóló 314/2012. (XI. 8.) Korm. rendelet 29.§</w:t>
      </w:r>
      <w:proofErr w:type="spellStart"/>
      <w:r w:rsidRPr="00D36854">
        <w:t>-</w:t>
      </w:r>
      <w:proofErr w:type="gramStart"/>
      <w:r w:rsidRPr="00D36854">
        <w:t>a</w:t>
      </w:r>
      <w:proofErr w:type="spellEnd"/>
      <w:proofErr w:type="gramEnd"/>
      <w:r w:rsidRPr="00D36854">
        <w:t xml:space="preserve"> alapján Budapest </w:t>
      </w:r>
      <w:r>
        <w:t>VII</w:t>
      </w:r>
      <w:r w:rsidRPr="00D36854">
        <w:t xml:space="preserve">. </w:t>
      </w:r>
      <w:r>
        <w:t>k</w:t>
      </w:r>
      <w:r w:rsidRPr="00D36854">
        <w:t xml:space="preserve">erület </w:t>
      </w:r>
      <w:r>
        <w:t xml:space="preserve">Erzsébetváros </w:t>
      </w:r>
      <w:r w:rsidRPr="00D36854">
        <w:t>településfejlesztéssel és településrendezéssel összefüggő Partnerségi Egyeztetés Szabályai az alábbiak:</w:t>
      </w:r>
    </w:p>
    <w:p w:rsidR="003A744E" w:rsidRPr="00D36854" w:rsidRDefault="003A744E" w:rsidP="003A744E">
      <w:pPr>
        <w:jc w:val="both"/>
      </w:pPr>
    </w:p>
    <w:p w:rsidR="003A744E" w:rsidRPr="00D36854" w:rsidRDefault="003A744E" w:rsidP="003A744E">
      <w:pPr>
        <w:numPr>
          <w:ilvl w:val="0"/>
          <w:numId w:val="1"/>
        </w:numPr>
        <w:spacing w:line="360" w:lineRule="auto"/>
        <w:rPr>
          <w:b/>
        </w:rPr>
      </w:pPr>
      <w:r w:rsidRPr="00D36854">
        <w:rPr>
          <w:b/>
        </w:rPr>
        <w:t>Az egyeztetésben résztvevők (a továbbiakban: partnerek) köre:</w:t>
      </w:r>
    </w:p>
    <w:p w:rsidR="003A744E" w:rsidRPr="00D36854" w:rsidRDefault="003A744E" w:rsidP="003A744E">
      <w:pPr>
        <w:numPr>
          <w:ilvl w:val="0"/>
          <w:numId w:val="3"/>
        </w:numPr>
        <w:spacing w:after="120"/>
        <w:jc w:val="both"/>
      </w:pPr>
      <w:r w:rsidRPr="00D36854">
        <w:t>A kerület teljes lakossága</w:t>
      </w:r>
    </w:p>
    <w:p w:rsidR="003A744E" w:rsidRPr="00D36854" w:rsidRDefault="003A744E" w:rsidP="003A744E">
      <w:pPr>
        <w:numPr>
          <w:ilvl w:val="0"/>
          <w:numId w:val="3"/>
        </w:numPr>
        <w:spacing w:after="120"/>
        <w:jc w:val="both"/>
      </w:pPr>
      <w:r w:rsidRPr="00D36854">
        <w:t>Valamennyi kerületi településfejlesztéssel, településrendezéssel összefüggésbe hozható kerületi székhelyű építészeti, mérnöki szakmai érdekképviseleti szervezet</w:t>
      </w:r>
      <w:r>
        <w:t xml:space="preserve"> és kerületi székhellyel, telephellyel rendelkező gazdálkodó szervezet. </w:t>
      </w:r>
    </w:p>
    <w:p w:rsidR="003A744E" w:rsidRPr="0040190E" w:rsidRDefault="0040190E" w:rsidP="003A744E">
      <w:pPr>
        <w:numPr>
          <w:ilvl w:val="0"/>
          <w:numId w:val="3"/>
        </w:numPr>
        <w:spacing w:after="120"/>
        <w:jc w:val="both"/>
      </w:pPr>
      <w:r w:rsidRPr="0040190E">
        <w:t>Valamennyi, az Önkormányzatnál regisztrál civil szervezet</w:t>
      </w:r>
    </w:p>
    <w:p w:rsidR="003A744E" w:rsidRPr="00DD481B" w:rsidRDefault="003A744E" w:rsidP="003A744E">
      <w:pPr>
        <w:numPr>
          <w:ilvl w:val="0"/>
          <w:numId w:val="3"/>
        </w:numPr>
        <w:spacing w:after="120"/>
        <w:jc w:val="both"/>
      </w:pPr>
      <w:r w:rsidRPr="00DD481B">
        <w:t>Valamennyi</w:t>
      </w:r>
      <w:r w:rsidR="0040190E">
        <w:t xml:space="preserve">, a </w:t>
      </w:r>
      <w:r w:rsidRPr="00DD481B">
        <w:t>kerületben működő</w:t>
      </w:r>
      <w:r w:rsidR="0040190E">
        <w:t>,</w:t>
      </w:r>
      <w:r w:rsidRPr="00DD481B">
        <w:t xml:space="preserve"> elismert egyház</w:t>
      </w:r>
    </w:p>
    <w:p w:rsidR="003A744E" w:rsidRPr="00DD481B" w:rsidRDefault="003A744E" w:rsidP="003A744E">
      <w:pPr>
        <w:numPr>
          <w:ilvl w:val="0"/>
          <w:numId w:val="3"/>
        </w:numPr>
        <w:spacing w:after="120"/>
        <w:jc w:val="both"/>
      </w:pPr>
      <w:r w:rsidRPr="00DD481B">
        <w:t>A környezet védelmének általános szabályairól szóló 1995. évi LIII. törvény 98. § (2) a) pontja alapján a településrendezési eszközök véleményezési eljárásába bejelentkező szervezetek</w:t>
      </w:r>
    </w:p>
    <w:p w:rsidR="003A744E" w:rsidRPr="00D36854" w:rsidRDefault="003A744E" w:rsidP="003A744E">
      <w:pPr>
        <w:ind w:left="1080"/>
        <w:jc w:val="both"/>
      </w:pPr>
    </w:p>
    <w:p w:rsidR="003A744E" w:rsidRPr="00D36854" w:rsidRDefault="003A744E" w:rsidP="003A744E">
      <w:pPr>
        <w:numPr>
          <w:ilvl w:val="0"/>
          <w:numId w:val="1"/>
        </w:numPr>
        <w:spacing w:line="360" w:lineRule="auto"/>
        <w:rPr>
          <w:b/>
        </w:rPr>
      </w:pPr>
      <w:r w:rsidRPr="00D36854">
        <w:rPr>
          <w:b/>
        </w:rPr>
        <w:t>A partnerek tájékoztatásának módja és eszközei:</w:t>
      </w:r>
    </w:p>
    <w:p w:rsidR="003A744E" w:rsidRPr="00D36854" w:rsidRDefault="003A744E" w:rsidP="003A744E">
      <w:pPr>
        <w:numPr>
          <w:ilvl w:val="1"/>
          <w:numId w:val="1"/>
        </w:numPr>
        <w:spacing w:line="360" w:lineRule="auto"/>
        <w:rPr>
          <w:b/>
        </w:rPr>
      </w:pPr>
      <w:r w:rsidRPr="00D36854">
        <w:rPr>
          <w:b/>
        </w:rPr>
        <w:t>A tájékoztatás megindítása és a véleményezés lehetőségei:</w:t>
      </w:r>
    </w:p>
    <w:p w:rsidR="003A744E" w:rsidRPr="00D36854" w:rsidRDefault="003A744E" w:rsidP="003A744E">
      <w:pPr>
        <w:numPr>
          <w:ilvl w:val="3"/>
          <w:numId w:val="1"/>
        </w:numPr>
        <w:spacing w:after="120"/>
        <w:ind w:left="1418"/>
        <w:jc w:val="both"/>
      </w:pPr>
      <w:r w:rsidRPr="00D36854">
        <w:t xml:space="preserve">Az Önkormányzat a partnerek tájékoztatásának elősegítésére a kerületi </w:t>
      </w:r>
      <w:r w:rsidRPr="00A63D46">
        <w:t>honlapon külön tárhelyet</w:t>
      </w:r>
      <w:r w:rsidRPr="00D36854">
        <w:t xml:space="preserve"> biztosít a partnerségi egyeztetés során keletkező dokumentációk egységes megjelentethetősége érdekében.</w:t>
      </w:r>
    </w:p>
    <w:p w:rsidR="003A744E" w:rsidRDefault="003A744E" w:rsidP="003A744E">
      <w:pPr>
        <w:numPr>
          <w:ilvl w:val="3"/>
          <w:numId w:val="1"/>
        </w:numPr>
        <w:spacing w:after="120"/>
        <w:ind w:left="1418"/>
        <w:jc w:val="both"/>
      </w:pPr>
      <w:r w:rsidRPr="00D36854">
        <w:t xml:space="preserve">Az településfejlesztési/településrendezési dokumentumtól és az egyeztetési eljárás módjától függően az 1. számú táblázatban meghatározott egyeztetési szakaszokban a polgármester az értelmezéshez szükséges </w:t>
      </w:r>
      <w:proofErr w:type="spellStart"/>
      <w:r w:rsidRPr="00D36854">
        <w:t>részletezettségű</w:t>
      </w:r>
      <w:proofErr w:type="spellEnd"/>
      <w:r w:rsidRPr="00D36854">
        <w:t xml:space="preserve"> és szükség esetén alátámasztó munkarészeket tartalmazó tájékoztatást tölt fel a kerületi honlapon </w:t>
      </w:r>
      <w:r w:rsidRPr="00A63D46">
        <w:t>biztosított tárhelyre, melynek</w:t>
      </w:r>
      <w:r w:rsidRPr="00D36854">
        <w:t xml:space="preserve"> megjelenéséről felhívást tesz közzé</w:t>
      </w:r>
    </w:p>
    <w:p w:rsidR="00DA6679" w:rsidRPr="00DB13C6" w:rsidRDefault="00DA6679" w:rsidP="00DA6679">
      <w:pPr>
        <w:numPr>
          <w:ilvl w:val="1"/>
          <w:numId w:val="2"/>
        </w:numPr>
        <w:spacing w:after="120"/>
        <w:ind w:left="1843"/>
        <w:jc w:val="both"/>
      </w:pPr>
      <w:r w:rsidRPr="00DB13C6">
        <w:t xml:space="preserve">helyben szokásos módon, </w:t>
      </w:r>
    </w:p>
    <w:p w:rsidR="003A744E" w:rsidRPr="00DB13C6" w:rsidRDefault="00DA6679" w:rsidP="003A744E">
      <w:pPr>
        <w:numPr>
          <w:ilvl w:val="1"/>
          <w:numId w:val="2"/>
        </w:numPr>
        <w:spacing w:after="120"/>
        <w:ind w:left="1843"/>
        <w:jc w:val="both"/>
      </w:pPr>
      <w:r w:rsidRPr="00DB13C6">
        <w:t>a</w:t>
      </w:r>
      <w:r w:rsidR="003A744E" w:rsidRPr="00DB13C6">
        <w:t xml:space="preserve"> kerületi honlap főoldalán, </w:t>
      </w:r>
    </w:p>
    <w:p w:rsidR="003A744E" w:rsidRPr="00DB13C6" w:rsidRDefault="00DA6679" w:rsidP="003A744E">
      <w:pPr>
        <w:numPr>
          <w:ilvl w:val="1"/>
          <w:numId w:val="2"/>
        </w:numPr>
        <w:spacing w:after="120"/>
        <w:ind w:left="1843"/>
        <w:jc w:val="both"/>
      </w:pPr>
      <w:r w:rsidRPr="00DB13C6">
        <w:t xml:space="preserve">Erzsébetváros </w:t>
      </w:r>
      <w:r w:rsidR="00A63D46" w:rsidRPr="00DB13C6">
        <w:t xml:space="preserve">ingyenes </w:t>
      </w:r>
      <w:r w:rsidRPr="00DB13C6">
        <w:t>lapjában</w:t>
      </w:r>
      <w:r w:rsidR="003A744E" w:rsidRPr="00DB13C6">
        <w:t>.</w:t>
      </w:r>
    </w:p>
    <w:p w:rsidR="003A744E" w:rsidRDefault="003A744E" w:rsidP="003A744E">
      <w:pPr>
        <w:spacing w:after="120"/>
        <w:ind w:left="1843"/>
        <w:jc w:val="both"/>
      </w:pPr>
    </w:p>
    <w:p w:rsidR="00A63D46" w:rsidRPr="00D36854" w:rsidRDefault="00A63D46" w:rsidP="003A744E">
      <w:pPr>
        <w:spacing w:after="120"/>
        <w:ind w:left="1843"/>
        <w:jc w:val="both"/>
      </w:pPr>
    </w:p>
    <w:p w:rsidR="003A744E" w:rsidRPr="00D36854" w:rsidRDefault="003A744E" w:rsidP="003A744E">
      <w:pPr>
        <w:numPr>
          <w:ilvl w:val="0"/>
          <w:numId w:val="4"/>
        </w:numPr>
        <w:spacing w:after="120"/>
        <w:jc w:val="both"/>
      </w:pPr>
      <w:r w:rsidRPr="00D36854">
        <w:lastRenderedPageBreak/>
        <w:t>számú táblázat:</w:t>
      </w:r>
    </w:p>
    <w:tbl>
      <w:tblPr>
        <w:tblW w:w="8647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0"/>
        <w:gridCol w:w="2150"/>
        <w:gridCol w:w="1468"/>
        <w:gridCol w:w="1509"/>
      </w:tblGrid>
      <w:tr w:rsidR="003A744E" w:rsidRPr="00D36854" w:rsidTr="00DD0228">
        <w:tc>
          <w:tcPr>
            <w:tcW w:w="3520" w:type="dxa"/>
          </w:tcPr>
          <w:p w:rsidR="003A744E" w:rsidRPr="00D36854" w:rsidRDefault="003A744E" w:rsidP="00DD0228">
            <w:pPr>
              <w:spacing w:after="120"/>
              <w:jc w:val="both"/>
              <w:rPr>
                <w:b/>
              </w:rPr>
            </w:pPr>
            <w:r w:rsidRPr="00D36854">
              <w:rPr>
                <w:b/>
              </w:rPr>
              <w:t>Dokumentum</w:t>
            </w:r>
          </w:p>
        </w:tc>
        <w:tc>
          <w:tcPr>
            <w:tcW w:w="2150" w:type="dxa"/>
          </w:tcPr>
          <w:p w:rsidR="003A744E" w:rsidRPr="00D36854" w:rsidRDefault="003A744E" w:rsidP="00DD0228">
            <w:pPr>
              <w:spacing w:after="120"/>
              <w:jc w:val="both"/>
              <w:rPr>
                <w:b/>
              </w:rPr>
            </w:pPr>
            <w:r w:rsidRPr="00D36854">
              <w:rPr>
                <w:b/>
              </w:rPr>
              <w:t>Eljárás fajtája</w:t>
            </w:r>
          </w:p>
        </w:tc>
        <w:tc>
          <w:tcPr>
            <w:tcW w:w="1468" w:type="dxa"/>
          </w:tcPr>
          <w:p w:rsidR="003A744E" w:rsidRPr="00D36854" w:rsidRDefault="003A744E" w:rsidP="00DD0228">
            <w:pPr>
              <w:spacing w:after="120"/>
              <w:jc w:val="both"/>
              <w:rPr>
                <w:b/>
              </w:rPr>
            </w:pPr>
            <w:r w:rsidRPr="00D36854">
              <w:rPr>
                <w:b/>
              </w:rPr>
              <w:t>Előzetes tájékoztatás</w:t>
            </w:r>
          </w:p>
        </w:tc>
        <w:tc>
          <w:tcPr>
            <w:tcW w:w="1509" w:type="dxa"/>
          </w:tcPr>
          <w:p w:rsidR="003A744E" w:rsidRPr="00D36854" w:rsidRDefault="003A744E" w:rsidP="00DD0228">
            <w:pPr>
              <w:spacing w:after="120"/>
              <w:jc w:val="both"/>
              <w:rPr>
                <w:b/>
              </w:rPr>
            </w:pPr>
            <w:r w:rsidRPr="00D36854">
              <w:rPr>
                <w:b/>
              </w:rPr>
              <w:t>Elfogadás előtti tájékoztatás</w:t>
            </w:r>
          </w:p>
        </w:tc>
      </w:tr>
      <w:tr w:rsidR="003A744E" w:rsidRPr="00D36854" w:rsidTr="00DD0228">
        <w:tc>
          <w:tcPr>
            <w:tcW w:w="3520" w:type="dxa"/>
          </w:tcPr>
          <w:p w:rsidR="003A744E" w:rsidRPr="00D36854" w:rsidRDefault="003A744E" w:rsidP="00DD0228">
            <w:pPr>
              <w:spacing w:after="120"/>
              <w:jc w:val="both"/>
            </w:pPr>
            <w:r w:rsidRPr="00D36854">
              <w:t>Településfejlesztési koncepció</w:t>
            </w:r>
          </w:p>
        </w:tc>
        <w:tc>
          <w:tcPr>
            <w:tcW w:w="2150" w:type="dxa"/>
          </w:tcPr>
          <w:p w:rsidR="003A744E" w:rsidRPr="00D36854" w:rsidRDefault="003A744E" w:rsidP="00DD0228">
            <w:pPr>
              <w:spacing w:after="120"/>
              <w:jc w:val="both"/>
            </w:pPr>
            <w:r w:rsidRPr="00D36854">
              <w:t>-</w:t>
            </w:r>
          </w:p>
        </w:tc>
        <w:tc>
          <w:tcPr>
            <w:tcW w:w="1468" w:type="dxa"/>
          </w:tcPr>
          <w:p w:rsidR="003A744E" w:rsidRPr="00D36854" w:rsidRDefault="003A744E" w:rsidP="00DD0228">
            <w:pPr>
              <w:spacing w:after="120"/>
              <w:jc w:val="both"/>
            </w:pPr>
            <w:r w:rsidRPr="00D36854">
              <w:t>van</w:t>
            </w:r>
          </w:p>
        </w:tc>
        <w:tc>
          <w:tcPr>
            <w:tcW w:w="1509" w:type="dxa"/>
          </w:tcPr>
          <w:p w:rsidR="003A744E" w:rsidRPr="00D36854" w:rsidRDefault="003A744E" w:rsidP="00DD0228">
            <w:pPr>
              <w:spacing w:after="120"/>
              <w:jc w:val="both"/>
            </w:pPr>
            <w:r w:rsidRPr="00D36854">
              <w:t>van</w:t>
            </w:r>
          </w:p>
        </w:tc>
      </w:tr>
      <w:tr w:rsidR="003A744E" w:rsidRPr="00D36854" w:rsidTr="00DD0228">
        <w:tc>
          <w:tcPr>
            <w:tcW w:w="3520" w:type="dxa"/>
          </w:tcPr>
          <w:p w:rsidR="003A744E" w:rsidRPr="00D36854" w:rsidRDefault="003A744E" w:rsidP="00DD0228">
            <w:pPr>
              <w:spacing w:after="120"/>
              <w:jc w:val="both"/>
            </w:pPr>
            <w:r w:rsidRPr="00D36854">
              <w:t>Integrált településfejlesztési stratégia</w:t>
            </w:r>
          </w:p>
        </w:tc>
        <w:tc>
          <w:tcPr>
            <w:tcW w:w="2150" w:type="dxa"/>
          </w:tcPr>
          <w:p w:rsidR="003A744E" w:rsidRPr="00D36854" w:rsidRDefault="003A744E" w:rsidP="00DD0228">
            <w:pPr>
              <w:spacing w:after="120"/>
              <w:jc w:val="both"/>
            </w:pPr>
            <w:r w:rsidRPr="00D36854">
              <w:t>-</w:t>
            </w:r>
          </w:p>
        </w:tc>
        <w:tc>
          <w:tcPr>
            <w:tcW w:w="1468" w:type="dxa"/>
          </w:tcPr>
          <w:p w:rsidR="003A744E" w:rsidRPr="00D36854" w:rsidRDefault="003A744E" w:rsidP="00DD0228">
            <w:pPr>
              <w:spacing w:after="120"/>
              <w:jc w:val="both"/>
            </w:pPr>
            <w:r w:rsidRPr="00D36854">
              <w:t>nincs</w:t>
            </w:r>
          </w:p>
        </w:tc>
        <w:tc>
          <w:tcPr>
            <w:tcW w:w="1509" w:type="dxa"/>
          </w:tcPr>
          <w:p w:rsidR="003A744E" w:rsidRPr="00D36854" w:rsidRDefault="003A744E" w:rsidP="00DD0228">
            <w:pPr>
              <w:spacing w:after="120"/>
              <w:jc w:val="both"/>
            </w:pPr>
            <w:r w:rsidRPr="00D36854">
              <w:t>van</w:t>
            </w:r>
          </w:p>
        </w:tc>
      </w:tr>
      <w:tr w:rsidR="003A744E" w:rsidRPr="00D36854" w:rsidTr="00DD0228">
        <w:tc>
          <w:tcPr>
            <w:tcW w:w="3520" w:type="dxa"/>
            <w:vMerge w:val="restart"/>
          </w:tcPr>
          <w:p w:rsidR="003A744E" w:rsidRPr="00D36854" w:rsidRDefault="003A744E" w:rsidP="00DD0228">
            <w:pPr>
              <w:spacing w:after="120"/>
              <w:jc w:val="both"/>
            </w:pPr>
            <w:r w:rsidRPr="00D36854">
              <w:t>Településrendezési eszközök (pl. helyi építési szabályzat)</w:t>
            </w:r>
          </w:p>
        </w:tc>
        <w:tc>
          <w:tcPr>
            <w:tcW w:w="2150" w:type="dxa"/>
          </w:tcPr>
          <w:p w:rsidR="003A744E" w:rsidRPr="00D36854" w:rsidRDefault="003A744E" w:rsidP="00DD0228">
            <w:pPr>
              <w:spacing w:after="120"/>
              <w:jc w:val="both"/>
            </w:pPr>
            <w:r w:rsidRPr="00D36854">
              <w:t>Teljes eljárás</w:t>
            </w:r>
          </w:p>
          <w:p w:rsidR="003A744E" w:rsidRPr="00D36854" w:rsidRDefault="003A744E" w:rsidP="00DD0228">
            <w:pPr>
              <w:spacing w:after="120"/>
              <w:jc w:val="both"/>
            </w:pPr>
          </w:p>
        </w:tc>
        <w:tc>
          <w:tcPr>
            <w:tcW w:w="1468" w:type="dxa"/>
          </w:tcPr>
          <w:p w:rsidR="003A744E" w:rsidRPr="00D36854" w:rsidRDefault="003A744E" w:rsidP="00DD0228">
            <w:pPr>
              <w:spacing w:after="120"/>
              <w:jc w:val="both"/>
            </w:pPr>
            <w:r w:rsidRPr="00D36854">
              <w:t>van</w:t>
            </w:r>
          </w:p>
        </w:tc>
        <w:tc>
          <w:tcPr>
            <w:tcW w:w="1509" w:type="dxa"/>
          </w:tcPr>
          <w:p w:rsidR="003A744E" w:rsidRPr="00D36854" w:rsidRDefault="003A744E" w:rsidP="00DD0228">
            <w:pPr>
              <w:spacing w:after="120"/>
              <w:jc w:val="both"/>
            </w:pPr>
            <w:r w:rsidRPr="00D36854">
              <w:t>van</w:t>
            </w:r>
          </w:p>
        </w:tc>
      </w:tr>
      <w:tr w:rsidR="003A744E" w:rsidRPr="00D36854" w:rsidTr="00DD0228">
        <w:tc>
          <w:tcPr>
            <w:tcW w:w="3520" w:type="dxa"/>
            <w:vMerge/>
          </w:tcPr>
          <w:p w:rsidR="003A744E" w:rsidRPr="00D36854" w:rsidRDefault="003A744E" w:rsidP="00DD0228">
            <w:pPr>
              <w:spacing w:after="120"/>
              <w:jc w:val="both"/>
            </w:pPr>
          </w:p>
        </w:tc>
        <w:tc>
          <w:tcPr>
            <w:tcW w:w="2150" w:type="dxa"/>
          </w:tcPr>
          <w:p w:rsidR="003A744E" w:rsidRPr="00D36854" w:rsidRDefault="003A744E" w:rsidP="00DD0228">
            <w:pPr>
              <w:spacing w:after="120"/>
              <w:jc w:val="both"/>
            </w:pPr>
            <w:r w:rsidRPr="00D36854">
              <w:t>Egyszerűsített eljárás</w:t>
            </w:r>
          </w:p>
        </w:tc>
        <w:tc>
          <w:tcPr>
            <w:tcW w:w="1468" w:type="dxa"/>
          </w:tcPr>
          <w:p w:rsidR="003A744E" w:rsidRPr="00D36854" w:rsidRDefault="003A744E" w:rsidP="00DD0228">
            <w:pPr>
              <w:spacing w:after="120"/>
              <w:jc w:val="both"/>
            </w:pPr>
            <w:r w:rsidRPr="00D36854">
              <w:t>nincs</w:t>
            </w:r>
          </w:p>
        </w:tc>
        <w:tc>
          <w:tcPr>
            <w:tcW w:w="1509" w:type="dxa"/>
          </w:tcPr>
          <w:p w:rsidR="003A744E" w:rsidRPr="00D36854" w:rsidRDefault="003A744E" w:rsidP="00DD0228">
            <w:pPr>
              <w:spacing w:after="120"/>
              <w:jc w:val="both"/>
            </w:pPr>
            <w:r w:rsidRPr="00D36854">
              <w:t>van</w:t>
            </w:r>
          </w:p>
        </w:tc>
      </w:tr>
      <w:tr w:rsidR="003A744E" w:rsidRPr="00D36854" w:rsidTr="00DD0228">
        <w:tc>
          <w:tcPr>
            <w:tcW w:w="3520" w:type="dxa"/>
            <w:vMerge/>
          </w:tcPr>
          <w:p w:rsidR="003A744E" w:rsidRPr="00D36854" w:rsidRDefault="003A744E" w:rsidP="00DD0228">
            <w:pPr>
              <w:spacing w:after="120"/>
              <w:jc w:val="both"/>
            </w:pPr>
          </w:p>
        </w:tc>
        <w:tc>
          <w:tcPr>
            <w:tcW w:w="2150" w:type="dxa"/>
          </w:tcPr>
          <w:p w:rsidR="003A744E" w:rsidRPr="00D36854" w:rsidRDefault="003A744E" w:rsidP="00DD0228">
            <w:pPr>
              <w:spacing w:after="120"/>
              <w:jc w:val="both"/>
            </w:pPr>
            <w:r w:rsidRPr="00D36854">
              <w:t>Tárgyalásos eljárás</w:t>
            </w:r>
          </w:p>
        </w:tc>
        <w:tc>
          <w:tcPr>
            <w:tcW w:w="1468" w:type="dxa"/>
          </w:tcPr>
          <w:p w:rsidR="003A744E" w:rsidRPr="00D36854" w:rsidRDefault="003A744E" w:rsidP="00DD0228">
            <w:pPr>
              <w:spacing w:after="120"/>
              <w:jc w:val="both"/>
            </w:pPr>
            <w:r w:rsidRPr="00D36854">
              <w:t>nincs</w:t>
            </w:r>
          </w:p>
        </w:tc>
        <w:tc>
          <w:tcPr>
            <w:tcW w:w="1509" w:type="dxa"/>
          </w:tcPr>
          <w:p w:rsidR="003A744E" w:rsidRPr="00D36854" w:rsidRDefault="003A744E" w:rsidP="00DD0228">
            <w:pPr>
              <w:spacing w:after="120"/>
              <w:jc w:val="both"/>
            </w:pPr>
            <w:r w:rsidRPr="00D36854">
              <w:t>van</w:t>
            </w:r>
          </w:p>
        </w:tc>
      </w:tr>
    </w:tbl>
    <w:p w:rsidR="003A744E" w:rsidRPr="00D36854" w:rsidRDefault="003A744E" w:rsidP="003A744E">
      <w:pPr>
        <w:spacing w:after="120"/>
        <w:jc w:val="both"/>
      </w:pPr>
    </w:p>
    <w:p w:rsidR="003A744E" w:rsidRPr="00D36854" w:rsidRDefault="003A744E" w:rsidP="003A744E">
      <w:pPr>
        <w:numPr>
          <w:ilvl w:val="3"/>
          <w:numId w:val="1"/>
        </w:numPr>
        <w:spacing w:after="120"/>
        <w:ind w:left="1418"/>
        <w:jc w:val="both"/>
      </w:pPr>
      <w:r w:rsidRPr="00D36854">
        <w:t>A közzétett tájékoztató alapján a partnerek a tájékoztatóban meghatározott határidőig írásos észrevételeket tehetnek az alábbi módokon:</w:t>
      </w:r>
    </w:p>
    <w:p w:rsidR="003A744E" w:rsidRPr="00D36854" w:rsidRDefault="003A744E" w:rsidP="003A744E">
      <w:pPr>
        <w:numPr>
          <w:ilvl w:val="1"/>
          <w:numId w:val="2"/>
        </w:numPr>
        <w:spacing w:after="120"/>
        <w:ind w:left="1843"/>
        <w:jc w:val="both"/>
      </w:pPr>
      <w:r w:rsidRPr="00D36854">
        <w:t>az írásos észrevétel Polgármesteri Hivatal Főépítészi Irodájának címére (1</w:t>
      </w:r>
      <w:r>
        <w:t>07</w:t>
      </w:r>
      <w:r w:rsidR="00AE1869">
        <w:t>6</w:t>
      </w:r>
      <w:r w:rsidRPr="00D36854">
        <w:t xml:space="preserve"> Budapest, </w:t>
      </w:r>
      <w:r>
        <w:t>Garay u.</w:t>
      </w:r>
      <w:r w:rsidRPr="00D36854">
        <w:t xml:space="preserve"> </w:t>
      </w:r>
      <w:r>
        <w:t>5</w:t>
      </w:r>
      <w:r w:rsidRPr="00D36854">
        <w:t>.) történő megküldésével,</w:t>
      </w:r>
    </w:p>
    <w:p w:rsidR="003A744E" w:rsidRPr="00D36854" w:rsidRDefault="003A744E" w:rsidP="003A744E">
      <w:pPr>
        <w:ind w:left="360"/>
        <w:rPr>
          <w:b/>
        </w:rPr>
      </w:pPr>
    </w:p>
    <w:p w:rsidR="003A744E" w:rsidRPr="00D36854" w:rsidRDefault="003A744E" w:rsidP="003A744E">
      <w:pPr>
        <w:numPr>
          <w:ilvl w:val="1"/>
          <w:numId w:val="1"/>
        </w:numPr>
        <w:spacing w:line="360" w:lineRule="auto"/>
        <w:rPr>
          <w:b/>
        </w:rPr>
      </w:pPr>
      <w:r w:rsidRPr="00D36854">
        <w:rPr>
          <w:b/>
        </w:rPr>
        <w:t>A javaslatok, vélemények dokumentálásának, nyilvántartásának módja:</w:t>
      </w:r>
    </w:p>
    <w:p w:rsidR="003A744E" w:rsidRPr="00D36854" w:rsidRDefault="003A744E" w:rsidP="003A744E">
      <w:pPr>
        <w:numPr>
          <w:ilvl w:val="3"/>
          <w:numId w:val="1"/>
        </w:numPr>
        <w:spacing w:after="120"/>
        <w:ind w:left="1418"/>
        <w:jc w:val="both"/>
      </w:pPr>
      <w:r w:rsidRPr="00D36854">
        <w:t>A beérkezett véleményeket a Főépítészi Irod</w:t>
      </w:r>
      <w:r w:rsidR="0095127D">
        <w:t>a</w:t>
      </w:r>
      <w:r w:rsidRPr="00D36854">
        <w:t xml:space="preserve"> táblázatban összegzi.</w:t>
      </w:r>
    </w:p>
    <w:p w:rsidR="003A744E" w:rsidRPr="00D36854" w:rsidRDefault="003A744E" w:rsidP="003A744E">
      <w:pPr>
        <w:numPr>
          <w:ilvl w:val="3"/>
          <w:numId w:val="1"/>
        </w:numPr>
        <w:spacing w:after="120"/>
        <w:ind w:left="1418"/>
        <w:jc w:val="both"/>
      </w:pPr>
      <w:r w:rsidRPr="00D36854">
        <w:t>A véleményekről készített táblázatot az ügy aktájában lefűzve meg kell őrizni.</w:t>
      </w:r>
    </w:p>
    <w:p w:rsidR="003A744E" w:rsidRPr="00D36854" w:rsidRDefault="003A744E" w:rsidP="003A744E">
      <w:pPr>
        <w:ind w:left="360"/>
        <w:rPr>
          <w:b/>
        </w:rPr>
      </w:pPr>
    </w:p>
    <w:p w:rsidR="003A744E" w:rsidRPr="00D36854" w:rsidRDefault="003A744E" w:rsidP="003A744E">
      <w:pPr>
        <w:numPr>
          <w:ilvl w:val="1"/>
          <w:numId w:val="1"/>
        </w:numPr>
        <w:rPr>
          <w:b/>
        </w:rPr>
      </w:pPr>
      <w:r w:rsidRPr="00D36854">
        <w:rPr>
          <w:b/>
        </w:rPr>
        <w:t>Az el nem fogadott javaslatok, vélemények indokolásának módja, a dokumentálásuk, nyilvántartásuk rendje:</w:t>
      </w:r>
    </w:p>
    <w:p w:rsidR="003A744E" w:rsidRPr="00D36854" w:rsidRDefault="003A744E" w:rsidP="003A744E">
      <w:pPr>
        <w:ind w:left="360"/>
        <w:rPr>
          <w:b/>
        </w:rPr>
      </w:pPr>
    </w:p>
    <w:p w:rsidR="003A744E" w:rsidRPr="00D36854" w:rsidRDefault="003A744E" w:rsidP="003A744E">
      <w:pPr>
        <w:numPr>
          <w:ilvl w:val="3"/>
          <w:numId w:val="1"/>
        </w:numPr>
        <w:spacing w:after="120"/>
        <w:ind w:left="1418"/>
        <w:jc w:val="both"/>
      </w:pPr>
      <w:r w:rsidRPr="00D36854">
        <w:t xml:space="preserve">Valamennyi beérkező véleményt tartalmazó táblázatot a Főépítészi Iroda megküldi </w:t>
      </w:r>
      <w:r>
        <w:t xml:space="preserve">a fejlesztési dokumentum, ill. </w:t>
      </w:r>
      <w:r w:rsidRPr="00507260">
        <w:t>a településrendezési eszköz</w:t>
      </w:r>
      <w:r w:rsidRPr="00D36854">
        <w:t xml:space="preserve"> készítésével megbízott tervezőnek, aki szakmai javaslatot készít a Főépítészi Iroda részére.</w:t>
      </w:r>
    </w:p>
    <w:p w:rsidR="003A744E" w:rsidRPr="00A63D46" w:rsidRDefault="003A744E" w:rsidP="003A744E">
      <w:pPr>
        <w:numPr>
          <w:ilvl w:val="3"/>
          <w:numId w:val="1"/>
        </w:numPr>
        <w:spacing w:after="120"/>
        <w:ind w:left="1418"/>
        <w:jc w:val="both"/>
      </w:pPr>
      <w:r w:rsidRPr="00D36854">
        <w:t xml:space="preserve">A tervezői szakmai javaslat alapján a Főépítészi Iroda valamennyi érdemi </w:t>
      </w:r>
      <w:r w:rsidRPr="00A63D46">
        <w:t>észrevételre választ állít össze, melyben külön megindokolja a beérkezett, de el nem fogadott véleményekre adott válaszát.</w:t>
      </w:r>
    </w:p>
    <w:p w:rsidR="003A744E" w:rsidRPr="00A63D46" w:rsidRDefault="003A744E" w:rsidP="003A744E">
      <w:pPr>
        <w:numPr>
          <w:ilvl w:val="3"/>
          <w:numId w:val="1"/>
        </w:numPr>
        <w:spacing w:after="120"/>
        <w:ind w:left="1418"/>
        <w:jc w:val="both"/>
      </w:pPr>
      <w:r w:rsidRPr="00A63D46">
        <w:t>Az el nem fogadott javaslatok, vélemények indokolását tartalmazó táblázatot a Főépítészi Iroda feltölti a II./1./a pontban meghatározott tárhelyre, és erről hirdetményt jelentet meg a kerületi honlapon.</w:t>
      </w:r>
    </w:p>
    <w:p w:rsidR="003A744E" w:rsidRPr="00D36854" w:rsidRDefault="003A744E" w:rsidP="003A744E">
      <w:pPr>
        <w:numPr>
          <w:ilvl w:val="3"/>
          <w:numId w:val="1"/>
        </w:numPr>
        <w:spacing w:after="120"/>
        <w:ind w:left="1418"/>
        <w:jc w:val="both"/>
      </w:pPr>
      <w:r w:rsidRPr="00D36854">
        <w:t>Az el nem fogadott javaslatokról, véleményekről készített táblázatot az ügy aktájában lefűzve meg kell őrizni.</w:t>
      </w:r>
    </w:p>
    <w:p w:rsidR="003A744E" w:rsidRDefault="003A744E" w:rsidP="003A744E">
      <w:pPr>
        <w:spacing w:after="120"/>
        <w:ind w:left="1418"/>
        <w:jc w:val="both"/>
      </w:pPr>
    </w:p>
    <w:p w:rsidR="00A63D46" w:rsidRDefault="00A63D46" w:rsidP="003A744E">
      <w:pPr>
        <w:spacing w:after="120"/>
        <w:ind w:left="1418"/>
        <w:jc w:val="both"/>
      </w:pPr>
    </w:p>
    <w:p w:rsidR="00A63D46" w:rsidRPr="00D36854" w:rsidRDefault="00A63D46" w:rsidP="003A744E">
      <w:pPr>
        <w:spacing w:after="120"/>
        <w:ind w:left="1418"/>
        <w:jc w:val="both"/>
      </w:pPr>
    </w:p>
    <w:p w:rsidR="003A744E" w:rsidRPr="00D36854" w:rsidRDefault="003A744E" w:rsidP="003A744E">
      <w:pPr>
        <w:numPr>
          <w:ilvl w:val="1"/>
          <w:numId w:val="1"/>
        </w:numPr>
        <w:rPr>
          <w:b/>
        </w:rPr>
      </w:pPr>
      <w:r w:rsidRPr="00D36854">
        <w:rPr>
          <w:b/>
        </w:rPr>
        <w:lastRenderedPageBreak/>
        <w:t>Az elfogadott koncepció, stratégia és településrendezési eszközök nyilvánosságát biztosító intézkedések:</w:t>
      </w:r>
    </w:p>
    <w:p w:rsidR="003A744E" w:rsidRPr="00D36854" w:rsidRDefault="003A744E" w:rsidP="003A744E">
      <w:pPr>
        <w:rPr>
          <w:b/>
        </w:rPr>
      </w:pPr>
    </w:p>
    <w:p w:rsidR="003A744E" w:rsidRPr="00A63D46" w:rsidRDefault="003A744E" w:rsidP="003A744E">
      <w:pPr>
        <w:numPr>
          <w:ilvl w:val="3"/>
          <w:numId w:val="1"/>
        </w:numPr>
        <w:spacing w:after="120"/>
        <w:ind w:left="1418"/>
        <w:jc w:val="both"/>
      </w:pPr>
      <w:r w:rsidRPr="00A63D46">
        <w:t>Valamennyi elfogadott koncepció, stratégia, és településrendezési eszköz jóváhagyásának kihirdetését követő 10 napon belül a Főépítészi Iroda az elfogadott településrendezési eszközt teljes terjedelmében feltölti a II./1./a pontban meghatározott tárhelyre.</w:t>
      </w:r>
    </w:p>
    <w:p w:rsidR="003A744E" w:rsidRPr="00A63D46" w:rsidRDefault="003A744E" w:rsidP="003A744E">
      <w:pPr>
        <w:numPr>
          <w:ilvl w:val="3"/>
          <w:numId w:val="1"/>
        </w:numPr>
        <w:spacing w:after="120"/>
        <w:ind w:left="1418"/>
        <w:jc w:val="both"/>
      </w:pPr>
      <w:r w:rsidRPr="00A63D46">
        <w:t xml:space="preserve">Az II./4./a pontban meghatározott intézkedésről a polgármester felhívást tesz közzé </w:t>
      </w:r>
      <w:proofErr w:type="gramStart"/>
      <w:r w:rsidRPr="00A63D46">
        <w:t>a</w:t>
      </w:r>
      <w:proofErr w:type="gramEnd"/>
      <w:r w:rsidRPr="00A63D46">
        <w:t xml:space="preserve"> </w:t>
      </w:r>
    </w:p>
    <w:p w:rsidR="00DA6679" w:rsidRPr="00A63D46" w:rsidRDefault="00385499" w:rsidP="00DA6679">
      <w:pPr>
        <w:numPr>
          <w:ilvl w:val="1"/>
          <w:numId w:val="2"/>
        </w:numPr>
        <w:spacing w:after="120"/>
        <w:ind w:left="1843"/>
        <w:jc w:val="both"/>
      </w:pPr>
      <w:r>
        <w:t>h</w:t>
      </w:r>
      <w:r w:rsidR="00DA6679" w:rsidRPr="00A63D46">
        <w:t xml:space="preserve">elyben szokásos módon, </w:t>
      </w:r>
    </w:p>
    <w:p w:rsidR="00DA6679" w:rsidRPr="00A63D46" w:rsidRDefault="00DA6679" w:rsidP="00DA6679">
      <w:pPr>
        <w:numPr>
          <w:ilvl w:val="1"/>
          <w:numId w:val="2"/>
        </w:numPr>
        <w:spacing w:after="120"/>
        <w:ind w:left="1843"/>
        <w:jc w:val="both"/>
      </w:pPr>
      <w:r w:rsidRPr="00A63D46">
        <w:t xml:space="preserve">a kerületi honlap főoldalán, </w:t>
      </w:r>
    </w:p>
    <w:p w:rsidR="00DA6679" w:rsidRPr="00A63D46" w:rsidRDefault="00DA6679" w:rsidP="00DA6679">
      <w:pPr>
        <w:numPr>
          <w:ilvl w:val="1"/>
          <w:numId w:val="2"/>
        </w:numPr>
        <w:spacing w:after="120"/>
        <w:ind w:left="1843"/>
        <w:jc w:val="both"/>
      </w:pPr>
      <w:r w:rsidRPr="00A63D46">
        <w:t>Erzsébetváros</w:t>
      </w:r>
      <w:r w:rsidR="00A63D46">
        <w:t xml:space="preserve"> ingyenes</w:t>
      </w:r>
      <w:r w:rsidRPr="00A63D46">
        <w:t xml:space="preserve"> lapjában.</w:t>
      </w:r>
    </w:p>
    <w:p w:rsidR="003A744E" w:rsidRPr="00D36854" w:rsidRDefault="003A744E" w:rsidP="003A744E">
      <w:pPr>
        <w:spacing w:after="120"/>
        <w:ind w:left="709"/>
        <w:jc w:val="both"/>
      </w:pPr>
    </w:p>
    <w:p w:rsidR="003A744E" w:rsidRPr="00D36854" w:rsidRDefault="003A744E" w:rsidP="003A744E">
      <w:pPr>
        <w:numPr>
          <w:ilvl w:val="0"/>
          <w:numId w:val="1"/>
        </w:numPr>
        <w:spacing w:line="360" w:lineRule="auto"/>
        <w:rPr>
          <w:b/>
        </w:rPr>
      </w:pPr>
      <w:r w:rsidRPr="00D36854">
        <w:rPr>
          <w:b/>
        </w:rPr>
        <w:t>A szabályok hatályossága:</w:t>
      </w:r>
    </w:p>
    <w:p w:rsidR="003A744E" w:rsidRPr="00D36854" w:rsidRDefault="003A744E" w:rsidP="003A744E">
      <w:pPr>
        <w:ind w:left="360"/>
        <w:rPr>
          <w:b/>
        </w:rPr>
      </w:pPr>
    </w:p>
    <w:p w:rsidR="003A744E" w:rsidRPr="00D36854" w:rsidRDefault="003A744E" w:rsidP="003A744E">
      <w:pPr>
        <w:numPr>
          <w:ilvl w:val="1"/>
          <w:numId w:val="1"/>
        </w:numPr>
        <w:rPr>
          <w:b/>
        </w:rPr>
      </w:pPr>
      <w:r w:rsidRPr="00D36854">
        <w:rPr>
          <w:b/>
        </w:rPr>
        <w:t>Területi hatály:</w:t>
      </w:r>
    </w:p>
    <w:p w:rsidR="003A744E" w:rsidRPr="00D36854" w:rsidRDefault="003A744E" w:rsidP="003A744E">
      <w:pPr>
        <w:ind w:left="1080"/>
        <w:rPr>
          <w:b/>
        </w:rPr>
      </w:pPr>
    </w:p>
    <w:p w:rsidR="003A744E" w:rsidRPr="00D36854" w:rsidRDefault="003A744E" w:rsidP="003A744E">
      <w:pPr>
        <w:ind w:left="1080"/>
      </w:pPr>
      <w:r w:rsidRPr="00D36854">
        <w:t>A szabályzat Budapest</w:t>
      </w:r>
      <w:r w:rsidR="00DA6679">
        <w:t xml:space="preserve"> Főváros</w:t>
      </w:r>
      <w:r w:rsidRPr="00D36854">
        <w:t xml:space="preserve"> </w:t>
      </w:r>
      <w:r>
        <w:t>VII</w:t>
      </w:r>
      <w:r w:rsidRPr="00D36854">
        <w:t xml:space="preserve">. kerület </w:t>
      </w:r>
      <w:r>
        <w:t xml:space="preserve">Erzsébetváros </w:t>
      </w:r>
      <w:r w:rsidRPr="00D36854">
        <w:t xml:space="preserve">közigazgatási területére készülő fejlesztési dokumentumokra és településrendezési eszközökre </w:t>
      </w:r>
      <w:r w:rsidR="00DA6679">
        <w:t>terjed ki</w:t>
      </w:r>
      <w:r w:rsidRPr="00D36854">
        <w:t>.</w:t>
      </w:r>
    </w:p>
    <w:p w:rsidR="003A744E" w:rsidRPr="00D36854" w:rsidRDefault="003A744E" w:rsidP="003A744E">
      <w:pPr>
        <w:ind w:left="1080"/>
        <w:rPr>
          <w:b/>
        </w:rPr>
      </w:pPr>
    </w:p>
    <w:p w:rsidR="003A744E" w:rsidRPr="00D36854" w:rsidRDefault="003A744E" w:rsidP="003A744E">
      <w:pPr>
        <w:numPr>
          <w:ilvl w:val="1"/>
          <w:numId w:val="1"/>
        </w:numPr>
        <w:rPr>
          <w:b/>
        </w:rPr>
      </w:pPr>
      <w:r w:rsidRPr="00D36854">
        <w:rPr>
          <w:b/>
        </w:rPr>
        <w:t xml:space="preserve">Időbeni hatály: </w:t>
      </w:r>
    </w:p>
    <w:p w:rsidR="003A744E" w:rsidRPr="00D36854" w:rsidRDefault="003A744E" w:rsidP="003A744E">
      <w:pPr>
        <w:ind w:left="360"/>
        <w:rPr>
          <w:b/>
        </w:rPr>
      </w:pPr>
      <w:bookmarkStart w:id="0" w:name="_GoBack"/>
      <w:bookmarkEnd w:id="0"/>
    </w:p>
    <w:p w:rsidR="003A744E" w:rsidRPr="00D36854" w:rsidRDefault="003A744E" w:rsidP="003A744E">
      <w:pPr>
        <w:ind w:left="1080"/>
      </w:pPr>
      <w:r w:rsidRPr="00D36854">
        <w:t xml:space="preserve">2013. </w:t>
      </w:r>
      <w:r w:rsidR="00B30C74">
        <w:t>március 1</w:t>
      </w:r>
      <w:r w:rsidRPr="00D36854">
        <w:t>-t</w:t>
      </w:r>
      <w:r w:rsidR="00B30C74">
        <w:t>ő</w:t>
      </w:r>
      <w:r w:rsidRPr="00D36854">
        <w:t>l visszavonásig érvényes.</w:t>
      </w:r>
    </w:p>
    <w:p w:rsidR="003A744E" w:rsidRPr="00D36854" w:rsidRDefault="003A744E" w:rsidP="003A744E">
      <w:pPr>
        <w:jc w:val="both"/>
      </w:pPr>
    </w:p>
    <w:p w:rsidR="00113900" w:rsidRDefault="00113900"/>
    <w:sectPr w:rsidR="001139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24D6F"/>
    <w:multiLevelType w:val="hybridMultilevel"/>
    <w:tmpl w:val="E6C8289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9200A8"/>
    <w:multiLevelType w:val="hybridMultilevel"/>
    <w:tmpl w:val="BEA2E3E2"/>
    <w:lvl w:ilvl="0" w:tplc="040E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A70E682C">
      <w:start w:val="1"/>
      <w:numFmt w:val="lowerLetter"/>
      <w:lvlText w:val="%4)"/>
      <w:lvlJc w:val="left"/>
      <w:pPr>
        <w:ind w:left="2520" w:hanging="360"/>
      </w:pPr>
      <w:rPr>
        <w:rFonts w:ascii="Times New Roman" w:hAnsi="Times New Roman" w:cs="Tahoma" w:hint="default"/>
      </w:r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97D68D32">
      <w:start w:val="5"/>
      <w:numFmt w:val="bullet"/>
      <w:lvlText w:val="-"/>
      <w:lvlJc w:val="left"/>
      <w:pPr>
        <w:ind w:left="4140" w:hanging="360"/>
      </w:pPr>
      <w:rPr>
        <w:rFonts w:ascii="Tahoma" w:eastAsia="Calibri" w:hAnsi="Tahoma" w:cs="Tahoma" w:hint="default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D457BF"/>
    <w:multiLevelType w:val="hybridMultilevel"/>
    <w:tmpl w:val="F198FB38"/>
    <w:lvl w:ilvl="0" w:tplc="4D2AB3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DCC165D"/>
    <w:multiLevelType w:val="hybridMultilevel"/>
    <w:tmpl w:val="2A8E15F4"/>
    <w:lvl w:ilvl="0" w:tplc="040E0013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700FD5C">
      <w:start w:val="1"/>
      <w:numFmt w:val="lowerLetter"/>
      <w:lvlText w:val="%4)"/>
      <w:lvlJc w:val="left"/>
      <w:pPr>
        <w:ind w:left="2520" w:hanging="360"/>
      </w:pPr>
      <w:rPr>
        <w:rFonts w:ascii="Tahoma" w:eastAsia="Calibri" w:hAnsi="Tahoma" w:cs="Tahoma"/>
      </w:r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97D68D32">
      <w:start w:val="5"/>
      <w:numFmt w:val="bullet"/>
      <w:lvlText w:val="-"/>
      <w:lvlJc w:val="left"/>
      <w:pPr>
        <w:ind w:left="4140" w:hanging="360"/>
      </w:pPr>
      <w:rPr>
        <w:rFonts w:ascii="Tahoma" w:eastAsia="Calibri" w:hAnsi="Tahoma" w:cs="Tahoma" w:hint="default"/>
      </w:r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44E"/>
    <w:rsid w:val="00113900"/>
    <w:rsid w:val="00385499"/>
    <w:rsid w:val="003A744E"/>
    <w:rsid w:val="0040190E"/>
    <w:rsid w:val="00700941"/>
    <w:rsid w:val="00720DBF"/>
    <w:rsid w:val="00745DF3"/>
    <w:rsid w:val="0095127D"/>
    <w:rsid w:val="00A63D46"/>
    <w:rsid w:val="00AE1869"/>
    <w:rsid w:val="00B30C74"/>
    <w:rsid w:val="00C51A8C"/>
    <w:rsid w:val="00DA6679"/>
    <w:rsid w:val="00DB13C6"/>
    <w:rsid w:val="00DD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A7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rsid w:val="003A744E"/>
    <w:pPr>
      <w:spacing w:before="120" w:after="120" w:line="560" w:lineRule="exact"/>
      <w:jc w:val="center"/>
    </w:pPr>
    <w:rPr>
      <w:rFonts w:ascii="Garamond" w:hAnsi="Garamond"/>
      <w:b/>
      <w:sz w:val="48"/>
      <w:szCs w:val="20"/>
    </w:rPr>
  </w:style>
  <w:style w:type="character" w:customStyle="1" w:styleId="Szvegtrzs2Char">
    <w:name w:val="Szövegtörzs 2 Char"/>
    <w:basedOn w:val="Bekezdsalapbettpusa"/>
    <w:link w:val="Szvegtrzs2"/>
    <w:rsid w:val="003A744E"/>
    <w:rPr>
      <w:rFonts w:ascii="Garamond" w:eastAsia="Times New Roman" w:hAnsi="Garamond" w:cs="Times New Roman"/>
      <w:b/>
      <w:sz w:val="48"/>
      <w:szCs w:val="20"/>
      <w:lang w:eastAsia="hu-HU"/>
    </w:rPr>
  </w:style>
  <w:style w:type="paragraph" w:customStyle="1" w:styleId="szveg">
    <w:name w:val="szöveg"/>
    <w:basedOn w:val="Norml"/>
    <w:rsid w:val="003A744E"/>
    <w:pPr>
      <w:widowControl w:val="0"/>
      <w:jc w:val="both"/>
    </w:pPr>
    <w:rPr>
      <w:rFonts w:ascii="Garamond" w:hAnsi="Garamond"/>
      <w:szCs w:val="20"/>
    </w:rPr>
  </w:style>
  <w:style w:type="paragraph" w:styleId="Szvegtrzs">
    <w:name w:val="Body Text"/>
    <w:basedOn w:val="Norml"/>
    <w:link w:val="SzvegtrzsChar"/>
    <w:uiPriority w:val="99"/>
    <w:unhideWhenUsed/>
    <w:rsid w:val="003A744E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3A744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nhideWhenUsed/>
    <w:rsid w:val="003A744E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3A744E"/>
    <w:rPr>
      <w:rFonts w:ascii="Times New Roman" w:eastAsia="Times New Roman" w:hAnsi="Times New Roman" w:cs="Times New Roman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A74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rsid w:val="003A744E"/>
    <w:pPr>
      <w:spacing w:before="120" w:after="120" w:line="560" w:lineRule="exact"/>
      <w:jc w:val="center"/>
    </w:pPr>
    <w:rPr>
      <w:rFonts w:ascii="Garamond" w:hAnsi="Garamond"/>
      <w:b/>
      <w:sz w:val="48"/>
      <w:szCs w:val="20"/>
    </w:rPr>
  </w:style>
  <w:style w:type="character" w:customStyle="1" w:styleId="Szvegtrzs2Char">
    <w:name w:val="Szövegtörzs 2 Char"/>
    <w:basedOn w:val="Bekezdsalapbettpusa"/>
    <w:link w:val="Szvegtrzs2"/>
    <w:rsid w:val="003A744E"/>
    <w:rPr>
      <w:rFonts w:ascii="Garamond" w:eastAsia="Times New Roman" w:hAnsi="Garamond" w:cs="Times New Roman"/>
      <w:b/>
      <w:sz w:val="48"/>
      <w:szCs w:val="20"/>
      <w:lang w:eastAsia="hu-HU"/>
    </w:rPr>
  </w:style>
  <w:style w:type="paragraph" w:customStyle="1" w:styleId="szveg">
    <w:name w:val="szöveg"/>
    <w:basedOn w:val="Norml"/>
    <w:rsid w:val="003A744E"/>
    <w:pPr>
      <w:widowControl w:val="0"/>
      <w:jc w:val="both"/>
    </w:pPr>
    <w:rPr>
      <w:rFonts w:ascii="Garamond" w:hAnsi="Garamond"/>
      <w:szCs w:val="20"/>
    </w:rPr>
  </w:style>
  <w:style w:type="paragraph" w:styleId="Szvegtrzs">
    <w:name w:val="Body Text"/>
    <w:basedOn w:val="Norml"/>
    <w:link w:val="SzvegtrzsChar"/>
    <w:uiPriority w:val="99"/>
    <w:unhideWhenUsed/>
    <w:rsid w:val="003A744E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3A744E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nhideWhenUsed/>
    <w:rsid w:val="003A744E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3A744E"/>
    <w:rPr>
      <w:rFonts w:ascii="Times New Roman" w:eastAsia="Times New Roman" w:hAnsi="Times New Roman" w:cs="Times New Roman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600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Fodor Szilvia</cp:lastModifiedBy>
  <cp:revision>15</cp:revision>
  <dcterms:created xsi:type="dcterms:W3CDTF">2013-02-11T12:52:00Z</dcterms:created>
  <dcterms:modified xsi:type="dcterms:W3CDTF">2013-02-12T10:53:00Z</dcterms:modified>
</cp:coreProperties>
</file>