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173837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3837" w:rsidRDefault="0017383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73837" w:rsidRDefault="001738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Juhász Gábor alpolgármester</w:t>
            </w:r>
            <w:bookmarkEnd w:id="0"/>
          </w:p>
        </w:tc>
      </w:tr>
    </w:tbl>
    <w:p w:rsidR="00173837" w:rsidRDefault="00173837" w:rsidP="00173837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173837" w:rsidRDefault="00173837" w:rsidP="00173837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1" w:name="bizottsagok"/>
      <w:r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73837" w:rsidRDefault="00173837" w:rsidP="0017383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A Képviselő-testület 2014. június 12-i rendkívüli ülésére</w:t>
      </w: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173837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3837" w:rsidRDefault="0017383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3837" w:rsidRDefault="0017383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73837">
              <w:rPr>
                <w:rFonts w:ascii="Times New Roman" w:hAnsi="Times New Roman"/>
                <w:sz w:val="24"/>
                <w:szCs w:val="24"/>
              </w:rPr>
              <w:t>A 2014/2015. nevelési évben indítható óvodai csoportok számának engedélyezése</w:t>
            </w:r>
          </w:p>
        </w:tc>
      </w:tr>
    </w:tbl>
    <w:p w:rsidR="00173837" w:rsidRDefault="00173837" w:rsidP="00173837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173837" w:rsidRDefault="00173837" w:rsidP="001738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173837" w:rsidRDefault="00173837" w:rsidP="001738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bookmarkStart w:id="2" w:name="elokeszito"/>
      <w:r>
        <w:rPr>
          <w:rFonts w:ascii="Times New Roman" w:hAnsi="Times New Roman"/>
          <w:sz w:val="24"/>
          <w:szCs w:val="24"/>
        </w:rPr>
        <w:t>Barta Erzsébet</w:t>
      </w:r>
      <w:bookmarkEnd w:id="2"/>
    </w:p>
    <w:p w:rsidR="00173837" w:rsidRDefault="00173837" w:rsidP="001738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3" w:name="elokeszitobeo"/>
      <w:r>
        <w:rPr>
          <w:rFonts w:ascii="Times New Roman" w:hAnsi="Times New Roman"/>
          <w:sz w:val="24"/>
          <w:szCs w:val="24"/>
        </w:rPr>
        <w:t>Humánszolgáltató Iroda vezetője</w:t>
      </w:r>
      <w:bookmarkEnd w:id="3"/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173837" w:rsidRDefault="00173837" w:rsidP="00173837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37" w:rsidRDefault="00173837" w:rsidP="001738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17383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</w:p>
    <w:p w:rsidR="00173837" w:rsidRDefault="00173837" w:rsidP="0017383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6002BF" w:rsidRDefault="00173837" w:rsidP="0017383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</w:t>
      </w:r>
      <w:r w:rsidR="006002BF">
        <w:rPr>
          <w:rFonts w:ascii="Times New Roman" w:hAnsi="Times New Roman"/>
          <w:b/>
          <w:bCs/>
          <w:sz w:val="24"/>
          <w:szCs w:val="24"/>
        </w:rPr>
        <w:t>z 1</w:t>
      </w:r>
      <w:proofErr w:type="gramStart"/>
      <w:r w:rsidR="006002BF">
        <w:rPr>
          <w:rFonts w:ascii="Times New Roman" w:hAnsi="Times New Roman"/>
          <w:b/>
          <w:bCs/>
          <w:sz w:val="24"/>
          <w:szCs w:val="24"/>
        </w:rPr>
        <w:t>.,</w:t>
      </w:r>
      <w:proofErr w:type="gramEnd"/>
      <w:r w:rsidR="006002BF">
        <w:rPr>
          <w:rFonts w:ascii="Times New Roman" w:hAnsi="Times New Roman"/>
          <w:b/>
          <w:bCs/>
          <w:sz w:val="24"/>
          <w:szCs w:val="24"/>
        </w:rPr>
        <w:t xml:space="preserve"> 3., 4., 5., 7., 9., 11.</w:t>
      </w:r>
      <w:r>
        <w:rPr>
          <w:rFonts w:ascii="Times New Roman" w:hAnsi="Times New Roman"/>
          <w:b/>
          <w:bCs/>
          <w:sz w:val="24"/>
          <w:szCs w:val="24"/>
        </w:rPr>
        <w:t xml:space="preserve"> határozatok elfogadásához egyszerű</w:t>
      </w:r>
      <w:r w:rsidR="006002BF">
        <w:rPr>
          <w:rFonts w:ascii="Times New Roman" w:hAnsi="Times New Roman"/>
          <w:b/>
          <w:bCs/>
          <w:sz w:val="24"/>
          <w:szCs w:val="24"/>
        </w:rPr>
        <w:t xml:space="preserve">, </w:t>
      </w:r>
    </w:p>
    <w:p w:rsidR="00173837" w:rsidRDefault="006002BF" w:rsidP="0017383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/>
          <w:bCs/>
          <w:sz w:val="24"/>
          <w:szCs w:val="24"/>
        </w:rPr>
        <w:t xml:space="preserve">a 2., 6., 8., 10., 12. határozatok elfogadásához minősített </w:t>
      </w:r>
      <w:r w:rsidR="00173837">
        <w:rPr>
          <w:rFonts w:ascii="Times New Roman" w:hAnsi="Times New Roman"/>
          <w:b/>
          <w:bCs/>
          <w:sz w:val="24"/>
          <w:szCs w:val="24"/>
        </w:rPr>
        <w:t>szavazattöbbség szükséges.</w:t>
      </w:r>
    </w:p>
    <w:p w:rsidR="00A170E6" w:rsidRDefault="00173837" w:rsidP="0047358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170E6" w:rsidRDefault="00A170E6" w:rsidP="00473586">
      <w:pPr>
        <w:rPr>
          <w:rFonts w:ascii="Times New Roman" w:hAnsi="Times New Roman"/>
          <w:b/>
          <w:bCs/>
          <w:sz w:val="24"/>
          <w:szCs w:val="24"/>
        </w:rPr>
      </w:pPr>
    </w:p>
    <w:p w:rsidR="00473586" w:rsidRDefault="00473586" w:rsidP="0047358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Tisztelt Képviselő-testület!</w:t>
      </w:r>
    </w:p>
    <w:p w:rsidR="00473586" w:rsidRDefault="00473586" w:rsidP="004735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köznevelésről szóló </w:t>
      </w:r>
      <w:r w:rsidRPr="00B6635B">
        <w:rPr>
          <w:rFonts w:ascii="Times New Roman" w:hAnsi="Times New Roman" w:cs="Times New Roman"/>
          <w:b/>
          <w:sz w:val="24"/>
          <w:szCs w:val="24"/>
        </w:rPr>
        <w:t>2011. évi CXC. törvény</w:t>
      </w:r>
      <w:r>
        <w:rPr>
          <w:rFonts w:ascii="Times New Roman" w:hAnsi="Times New Roman" w:cs="Times New Roman"/>
          <w:sz w:val="24"/>
          <w:szCs w:val="24"/>
        </w:rPr>
        <w:t xml:space="preserve"> az óvodai felvétel, átvétel rendjét -2014. IX. 1-től - az alábbiak szerint határozza meg: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8. § </w:t>
      </w:r>
      <w:r>
        <w:rPr>
          <w:rFonts w:ascii="Times New Roman" w:hAnsi="Times New Roman" w:cs="Times New Roman"/>
          <w:i/>
          <w:sz w:val="24"/>
          <w:szCs w:val="24"/>
        </w:rPr>
        <w:t>(1) Az óvoda a gyermek hároméves korától a tankötelezettség kezdetéig nevelő intézmény. Az óvoda felveheti azt a gyermeket is, aki a harmadik életévét a felvételtől számított fél éven belül betölti, feltéve, hogy minden, a településen, fővárosi kerületben, vagy ha a felvételi körzet több településen található, az érintett településeken lakóhellyel, ennek hiányában tartózkodási hellyel rendelkező hároméves és annál idősebb gyermek óvodai felvételi kérelme teljesíthető.”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73586" w:rsidRPr="00D119F6" w:rsidRDefault="00473586" w:rsidP="00473586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9F6">
        <w:rPr>
          <w:rFonts w:ascii="Times New Roman" w:hAnsi="Times New Roman" w:cs="Times New Roman"/>
          <w:i/>
          <w:sz w:val="24"/>
          <w:szCs w:val="24"/>
        </w:rPr>
        <w:t>„</w:t>
      </w:r>
      <w:r w:rsidRPr="00D119F6">
        <w:rPr>
          <w:rFonts w:ascii="Times New Roman" w:hAnsi="Times New Roman" w:cs="Times New Roman"/>
          <w:b/>
          <w:i/>
          <w:sz w:val="24"/>
          <w:szCs w:val="24"/>
        </w:rPr>
        <w:t>49.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119F6">
        <w:rPr>
          <w:rFonts w:ascii="Times New Roman" w:hAnsi="Times New Roman" w:cs="Times New Roman"/>
          <w:b/>
          <w:i/>
          <w:sz w:val="24"/>
          <w:szCs w:val="24"/>
        </w:rPr>
        <w:t xml:space="preserve">§ </w:t>
      </w:r>
      <w:r w:rsidRPr="00D119F6">
        <w:rPr>
          <w:rFonts w:ascii="Times New Roman" w:hAnsi="Times New Roman" w:cs="Times New Roman"/>
          <w:i/>
          <w:sz w:val="24"/>
          <w:szCs w:val="24"/>
        </w:rPr>
        <w:t>(1) Az óvodai felvétel, átvétel jelentkezés alapján történik. Az óvodába a gyermek – e törvényben foglalt kivétellel – harmadik életévének betöltése után vehető fel. A szülő gyermeke óvodai felvételét, átvételét bármikor kérheti, a gyermekek felvétele folyamatos.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9F6">
        <w:rPr>
          <w:rFonts w:ascii="Times New Roman" w:hAnsi="Times New Roman" w:cs="Times New Roman"/>
          <w:i/>
          <w:sz w:val="24"/>
          <w:szCs w:val="24"/>
        </w:rPr>
        <w:t>(2) A gyermeket</w:t>
      </w:r>
      <w:r>
        <w:rPr>
          <w:rFonts w:ascii="Times New Roman" w:hAnsi="Times New Roman" w:cs="Times New Roman"/>
          <w:i/>
          <w:sz w:val="24"/>
          <w:szCs w:val="24"/>
        </w:rPr>
        <w:t xml:space="preserve"> elsősorban abba az óvodába kell felvenni, átvenni, amelynek körzetében lakik, vagy ahol szülője dolgozik. A felvételről, átvételről az óvoda vezetője dönt. Ha a jelentkezők száma meghaladja a felvehető gyermekek számát, az óvodavezető, amennyiben az óvoda fenntartója több óvodát tart fenn, az óvoda fenntartója bizottságot szervez, amely javaslatot tesz a felvételre.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(3) A települési önkormányzat közzéteszi az óvoda felvételi körzetét, valamint az óvoda nyitva tartásának rendjét. Az óvoda köteles felvenni, átvenni azt a gyermeket, aki életvitelszerűen az óvoda körzetében lakik (a továbbiakban: kötelező felvételt biztosító óvoda).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(3a)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(3) bekezdés alkalmazásában életvitelszerű ott lakásnak minősül, ha a gyermek a kötelező felvételt biztosító óvoda körzetében található ingatlant otthonául használja és az ilyen ingatlan a polgárok személyi adatainak és lakcímének nyilvántartásában a gyermek a gyermek lakóhelyeként vagy tartózkodási helyeként az óvodai beiratkozás első határnapját megelőző három hónapnál régebb óta szerepel. … Amennyiben ez nem teljesül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úgy az óvodavezető jogosult felszólítani  az óvodába jelentkező gyermek szülőjét, hogy az életvitelszerű  körzetben lakás tényét akként igazolja, hogy a felszólítás kézhez vételétől számított 15 napon belül bemutatja a területileg illetékes védőnőtől származó, a védőnői ellátás igénybevételét igazoló nyilatkozatot.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(4) Az óvodába felvett gyermekek csoportba való beosztásáról a szülők és az óvodapedagógusok véleményének kikérése mellett az óvodavezető dönt.”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gyermeklétszám alakulása az óvodai előjegyzések alapján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7695">
        <w:rPr>
          <w:rFonts w:ascii="Times New Roman" w:hAnsi="Times New Roman" w:cs="Times New Roman"/>
          <w:sz w:val="24"/>
          <w:szCs w:val="24"/>
        </w:rPr>
        <w:t>Az óvodai előjegyzés az az eljárás, melynek során a szülő</w:t>
      </w:r>
      <w:r>
        <w:rPr>
          <w:rFonts w:ascii="Times New Roman" w:hAnsi="Times New Roman" w:cs="Times New Roman"/>
          <w:sz w:val="24"/>
          <w:szCs w:val="24"/>
        </w:rPr>
        <w:t xml:space="preserve"> kérelemmel fordul az óvodához, hogy gyermeke egy adott időponttól kezdve részt vehessen az óvodai nevelésben. 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0000C">
        <w:rPr>
          <w:rFonts w:ascii="Times New Roman" w:hAnsi="Times New Roman" w:cs="Times New Roman"/>
          <w:b/>
          <w:sz w:val="24"/>
          <w:szCs w:val="24"/>
        </w:rPr>
        <w:t xml:space="preserve">20/2012.(VIII. 31.) EMMI rendelet </w:t>
      </w:r>
      <w:r>
        <w:rPr>
          <w:rFonts w:ascii="Times New Roman" w:hAnsi="Times New Roman" w:cs="Times New Roman"/>
          <w:sz w:val="24"/>
          <w:szCs w:val="24"/>
        </w:rPr>
        <w:t xml:space="preserve">a nevelési-oktatási intézmények működéséről és a köznevelési intézmények névhasználatáról </w:t>
      </w:r>
      <w:r w:rsidRPr="00D0000C">
        <w:rPr>
          <w:rFonts w:ascii="Times New Roman" w:hAnsi="Times New Roman" w:cs="Times New Roman"/>
          <w:b/>
          <w:sz w:val="24"/>
          <w:szCs w:val="24"/>
        </w:rPr>
        <w:t>89.§ (1) – (3)</w:t>
      </w:r>
      <w:r>
        <w:rPr>
          <w:rFonts w:ascii="Times New Roman" w:hAnsi="Times New Roman" w:cs="Times New Roman"/>
          <w:sz w:val="24"/>
          <w:szCs w:val="24"/>
        </w:rPr>
        <w:t xml:space="preserve"> bekezdéseiben foglaltak szerint az óvoda köteles minden egyes jelentkező gyermek adatait rögzíteni az erre a célra szolgáló felvételi előjegyzési naplóban. 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előjegyzést nem követi automatikusan a felvétel, csak akkor keletkezik a gyermeknek óvodai jogviszonya, ha a szülő a beiratkozáson is megjelenik. 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óvodai beiratkozás az óvodavezetői döntést követő eljárás, melynek során a felvételt nyert kisgyermek és az óvoda között óvodai jogviszony létesül.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Pr="00662F7E" w:rsidRDefault="00473586" w:rsidP="00473586">
      <w:pPr>
        <w:autoSpaceDE w:val="0"/>
        <w:autoSpaceDN w:val="0"/>
        <w:ind w:firstLine="2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B90">
        <w:rPr>
          <w:rFonts w:ascii="Times New Roman" w:hAnsi="Times New Roman" w:cs="Times New Roman"/>
          <w:sz w:val="24"/>
          <w:szCs w:val="24"/>
        </w:rPr>
        <w:t>A Közoktatásról szóló 1993. évi LXXIX. törvény 24. § (3) bekezdése értelmében, a gyermek abban az évben, amely</w:t>
      </w:r>
      <w:r>
        <w:rPr>
          <w:rFonts w:ascii="Times New Roman" w:hAnsi="Times New Roman" w:cs="Times New Roman"/>
          <w:sz w:val="24"/>
          <w:szCs w:val="24"/>
        </w:rPr>
        <w:t>ik</w:t>
      </w:r>
      <w:r w:rsidRPr="00FA5B90">
        <w:rPr>
          <w:rFonts w:ascii="Times New Roman" w:hAnsi="Times New Roman" w:cs="Times New Roman"/>
          <w:sz w:val="24"/>
          <w:szCs w:val="24"/>
        </w:rPr>
        <w:t>ben az ötödik életévét betölti a nevelési év kezdő napjától napi négy órát köteles</w:t>
      </w:r>
      <w:r>
        <w:rPr>
          <w:rFonts w:ascii="Times New Roman" w:hAnsi="Times New Roman" w:cs="Times New Roman"/>
          <w:sz w:val="24"/>
          <w:szCs w:val="24"/>
        </w:rPr>
        <w:t xml:space="preserve"> óvodai nevelésben részt venni. A nemzeti köznevelésről szóló 2011. évi CXC. törvény </w:t>
      </w:r>
      <w:r w:rsidRPr="00662F7E">
        <w:rPr>
          <w:rFonts w:ascii="Times New Roman" w:hAnsi="Times New Roman" w:cs="Times New Roman"/>
          <w:b/>
          <w:sz w:val="24"/>
          <w:szCs w:val="24"/>
        </w:rPr>
        <w:t>72. §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2F7E">
        <w:rPr>
          <w:rFonts w:ascii="Times New Roman" w:hAnsi="Times New Roman" w:cs="Times New Roman"/>
          <w:b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2F7E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pontjában írottak alapján a szülő kötelessége, hogy biztosítsa gyermeke óvodai nevelésben való részvételét. Az a szülő, aki ezt elmulasztja, szabálysértést követ el. </w:t>
      </w:r>
      <w:r w:rsidRPr="00662F7E">
        <w:rPr>
          <w:rFonts w:ascii="Times New Roman" w:hAnsi="Times New Roman" w:cs="Times New Roman"/>
          <w:b/>
          <w:sz w:val="24"/>
          <w:szCs w:val="24"/>
        </w:rPr>
        <w:t>(Szabálysértési tv. 247.§)</w:t>
      </w: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kerületi népesség nyilvántartó adatai szerint a 2009. január 01. – 2009. december 31. között született, óvodaköteles gyermekek száma: </w:t>
      </w:r>
      <w:r>
        <w:rPr>
          <w:rFonts w:ascii="Times New Roman" w:hAnsi="Times New Roman" w:cs="Times New Roman"/>
          <w:b/>
          <w:sz w:val="24"/>
          <w:szCs w:val="24"/>
        </w:rPr>
        <w:t>397 fő.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Alapító okiratokban foglalt maximálisan felvehető gyermeklétszám: 1095 fő.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2013/2014. nevelési évben 45 óvodai csoportban 1021 gyermek (számított létszámuk:1048 fő) vette igénybe az óvodai ellátást. 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óvodai csoportok átlaglétszáma 20-21 fő körül mozog, ami előzetesen is megfelel a nemzeti köznevelésről szóló 2011. évi CXC. törvény </w:t>
      </w:r>
      <w:r w:rsidRPr="00FB0113">
        <w:rPr>
          <w:rFonts w:ascii="Times New Roman" w:hAnsi="Times New Roman" w:cs="Times New Roman"/>
          <w:b/>
          <w:sz w:val="24"/>
          <w:szCs w:val="24"/>
        </w:rPr>
        <w:t>4. sz. mellékletében</w:t>
      </w:r>
      <w:r>
        <w:rPr>
          <w:rFonts w:ascii="Times New Roman" w:hAnsi="Times New Roman" w:cs="Times New Roman"/>
          <w:sz w:val="24"/>
          <w:szCs w:val="24"/>
        </w:rPr>
        <w:t xml:space="preserve"> foglalt osztály- és </w:t>
      </w:r>
      <w:r w:rsidRPr="00050367">
        <w:rPr>
          <w:rFonts w:ascii="Times New Roman" w:hAnsi="Times New Roman" w:cs="Times New Roman"/>
          <w:b/>
          <w:sz w:val="24"/>
          <w:szCs w:val="24"/>
        </w:rPr>
        <w:t>csoportlétszámoknak,</w:t>
      </w:r>
      <w:r>
        <w:rPr>
          <w:rFonts w:ascii="Times New Roman" w:hAnsi="Times New Roman" w:cs="Times New Roman"/>
          <w:sz w:val="24"/>
          <w:szCs w:val="24"/>
        </w:rPr>
        <w:t xml:space="preserve"> miszerint az óvodai csoport minimum létszáma: 13 fő; maximum létszáma: 25 fő; az átlaglétszám: 20 fő. (Hatályos: 2012. IX. 1-től.)</w:t>
      </w:r>
    </w:p>
    <w:p w:rsidR="00473586" w:rsidRPr="00835D63" w:rsidRDefault="00473586" w:rsidP="0047358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csoportok létszámának meghatározásakor azonban a </w:t>
      </w:r>
      <w:r>
        <w:rPr>
          <w:rFonts w:ascii="Times New Roman" w:hAnsi="Times New Roman" w:cs="Times New Roman"/>
          <w:b/>
          <w:sz w:val="24"/>
          <w:szCs w:val="24"/>
        </w:rPr>
        <w:t xml:space="preserve">20/2012. EMMI rendelet 162. § (7) </w:t>
      </w:r>
      <w:r>
        <w:rPr>
          <w:rFonts w:ascii="Times New Roman" w:hAnsi="Times New Roman" w:cs="Times New Roman"/>
          <w:sz w:val="24"/>
          <w:szCs w:val="24"/>
        </w:rPr>
        <w:t>bekezdésében előírtakat is be kell tartani, miszerint</w:t>
      </w:r>
      <w:r>
        <w:rPr>
          <w:rFonts w:ascii="Times New Roman" w:hAnsi="Times New Roman" w:cs="Times New Roman"/>
          <w:i/>
          <w:sz w:val="24"/>
          <w:szCs w:val="24"/>
        </w:rPr>
        <w:t xml:space="preserve"> „… az óvodai csoportszoba alapterülete nem lehet kevesebb, </w:t>
      </w:r>
      <w:r w:rsidRPr="004327FE">
        <w:t xml:space="preserve">mint </w:t>
      </w:r>
      <w:r w:rsidRPr="00835D63">
        <w:rPr>
          <w:rFonts w:ascii="Times New Roman" w:hAnsi="Times New Roman" w:cs="Times New Roman"/>
          <w:i/>
          <w:sz w:val="24"/>
          <w:szCs w:val="24"/>
        </w:rPr>
        <w:t>2,0 m</w:t>
      </w:r>
      <w:r w:rsidRPr="00835D6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/fő.”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óvodai beiratkozás tényleges létszámadatai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Önkormányzatának fenntartásában működő óvodák adatszolgáltatása szerint a 2014. május 5 -9. között lezajlott óvodai beiratkozáson </w:t>
      </w:r>
      <w:r>
        <w:rPr>
          <w:rFonts w:ascii="Times New Roman" w:hAnsi="Times New Roman" w:cs="Times New Roman"/>
          <w:b/>
          <w:sz w:val="24"/>
          <w:szCs w:val="24"/>
        </w:rPr>
        <w:t>342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fő gyermek előjegyzését </w:t>
      </w:r>
      <w:r>
        <w:rPr>
          <w:rFonts w:ascii="Times New Roman" w:hAnsi="Times New Roman" w:cs="Times New Roman"/>
          <w:sz w:val="24"/>
          <w:szCs w:val="24"/>
        </w:rPr>
        <w:t>kérték a szülők.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342 fő előjegyzett gyermekből:</w:t>
      </w:r>
    </w:p>
    <w:p w:rsidR="00473586" w:rsidRDefault="00473586" w:rsidP="0047358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268</w:t>
      </w:r>
      <w:r w:rsidRPr="006127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fő kerületi állandó lakhellyel rendelkezik</w:t>
      </w:r>
    </w:p>
    <w:p w:rsidR="00473586" w:rsidRDefault="00473586" w:rsidP="0047358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74 fő nem </w:t>
      </w:r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>
        <w:rPr>
          <w:rFonts w:ascii="Times New Roman" w:hAnsi="Times New Roman" w:cs="Times New Roman"/>
          <w:b/>
          <w:sz w:val="24"/>
          <w:szCs w:val="24"/>
        </w:rPr>
        <w:t>kerületi</w:t>
      </w:r>
      <w:r>
        <w:rPr>
          <w:rFonts w:ascii="Times New Roman" w:hAnsi="Times New Roman" w:cs="Times New Roman"/>
          <w:sz w:val="24"/>
          <w:szCs w:val="24"/>
        </w:rPr>
        <w:t xml:space="preserve"> állandó lakóhellyel, ebből: 55</w:t>
      </w:r>
      <w:r w:rsidRPr="00CC42E5">
        <w:rPr>
          <w:rFonts w:ascii="Times New Roman" w:hAnsi="Times New Roman" w:cs="Times New Roman"/>
          <w:sz w:val="24"/>
          <w:szCs w:val="24"/>
        </w:rPr>
        <w:t xml:space="preserve"> fő más településeken rendelkezik állandó lakóhellyel, de életvitelszerűen </w:t>
      </w:r>
      <w:r>
        <w:rPr>
          <w:rFonts w:ascii="Times New Roman" w:hAnsi="Times New Roman" w:cs="Times New Roman"/>
          <w:sz w:val="24"/>
          <w:szCs w:val="24"/>
        </w:rPr>
        <w:t>a kerületben él; 19 fő pedig Budapest más kerületeiből, illetve a környező településekről jelentkezett.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Pr="002B0A24" w:rsidRDefault="00473586" w:rsidP="0047358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felvétel során magas volt a Nefelejcs (69 fő), a Magonc (60 fő) és a Csicsergő Óvodába (54 fő) jelentkezők száma.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73586" w:rsidRPr="00CC42E5" w:rsidRDefault="00473586" w:rsidP="0047358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 óvodavezetők az óvodák közötti egyeztet</w:t>
      </w:r>
      <w:r>
        <w:rPr>
          <w:rFonts w:ascii="Times New Roman" w:hAnsi="Times New Roman"/>
          <w:sz w:val="24"/>
          <w:szCs w:val="24"/>
        </w:rPr>
        <w:t>ő megbeszélés</w:t>
      </w:r>
      <w:r>
        <w:rPr>
          <w:rFonts w:ascii="Times New Roman" w:hAnsi="Times New Roman"/>
          <w:sz w:val="24"/>
          <w:szCs w:val="24"/>
          <w:lang w:val="x-none"/>
        </w:rPr>
        <w:t xml:space="preserve"> során kiszűrték a többes jelentkezéseket és felelős döntéseket hoztak, mely</w:t>
      </w:r>
      <w:r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  <w:lang w:val="x-none"/>
        </w:rPr>
        <w:t xml:space="preserve"> során következetesen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z w:val="24"/>
          <w:szCs w:val="24"/>
          <w:lang w:val="x-none"/>
        </w:rPr>
        <w:t>tartották a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alábbi</w:t>
      </w:r>
      <w:r>
        <w:rPr>
          <w:rFonts w:ascii="Times New Roman" w:hAnsi="Times New Roman"/>
          <w:sz w:val="24"/>
          <w:szCs w:val="24"/>
          <w:lang w:val="x-none"/>
        </w:rPr>
        <w:t xml:space="preserve"> elveket:</w:t>
      </w:r>
    </w:p>
    <w:p w:rsidR="00473586" w:rsidRDefault="00473586" w:rsidP="0047358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 óvodaköteles gyermekek</w:t>
      </w:r>
    </w:p>
    <w:p w:rsidR="00473586" w:rsidRDefault="00473586" w:rsidP="0047358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hátrányos és halmozottan hátrányos helyzetű gyermekek</w:t>
      </w:r>
    </w:p>
    <w:p w:rsidR="00473586" w:rsidRPr="009D020F" w:rsidRDefault="00473586" w:rsidP="0047358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kerületi állandó lakóhellyel rendelkezők</w:t>
      </w:r>
      <w:r>
        <w:rPr>
          <w:rFonts w:ascii="Times New Roman" w:hAnsi="Times New Roman"/>
          <w:sz w:val="24"/>
          <w:szCs w:val="24"/>
        </w:rPr>
        <w:t xml:space="preserve"> előnyben részesülnek</w:t>
      </w:r>
      <w:r>
        <w:rPr>
          <w:rFonts w:ascii="Times New Roman" w:hAnsi="Times New Roman"/>
          <w:sz w:val="24"/>
          <w:szCs w:val="24"/>
          <w:lang w:val="x-none"/>
        </w:rPr>
        <w:t>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Különleges szempontként figyelembe vették még, ha</w:t>
      </w:r>
    </w:p>
    <w:p w:rsidR="00473586" w:rsidRPr="00554DEE" w:rsidRDefault="00473586" w:rsidP="00473586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 gyermek szülője, testvére tartósan beteg, vagy fogyatékkal élő</w:t>
      </w:r>
    </w:p>
    <w:p w:rsidR="00473586" w:rsidRPr="00554DEE" w:rsidRDefault="00473586" w:rsidP="00473586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 testvére már az adott óvodába jár</w:t>
      </w:r>
    </w:p>
    <w:p w:rsidR="00473586" w:rsidRPr="00554DEE" w:rsidRDefault="00473586" w:rsidP="0047358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munkáltatói igazolás alapján a szülő munkahelye az óvoda körzetében található</w:t>
      </w:r>
    </w:p>
    <w:p w:rsidR="00473586" w:rsidRDefault="00473586" w:rsidP="0047358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az óvoda a lakóhely/tartózkodási hely egy kilométeres körzetében lelhető fel.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586" w:rsidRPr="00074CDD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 felvétel adatai a következőképpen alakultak (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x-none"/>
        </w:rPr>
        <w:t>. sz. melléklet)</w:t>
      </w:r>
      <w:r>
        <w:rPr>
          <w:rFonts w:ascii="Times New Roman" w:hAnsi="Times New Roman"/>
          <w:sz w:val="24"/>
          <w:szCs w:val="24"/>
        </w:rPr>
        <w:t>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73586" w:rsidRPr="00B0744B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elvételt nyert: 2</w:t>
      </w:r>
      <w:r>
        <w:rPr>
          <w:rFonts w:ascii="Times New Roman" w:hAnsi="Times New Roman"/>
          <w:b/>
          <w:bCs/>
          <w:sz w:val="24"/>
          <w:szCs w:val="24"/>
        </w:rPr>
        <w:t>29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fő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 xml:space="preserve">A felvett gyermekek létszáma tényleges </w:t>
      </w:r>
      <w:r>
        <w:rPr>
          <w:rFonts w:ascii="Times New Roman" w:hAnsi="Times New Roman"/>
          <w:sz w:val="24"/>
          <w:szCs w:val="24"/>
        </w:rPr>
        <w:t>számadat,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amely </w:t>
      </w:r>
      <w:r>
        <w:rPr>
          <w:rFonts w:ascii="Times New Roman" w:hAnsi="Times New Roman"/>
          <w:sz w:val="24"/>
          <w:szCs w:val="24"/>
          <w:lang w:val="x-none"/>
        </w:rPr>
        <w:t>a szakértői illetve szakvéleménnyel rendelkezők pontos számának ismeretében magasabb le</w:t>
      </w:r>
      <w:r>
        <w:rPr>
          <w:rFonts w:ascii="Times New Roman" w:hAnsi="Times New Roman"/>
          <w:sz w:val="24"/>
          <w:szCs w:val="24"/>
        </w:rPr>
        <w:t>het (számított létszám).</w:t>
      </w:r>
    </w:p>
    <w:p w:rsidR="00473586" w:rsidRPr="00B7566F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Elutasításra 18 fő esetében került sor; </w:t>
      </w:r>
      <w:r>
        <w:rPr>
          <w:rFonts w:ascii="Times New Roman" w:hAnsi="Times New Roman"/>
          <w:sz w:val="24"/>
          <w:szCs w:val="24"/>
          <w:lang w:val="x-none"/>
        </w:rPr>
        <w:t>az elutasítás oka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elsősorban a </w:t>
      </w:r>
      <w:r>
        <w:rPr>
          <w:rFonts w:ascii="Times New Roman" w:hAnsi="Times New Roman"/>
          <w:sz w:val="24"/>
          <w:szCs w:val="24"/>
          <w:lang w:val="x-none"/>
        </w:rPr>
        <w:t>kerületi lakóhely</w:t>
      </w:r>
      <w:r>
        <w:rPr>
          <w:rFonts w:ascii="Times New Roman" w:hAnsi="Times New Roman"/>
          <w:sz w:val="24"/>
          <w:szCs w:val="24"/>
        </w:rPr>
        <w:t xml:space="preserve"> hiánya, illetve 1 fő esetében </w:t>
      </w:r>
      <w:r>
        <w:rPr>
          <w:rFonts w:ascii="Times New Roman" w:hAnsi="Times New Roman"/>
          <w:sz w:val="24"/>
          <w:szCs w:val="24"/>
          <w:lang w:val="x-none"/>
        </w:rPr>
        <w:t>az életkor (201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  <w:lang w:val="x-none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x-none"/>
        </w:rPr>
        <w:t>n tölti a 3. életévet)</w:t>
      </w:r>
      <w:r>
        <w:rPr>
          <w:rFonts w:ascii="Times New Roman" w:hAnsi="Times New Roman"/>
          <w:sz w:val="24"/>
          <w:szCs w:val="24"/>
        </w:rPr>
        <w:t xml:space="preserve"> voltak.</w:t>
      </w:r>
    </w:p>
    <w:p w:rsidR="00473586" w:rsidRPr="00BC1123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Azok a gyermekek pedig, </w:t>
      </w:r>
      <w:r>
        <w:rPr>
          <w:rFonts w:ascii="Times New Roman" w:hAnsi="Times New Roman"/>
          <w:sz w:val="24"/>
          <w:szCs w:val="24"/>
          <w:lang w:val="x-none"/>
        </w:rPr>
        <w:t>akik több helyre jelentkeztek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x-none"/>
        </w:rPr>
        <w:t xml:space="preserve">általában átirányítással a szülők által választott </w:t>
      </w:r>
      <w:r>
        <w:rPr>
          <w:rFonts w:ascii="Times New Roman" w:hAnsi="Times New Roman"/>
          <w:sz w:val="24"/>
          <w:szCs w:val="24"/>
        </w:rPr>
        <w:t>valamelyik</w:t>
      </w:r>
      <w:r>
        <w:rPr>
          <w:rFonts w:ascii="Times New Roman" w:hAnsi="Times New Roman"/>
          <w:sz w:val="24"/>
          <w:szCs w:val="24"/>
          <w:lang w:val="x-none"/>
        </w:rPr>
        <w:t xml:space="preserve"> óvodába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lang w:val="x-none"/>
        </w:rPr>
        <w:t>felvételre kerültek.</w:t>
      </w:r>
      <w:r>
        <w:rPr>
          <w:rFonts w:ascii="Times New Roman" w:hAnsi="Times New Roman"/>
          <w:sz w:val="24"/>
          <w:szCs w:val="24"/>
        </w:rPr>
        <w:t xml:space="preserve"> Ez 81</w:t>
      </w:r>
      <w:r w:rsidRPr="00BC1123">
        <w:rPr>
          <w:rFonts w:ascii="Times New Roman" w:hAnsi="Times New Roman"/>
          <w:sz w:val="24"/>
          <w:szCs w:val="24"/>
        </w:rPr>
        <w:t xml:space="preserve"> főt érint.</w:t>
      </w:r>
    </w:p>
    <w:p w:rsidR="00473586" w:rsidRPr="006D49A9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</w:rPr>
        <w:t xml:space="preserve">Felvételi </w:t>
      </w:r>
      <w:r>
        <w:rPr>
          <w:rFonts w:ascii="Times New Roman" w:hAnsi="Times New Roman"/>
          <w:bCs/>
          <w:sz w:val="24"/>
          <w:szCs w:val="24"/>
          <w:lang w:val="x-none"/>
        </w:rPr>
        <w:t>előjegyzésbe</w:t>
      </w:r>
      <w:r>
        <w:rPr>
          <w:rFonts w:ascii="Times New Roman" w:hAnsi="Times New Roman"/>
          <w:bCs/>
          <w:sz w:val="24"/>
          <w:szCs w:val="24"/>
        </w:rPr>
        <w:t xml:space="preserve"> további: 18 fő került.</w:t>
      </w:r>
      <w:r w:rsidRPr="006D49A9">
        <w:rPr>
          <w:rFonts w:ascii="Times New Roman" w:hAnsi="Times New Roman"/>
          <w:bCs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bCs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  <w:r w:rsidRPr="006D49A9">
        <w:rPr>
          <w:rFonts w:ascii="Times New Roman" w:hAnsi="Times New Roman"/>
          <w:sz w:val="24"/>
          <w:szCs w:val="24"/>
          <w:lang w:val="x-none"/>
        </w:rPr>
        <w:tab/>
      </w: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0E6" w:rsidRDefault="00A170E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csoportok létszámadatait tekintve, továbbá figyelembe véve a 2014/2015. tanévben iskolába menők számarányát, (tényleges létszám: 271 fő; számított létszám: 284 fő) az óvodában maradó gyermekek száma ténylegesen: 1021 fő; számított létszám: 1048 fő.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 számított létszámba a szakvéleménnyel illetve szakértői véleménnyel rendelkező gyermekek duplán, avagy triplán számítanak be.)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2014/2015. nevelési évben várhatóan 323 fő gyermek felvétele biztosítható. (2. sz. melléklet)</w:t>
      </w:r>
    </w:p>
    <w:p w:rsidR="00473586" w:rsidRDefault="00473586" w:rsidP="004735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Pr="00B0744B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 óvodák által jelzett rendelkezésre álló szabad férőhelyek száma, illetve a felvételi adatok alapján megállapítható, hogy az óvodák rendelkeznek még szabad férőhelyekkel. Számít</w:t>
      </w:r>
      <w:r>
        <w:rPr>
          <w:rFonts w:ascii="Times New Roman" w:hAnsi="Times New Roman"/>
          <w:sz w:val="24"/>
          <w:szCs w:val="24"/>
        </w:rPr>
        <w:t>ásba</w:t>
      </w:r>
      <w:r>
        <w:rPr>
          <w:rFonts w:ascii="Times New Roman" w:hAnsi="Times New Roman"/>
          <w:sz w:val="24"/>
          <w:szCs w:val="24"/>
          <w:lang w:val="x-none"/>
        </w:rPr>
        <w:t xml:space="preserve"> kell még </w:t>
      </w:r>
      <w:r>
        <w:rPr>
          <w:rFonts w:ascii="Times New Roman" w:hAnsi="Times New Roman"/>
          <w:sz w:val="24"/>
          <w:szCs w:val="24"/>
        </w:rPr>
        <w:t xml:space="preserve">azonban venni </w:t>
      </w:r>
      <w:r>
        <w:rPr>
          <w:rFonts w:ascii="Times New Roman" w:hAnsi="Times New Roman"/>
          <w:sz w:val="24"/>
          <w:szCs w:val="24"/>
          <w:lang w:val="x-none"/>
        </w:rPr>
        <w:t>azok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  <w:lang w:val="x-none"/>
        </w:rPr>
        <w:t xml:space="preserve"> az óvodaköteles gyermekek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  <w:lang w:val="x-none"/>
        </w:rPr>
        <w:t xml:space="preserve">, akik nem jelentek meg az óvodai beiratkozáson, és nincs adat arról, hogy hol részesülnek óvodai nevelésben. Ezeket a gyermekeket a körzetes óvodaköteles lista és a rendelkezésre álló adatok alapján keresi a </w:t>
      </w:r>
      <w:r>
        <w:rPr>
          <w:rFonts w:ascii="Times New Roman" w:hAnsi="Times New Roman"/>
          <w:sz w:val="24"/>
          <w:szCs w:val="24"/>
        </w:rPr>
        <w:t>Humánszolgáltató</w:t>
      </w:r>
      <w:r>
        <w:rPr>
          <w:rFonts w:ascii="Times New Roman" w:hAnsi="Times New Roman"/>
          <w:sz w:val="24"/>
          <w:szCs w:val="24"/>
          <w:lang w:val="x-none"/>
        </w:rPr>
        <w:t xml:space="preserve"> Iroda. 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Az átirányítottak és elutasítottak közül várhatóan többen fellebbezést nyújtanak be az óvoda döntése ellen, a korlátozottan rendelkezésre álló szabad férőhelyek ismeretében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indokolt esetben</w:t>
      </w:r>
      <w:r>
        <w:rPr>
          <w:rFonts w:ascii="Times New Roman" w:hAnsi="Times New Roman"/>
          <w:sz w:val="24"/>
          <w:szCs w:val="24"/>
          <w:lang w:val="x-none"/>
        </w:rPr>
        <w:t xml:space="preserve"> (elsősorban óvodaköteles gyermekek esetében) lehetőség nyílhat további felvételre.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40C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nemzeti köznevelésről szóló 2011. évi CXC. törvény </w:t>
      </w:r>
      <w:r w:rsidRPr="00A40CE5">
        <w:rPr>
          <w:rFonts w:ascii="Times New Roman" w:hAnsi="Times New Roman" w:cs="Times New Roman"/>
          <w:b/>
          <w:sz w:val="24"/>
          <w:szCs w:val="24"/>
        </w:rPr>
        <w:t>83.§ (2) d)</w:t>
      </w:r>
      <w:r>
        <w:rPr>
          <w:rFonts w:ascii="Times New Roman" w:hAnsi="Times New Roman" w:cs="Times New Roman"/>
          <w:sz w:val="24"/>
          <w:szCs w:val="24"/>
        </w:rPr>
        <w:t xml:space="preserve"> pontja rendelkezik arról, hogy a fenntartó „meghatározza az adott nevelési évben indítható óvodai csoportok számát.”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586" w:rsidRPr="00A32839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32839">
        <w:rPr>
          <w:rFonts w:ascii="Times New Roman" w:hAnsi="Times New Roman" w:cs="Times New Roman"/>
          <w:sz w:val="24"/>
          <w:szCs w:val="24"/>
        </w:rPr>
        <w:t xml:space="preserve">z óvodavezetők és az óvodák közötti egyeztetés során </w:t>
      </w:r>
      <w:r>
        <w:rPr>
          <w:rFonts w:ascii="Times New Roman" w:hAnsi="Times New Roman" w:cs="Times New Roman"/>
          <w:sz w:val="24"/>
          <w:szCs w:val="24"/>
        </w:rPr>
        <w:t xml:space="preserve">az is </w:t>
      </w:r>
      <w:r w:rsidRPr="00A32839">
        <w:rPr>
          <w:rFonts w:ascii="Times New Roman" w:hAnsi="Times New Roman" w:cs="Times New Roman"/>
          <w:sz w:val="24"/>
          <w:szCs w:val="24"/>
        </w:rPr>
        <w:t>kiderült, hogy a törvény által előírt felvehető gyermekek létszáma egyes óvodákban meghaladja a csoportszobákba elhelyezhető gyermekek létszámát,</w:t>
      </w:r>
      <w:r>
        <w:rPr>
          <w:rFonts w:ascii="Times New Roman" w:hAnsi="Times New Roman" w:cs="Times New Roman"/>
          <w:sz w:val="24"/>
          <w:szCs w:val="24"/>
        </w:rPr>
        <w:t xml:space="preserve"> az alábbi táblázat adatai szerint: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773" w:type="dxa"/>
        <w:tblLook w:val="01E0" w:firstRow="1" w:lastRow="1" w:firstColumn="1" w:lastColumn="1" w:noHBand="0" w:noVBand="0"/>
      </w:tblPr>
      <w:tblGrid>
        <w:gridCol w:w="1317"/>
        <w:gridCol w:w="1506"/>
        <w:gridCol w:w="1775"/>
        <w:gridCol w:w="1668"/>
        <w:gridCol w:w="1994"/>
        <w:gridCol w:w="1513"/>
      </w:tblGrid>
      <w:tr w:rsidR="00473586" w:rsidTr="009075A4">
        <w:tc>
          <w:tcPr>
            <w:tcW w:w="1368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Óvoda neve</w:t>
            </w:r>
          </w:p>
        </w:tc>
        <w:tc>
          <w:tcPr>
            <w:tcW w:w="104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Jelenlegi csoportszobák száma</w:t>
            </w:r>
          </w:p>
        </w:tc>
        <w:tc>
          <w:tcPr>
            <w:tcW w:w="1830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Csoportszobák mérete összesen</w:t>
            </w:r>
          </w:p>
        </w:tc>
        <w:tc>
          <w:tcPr>
            <w:tcW w:w="1804" w:type="dxa"/>
          </w:tcPr>
          <w:p w:rsidR="00473586" w:rsidRPr="00D64A92" w:rsidRDefault="00473586" w:rsidP="009075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A92">
              <w:rPr>
                <w:rFonts w:ascii="Arial" w:hAnsi="Arial" w:cs="Arial"/>
                <w:sz w:val="22"/>
                <w:szCs w:val="22"/>
              </w:rPr>
              <w:t>Jelenleg érvényes Alapító Okirat szerinti létszám</w:t>
            </w:r>
          </w:p>
        </w:tc>
        <w:tc>
          <w:tcPr>
            <w:tcW w:w="212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Csoportszoba mérete szerinti létszám 2m</w:t>
            </w:r>
            <w:r w:rsidRPr="006152BE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/fő</w:t>
            </w:r>
          </w:p>
        </w:tc>
        <w:tc>
          <w:tcPr>
            <w:tcW w:w="1599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Különbség</w:t>
            </w:r>
          </w:p>
        </w:tc>
      </w:tr>
      <w:tr w:rsidR="00473586" w:rsidTr="009075A4">
        <w:tc>
          <w:tcPr>
            <w:tcW w:w="1368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Bóbita</w:t>
            </w:r>
          </w:p>
        </w:tc>
        <w:tc>
          <w:tcPr>
            <w:tcW w:w="104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30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</w:t>
            </w:r>
          </w:p>
        </w:tc>
        <w:tc>
          <w:tcPr>
            <w:tcW w:w="1804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  <w:tc>
          <w:tcPr>
            <w:tcW w:w="212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1599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73586" w:rsidTr="009075A4">
        <w:tc>
          <w:tcPr>
            <w:tcW w:w="1368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Brunszvik </w:t>
            </w:r>
          </w:p>
        </w:tc>
        <w:tc>
          <w:tcPr>
            <w:tcW w:w="104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30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</w:t>
            </w:r>
          </w:p>
        </w:tc>
        <w:tc>
          <w:tcPr>
            <w:tcW w:w="1804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12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96</w:t>
            </w:r>
          </w:p>
        </w:tc>
        <w:tc>
          <w:tcPr>
            <w:tcW w:w="1599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73586" w:rsidTr="009075A4">
        <w:tc>
          <w:tcPr>
            <w:tcW w:w="1368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Csicsergő</w:t>
            </w:r>
          </w:p>
        </w:tc>
        <w:tc>
          <w:tcPr>
            <w:tcW w:w="104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30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804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12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599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73586" w:rsidTr="009075A4">
        <w:tc>
          <w:tcPr>
            <w:tcW w:w="1368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</w:t>
            </w:r>
          </w:p>
        </w:tc>
        <w:tc>
          <w:tcPr>
            <w:tcW w:w="104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30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</w:t>
            </w:r>
          </w:p>
        </w:tc>
        <w:tc>
          <w:tcPr>
            <w:tcW w:w="1804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212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94</w:t>
            </w:r>
          </w:p>
        </w:tc>
        <w:tc>
          <w:tcPr>
            <w:tcW w:w="1599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473586" w:rsidTr="009075A4">
        <w:tc>
          <w:tcPr>
            <w:tcW w:w="1368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Kópévár</w:t>
            </w:r>
          </w:p>
        </w:tc>
        <w:tc>
          <w:tcPr>
            <w:tcW w:w="104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30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804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12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</w:t>
            </w:r>
          </w:p>
        </w:tc>
        <w:tc>
          <w:tcPr>
            <w:tcW w:w="1599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6</w:t>
            </w:r>
          </w:p>
        </w:tc>
      </w:tr>
      <w:tr w:rsidR="00473586" w:rsidTr="009075A4">
        <w:tc>
          <w:tcPr>
            <w:tcW w:w="1368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Magonc</w:t>
            </w:r>
          </w:p>
        </w:tc>
        <w:tc>
          <w:tcPr>
            <w:tcW w:w="104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30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</w:t>
            </w:r>
          </w:p>
        </w:tc>
        <w:tc>
          <w:tcPr>
            <w:tcW w:w="1804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12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</w:t>
            </w:r>
          </w:p>
        </w:tc>
        <w:tc>
          <w:tcPr>
            <w:tcW w:w="1599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473586" w:rsidTr="009075A4">
        <w:tc>
          <w:tcPr>
            <w:tcW w:w="1368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Nefelejcs</w:t>
            </w:r>
          </w:p>
        </w:tc>
        <w:tc>
          <w:tcPr>
            <w:tcW w:w="104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30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</w:t>
            </w:r>
          </w:p>
        </w:tc>
        <w:tc>
          <w:tcPr>
            <w:tcW w:w="1804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2126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</w:t>
            </w:r>
          </w:p>
        </w:tc>
        <w:tc>
          <w:tcPr>
            <w:tcW w:w="1599" w:type="dxa"/>
          </w:tcPr>
          <w:p w:rsidR="00473586" w:rsidRDefault="00473586" w:rsidP="009075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</w:tbl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586" w:rsidRP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Az óvodai előjegyzések és felvételi döntések</w:t>
      </w:r>
      <w:r>
        <w:rPr>
          <w:rFonts w:ascii="Times New Roman" w:hAnsi="Times New Roman"/>
          <w:sz w:val="24"/>
          <w:szCs w:val="24"/>
        </w:rPr>
        <w:t>, illetve csoportszoba befogadóképesség</w:t>
      </w:r>
      <w:r>
        <w:rPr>
          <w:rFonts w:ascii="Times New Roman" w:hAnsi="Times New Roman"/>
          <w:sz w:val="24"/>
          <w:szCs w:val="24"/>
          <w:lang w:val="x-none"/>
        </w:rPr>
        <w:t xml:space="preserve"> adatainak figyelembe vételével</w:t>
      </w:r>
      <w:r>
        <w:rPr>
          <w:rFonts w:ascii="Times New Roman" w:hAnsi="Times New Roman"/>
          <w:sz w:val="24"/>
          <w:szCs w:val="24"/>
        </w:rPr>
        <w:t xml:space="preserve">, egyeztetve az óvodavezetőkkel, (3.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melléklet) javasolom, hogy </w:t>
      </w: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Bóbita Óvodában, illetve a Dob Óvodában szünetelő csoportok újból beinduljanak, </w:t>
      </w:r>
      <w:r w:rsidRPr="00473586">
        <w:rPr>
          <w:rFonts w:ascii="Times New Roman" w:hAnsi="Times New Roman"/>
          <w:sz w:val="24"/>
          <w:szCs w:val="24"/>
        </w:rPr>
        <w:t xml:space="preserve">illetve a Nefelejcs Óvodában szűnjön meg egy csoport (4. sz. melléklet) 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586">
        <w:rPr>
          <w:rFonts w:ascii="Times New Roman" w:hAnsi="Times New Roman"/>
          <w:sz w:val="24"/>
          <w:szCs w:val="24"/>
        </w:rPr>
        <w:t>Az Alapító okirat módosítása a következő nevelési intézményeket érinti:</w:t>
      </w:r>
    </w:p>
    <w:p w:rsidR="00473586" w:rsidRP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586" w:rsidRPr="001162C1" w:rsidRDefault="00473586" w:rsidP="0047358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2C1">
        <w:rPr>
          <w:rFonts w:ascii="Times New Roman" w:hAnsi="Times New Roman" w:cs="Times New Roman"/>
          <w:sz w:val="24"/>
          <w:szCs w:val="24"/>
        </w:rPr>
        <w:t>Bóbita Óvoda: 142 fő – 6 csoportra, 117 fő – 5 csoportra,</w:t>
      </w:r>
    </w:p>
    <w:p w:rsidR="00473586" w:rsidRPr="001162C1" w:rsidRDefault="00473586" w:rsidP="0047358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2C1">
        <w:rPr>
          <w:rFonts w:ascii="Times New Roman" w:hAnsi="Times New Roman" w:cs="Times New Roman"/>
          <w:sz w:val="24"/>
          <w:szCs w:val="24"/>
        </w:rPr>
        <w:t xml:space="preserve">Dob Óvoda: 118 fő – 6 csoport, 101 fő – 5 csoportra,  </w:t>
      </w:r>
    </w:p>
    <w:p w:rsidR="00473586" w:rsidRPr="001162C1" w:rsidRDefault="00473586" w:rsidP="0047358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2C1">
        <w:rPr>
          <w:rFonts w:ascii="Times New Roman" w:hAnsi="Times New Roman" w:cs="Times New Roman"/>
          <w:sz w:val="24"/>
          <w:szCs w:val="24"/>
        </w:rPr>
        <w:t>Kópévár Óvoda: 194 fő – 8 csoportra,</w:t>
      </w:r>
    </w:p>
    <w:p w:rsidR="00473586" w:rsidRPr="001162C1" w:rsidRDefault="00473586" w:rsidP="0047358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2C1">
        <w:rPr>
          <w:rFonts w:ascii="Times New Roman" w:hAnsi="Times New Roman" w:cs="Times New Roman"/>
          <w:sz w:val="24"/>
          <w:szCs w:val="24"/>
        </w:rPr>
        <w:t>Magonc Óvoda: 179 fő – 8 csoportra,</w:t>
      </w:r>
    </w:p>
    <w:p w:rsidR="00473586" w:rsidRPr="00473586" w:rsidRDefault="00473586" w:rsidP="0047358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Nefelejcs Óvoda: 127 fő – </w:t>
      </w:r>
      <w:r w:rsidRPr="00473586">
        <w:rPr>
          <w:rFonts w:ascii="Times New Roman" w:hAnsi="Times New Roman" w:cs="Times New Roman"/>
          <w:sz w:val="24"/>
          <w:szCs w:val="24"/>
        </w:rPr>
        <w:t>6 csoportra.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0E6" w:rsidRDefault="00A170E6" w:rsidP="00417A4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A170E6" w:rsidRDefault="00A170E6" w:rsidP="00417A4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A170E6" w:rsidRDefault="00A170E6" w:rsidP="00417A4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A170E6" w:rsidRDefault="00A170E6" w:rsidP="00417A4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A170E6" w:rsidRDefault="00A170E6" w:rsidP="00417A4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A170E6" w:rsidRDefault="00A170E6" w:rsidP="00417A4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A170E6" w:rsidRDefault="00A170E6" w:rsidP="00417A4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417A4E" w:rsidRDefault="00473586" w:rsidP="00417A4E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értelmében </w:t>
      </w:r>
      <w:r>
        <w:rPr>
          <w:rFonts w:ascii="Times New Roman" w:hAnsi="Times New Roman"/>
          <w:sz w:val="24"/>
          <w:szCs w:val="24"/>
          <w:lang w:val="x-none"/>
        </w:rPr>
        <w:t>az alábbi javaslatokat tesz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  <w:lang w:val="x-none"/>
        </w:rPr>
        <w:t xml:space="preserve"> az indítható óvodai cso</w:t>
      </w:r>
      <w:r w:rsidR="00417A4E">
        <w:rPr>
          <w:rFonts w:ascii="Times New Roman" w:hAnsi="Times New Roman"/>
          <w:sz w:val="24"/>
          <w:szCs w:val="24"/>
          <w:lang w:val="x-none"/>
        </w:rPr>
        <w:t>portok számának engedélyezésére</w:t>
      </w:r>
      <w:r w:rsidR="00417A4E">
        <w:rPr>
          <w:rFonts w:ascii="Times New Roman" w:hAnsi="Times New Roman"/>
          <w:sz w:val="24"/>
          <w:szCs w:val="24"/>
        </w:rPr>
        <w:t xml:space="preserve">, valamint javaslom </w:t>
      </w:r>
      <w:r w:rsidR="00417A4E" w:rsidRPr="000536DA">
        <w:rPr>
          <w:rFonts w:ascii="Times New Roman" w:hAnsi="Times New Roman"/>
          <w:sz w:val="24"/>
          <w:szCs w:val="24"/>
        </w:rPr>
        <w:t xml:space="preserve">a módosított, egységes szerkezetbe foglalt </w:t>
      </w:r>
      <w:r w:rsidR="00417A4E">
        <w:rPr>
          <w:rFonts w:ascii="Times New Roman" w:hAnsi="Times New Roman"/>
          <w:sz w:val="24"/>
          <w:szCs w:val="24"/>
        </w:rPr>
        <w:t xml:space="preserve">óvodai </w:t>
      </w:r>
      <w:r w:rsidR="00417A4E" w:rsidRPr="000536DA">
        <w:rPr>
          <w:rFonts w:ascii="Times New Roman" w:hAnsi="Times New Roman"/>
          <w:sz w:val="24"/>
          <w:szCs w:val="24"/>
        </w:rPr>
        <w:t>alapító okiratok elfogadását</w:t>
      </w:r>
      <w:r w:rsidR="00417A4E">
        <w:rPr>
          <w:rFonts w:ascii="Times New Roman" w:hAnsi="Times New Roman"/>
          <w:sz w:val="24"/>
          <w:szCs w:val="24"/>
        </w:rPr>
        <w:t>. (</w:t>
      </w:r>
      <w:r w:rsidR="006C4A02">
        <w:rPr>
          <w:rFonts w:ascii="Times New Roman" w:hAnsi="Times New Roman"/>
          <w:sz w:val="24"/>
          <w:szCs w:val="24"/>
        </w:rPr>
        <w:t>5-14</w:t>
      </w:r>
      <w:r w:rsidR="00417A4E">
        <w:rPr>
          <w:rFonts w:ascii="Times New Roman" w:hAnsi="Times New Roman"/>
          <w:sz w:val="24"/>
          <w:szCs w:val="24"/>
        </w:rPr>
        <w:t>. melléklet.)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Kérem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 xml:space="preserve">tisztelt Képviselő-testületet </w:t>
      </w:r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  <w:lang w:val="x-none"/>
        </w:rPr>
        <w:t>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elfogadására</w:t>
      </w:r>
      <w:r>
        <w:rPr>
          <w:rFonts w:ascii="Times New Roman" w:hAnsi="Times New Roman"/>
          <w:sz w:val="24"/>
          <w:szCs w:val="24"/>
        </w:rPr>
        <w:t>!</w:t>
      </w:r>
    </w:p>
    <w:p w:rsidR="00231EEB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1EEB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1EEB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1EEB" w:rsidRPr="005536D7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Pr="00FD1625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  <w:r>
        <w:rPr>
          <w:rFonts w:ascii="Times New Roman" w:hAnsi="Times New Roman"/>
          <w:b/>
          <w:bCs/>
          <w:sz w:val="28"/>
          <w:szCs w:val="28"/>
        </w:rPr>
        <w:t>ok</w:t>
      </w:r>
    </w:p>
    <w:p w:rsidR="00473586" w:rsidRDefault="00473586" w:rsidP="00473586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473586" w:rsidRPr="00231EEB" w:rsidRDefault="00473586" w:rsidP="00231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EEB">
        <w:rPr>
          <w:rFonts w:ascii="Times New Roman" w:hAnsi="Times New Roman"/>
          <w:b/>
          <w:bCs/>
          <w:sz w:val="28"/>
          <w:szCs w:val="28"/>
        </w:rPr>
        <w:t>1.</w:t>
      </w:r>
    </w:p>
    <w:p w:rsidR="00473586" w:rsidRDefault="00473586" w:rsidP="0047358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586" w:rsidRPr="008C5E3F" w:rsidRDefault="00473586" w:rsidP="004735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 Képviselő-testülete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Bóbita Óvoda </w:t>
      </w:r>
      <w:r>
        <w:rPr>
          <w:rFonts w:ascii="Times New Roman" w:hAnsi="Times New Roman"/>
          <w:sz w:val="24"/>
          <w:szCs w:val="24"/>
          <w:lang w:val="x-none"/>
        </w:rPr>
        <w:t>(1072 Budapest, Akácfa utca 32.) számára a 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óvodai csoport</w:t>
      </w:r>
      <w:r>
        <w:rPr>
          <w:rFonts w:ascii="Times New Roman" w:hAnsi="Times New Roman"/>
          <w:sz w:val="24"/>
          <w:szCs w:val="24"/>
          <w:lang w:val="x-none"/>
        </w:rPr>
        <w:t xml:space="preserve"> indítását</w:t>
      </w:r>
      <w:r>
        <w:rPr>
          <w:rFonts w:ascii="Times New Roman" w:hAnsi="Times New Roman"/>
          <w:sz w:val="24"/>
          <w:szCs w:val="24"/>
        </w:rPr>
        <w:t xml:space="preserve"> engedélyezi.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73586" w:rsidRPr="008C5E3F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C1D" w:rsidRP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2C1D">
        <w:rPr>
          <w:rFonts w:ascii="Times New Roman" w:hAnsi="Times New Roman"/>
          <w:b/>
          <w:bCs/>
          <w:sz w:val="28"/>
          <w:szCs w:val="28"/>
        </w:rPr>
        <w:t>2.</w:t>
      </w: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C1D" w:rsidRDefault="00752C1D" w:rsidP="00752C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Bóbita Óvoda</w:t>
      </w:r>
      <w:r>
        <w:rPr>
          <w:rFonts w:ascii="Times New Roman" w:hAnsi="Times New Roman"/>
          <w:sz w:val="24"/>
          <w:szCs w:val="24"/>
        </w:rPr>
        <w:t xml:space="preserve"> Alapító okiratának módosítását, valamint az</w:t>
      </w:r>
      <w:r>
        <w:rPr>
          <w:rFonts w:ascii="Times New Roman" w:hAnsi="Times New Roman"/>
          <w:sz w:val="24"/>
          <w:szCs w:val="24"/>
          <w:lang w:val="x-none"/>
        </w:rPr>
        <w:t xml:space="preserve"> egységes szerkezetbe foglalt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lapító </w:t>
      </w:r>
      <w:r>
        <w:rPr>
          <w:rFonts w:ascii="Times New Roman" w:hAnsi="Times New Roman"/>
          <w:sz w:val="24"/>
          <w:szCs w:val="24"/>
        </w:rPr>
        <w:t>o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kirat</w:t>
      </w:r>
      <w:r>
        <w:rPr>
          <w:rFonts w:ascii="Times New Roman" w:hAnsi="Times New Roman"/>
          <w:sz w:val="24"/>
          <w:szCs w:val="24"/>
        </w:rPr>
        <w:t>o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>
        <w:rPr>
          <w:rFonts w:ascii="Times New Roman" w:hAnsi="Times New Roman"/>
          <w:sz w:val="24"/>
          <w:szCs w:val="24"/>
          <w:lang w:val="x-none"/>
        </w:rPr>
        <w:t>mellék</w:t>
      </w:r>
      <w:r>
        <w:rPr>
          <w:rFonts w:ascii="Times New Roman" w:hAnsi="Times New Roman"/>
          <w:sz w:val="24"/>
          <w:szCs w:val="24"/>
        </w:rPr>
        <w:t xml:space="preserve">lete szerinti tartalommal </w:t>
      </w:r>
      <w:r>
        <w:rPr>
          <w:rFonts w:ascii="Times New Roman" w:hAnsi="Times New Roman"/>
          <w:sz w:val="24"/>
          <w:szCs w:val="24"/>
          <w:lang w:val="x-none"/>
        </w:rPr>
        <w:t>elfogadja.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2C1D" w:rsidRDefault="00752C1D" w:rsidP="00752C1D">
      <w:pPr>
        <w:autoSpaceDE w:val="0"/>
        <w:autoSpaceDN w:val="0"/>
        <w:spacing w:after="1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  <w:lang w:val="x-none"/>
        </w:rPr>
        <w:t xml:space="preserve">elkéri a polgármestert a módosító okirat </w:t>
      </w:r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  <w:lang w:val="x-none"/>
        </w:rPr>
        <w:t>az egységes szerkezetbe foglalt Alapító Okirat aláírására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x-none"/>
        </w:rPr>
        <w:t>valamint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hogy intézkedjen a Magyar Államkincstár Területi Szervéhez 8 napon belül történő megküldéséről.</w:t>
      </w: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Vattamány Zsolt polgármester</w:t>
      </w: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azonnal</w:t>
      </w:r>
    </w:p>
    <w:p w:rsidR="00752C1D" w:rsidRP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586" w:rsidRP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</w:t>
      </w:r>
    </w:p>
    <w:p w:rsidR="00473586" w:rsidRPr="008C5E3F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 Képviselő-testülete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Brunszvik Teréz Óvoda </w:t>
      </w:r>
      <w:r>
        <w:rPr>
          <w:rFonts w:ascii="Times New Roman" w:hAnsi="Times New Roman"/>
          <w:sz w:val="24"/>
          <w:szCs w:val="24"/>
          <w:lang w:val="x-none"/>
        </w:rPr>
        <w:t xml:space="preserve">(1076 Budapest, Rózsák tere 6/7.) számára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4 óvodai csoport</w:t>
      </w:r>
      <w:r>
        <w:rPr>
          <w:rFonts w:ascii="Times New Roman" w:hAnsi="Times New Roman"/>
          <w:sz w:val="24"/>
          <w:szCs w:val="24"/>
          <w:lang w:val="x-none"/>
        </w:rPr>
        <w:t xml:space="preserve"> indítását engedélyezi.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73586" w:rsidRPr="00455251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P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</w:p>
    <w:p w:rsidR="00473586" w:rsidRPr="008C5E3F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 Képviselő-testülete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Csicsergő Óvoda </w:t>
      </w:r>
      <w:r>
        <w:rPr>
          <w:rFonts w:ascii="Times New Roman" w:hAnsi="Times New Roman"/>
          <w:sz w:val="24"/>
          <w:szCs w:val="24"/>
          <w:lang w:val="x-none"/>
        </w:rPr>
        <w:t xml:space="preserve">(1074 Budapest, Rózsa utca 32.) számára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8 óvodai csoport</w:t>
      </w:r>
      <w:r>
        <w:rPr>
          <w:rFonts w:ascii="Times New Roman" w:hAnsi="Times New Roman"/>
          <w:sz w:val="24"/>
          <w:szCs w:val="24"/>
          <w:lang w:val="x-none"/>
        </w:rPr>
        <w:t xml:space="preserve"> indítását engedélyezi.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73586" w:rsidRPr="00455251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P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</w:p>
    <w:p w:rsidR="00473586" w:rsidRPr="008C5E3F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 Képviselő-testülete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Dob Óvoda </w:t>
      </w:r>
      <w:r>
        <w:rPr>
          <w:rFonts w:ascii="Times New Roman" w:hAnsi="Times New Roman"/>
          <w:sz w:val="24"/>
          <w:szCs w:val="24"/>
          <w:lang w:val="x-none"/>
        </w:rPr>
        <w:t xml:space="preserve">(1074 Budapest, Dob utca 95.) számára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óvodai csoport</w:t>
      </w:r>
      <w:r>
        <w:rPr>
          <w:rFonts w:ascii="Times New Roman" w:hAnsi="Times New Roman"/>
          <w:sz w:val="24"/>
          <w:szCs w:val="24"/>
          <w:lang w:val="x-none"/>
        </w:rPr>
        <w:t xml:space="preserve"> indítását engedélyezi.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73586" w:rsidRPr="00455251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azonnal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2C1D" w:rsidRDefault="00752C1D" w:rsidP="00752C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Dob Óvoda</w:t>
      </w:r>
      <w:r>
        <w:rPr>
          <w:rFonts w:ascii="Times New Roman" w:hAnsi="Times New Roman"/>
          <w:sz w:val="24"/>
          <w:szCs w:val="24"/>
        </w:rPr>
        <w:t xml:space="preserve"> Alapító okiratának módosítását, valamint az</w:t>
      </w:r>
      <w:r>
        <w:rPr>
          <w:rFonts w:ascii="Times New Roman" w:hAnsi="Times New Roman"/>
          <w:sz w:val="24"/>
          <w:szCs w:val="24"/>
          <w:lang w:val="x-none"/>
        </w:rPr>
        <w:t xml:space="preserve"> egységes szerkezetbe foglalt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lapító </w:t>
      </w:r>
      <w:r>
        <w:rPr>
          <w:rFonts w:ascii="Times New Roman" w:hAnsi="Times New Roman"/>
          <w:sz w:val="24"/>
          <w:szCs w:val="24"/>
        </w:rPr>
        <w:t>o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kirat</w:t>
      </w:r>
      <w:r>
        <w:rPr>
          <w:rFonts w:ascii="Times New Roman" w:hAnsi="Times New Roman"/>
          <w:sz w:val="24"/>
          <w:szCs w:val="24"/>
        </w:rPr>
        <w:t>o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>
        <w:rPr>
          <w:rFonts w:ascii="Times New Roman" w:hAnsi="Times New Roman"/>
          <w:sz w:val="24"/>
          <w:szCs w:val="24"/>
          <w:lang w:val="x-none"/>
        </w:rPr>
        <w:t>mellék</w:t>
      </w:r>
      <w:r>
        <w:rPr>
          <w:rFonts w:ascii="Times New Roman" w:hAnsi="Times New Roman"/>
          <w:sz w:val="24"/>
          <w:szCs w:val="24"/>
        </w:rPr>
        <w:t xml:space="preserve">lete szerinti tartalommal </w:t>
      </w:r>
      <w:r>
        <w:rPr>
          <w:rFonts w:ascii="Times New Roman" w:hAnsi="Times New Roman"/>
          <w:sz w:val="24"/>
          <w:szCs w:val="24"/>
          <w:lang w:val="x-none"/>
        </w:rPr>
        <w:t>elfogadja.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2C1D" w:rsidRDefault="00752C1D" w:rsidP="00752C1D">
      <w:pPr>
        <w:autoSpaceDE w:val="0"/>
        <w:autoSpaceDN w:val="0"/>
        <w:spacing w:after="1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  <w:lang w:val="x-none"/>
        </w:rPr>
        <w:t xml:space="preserve">elkéri a polgármestert a módosító okirat </w:t>
      </w:r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  <w:lang w:val="x-none"/>
        </w:rPr>
        <w:t>az egységes szerkezetbe foglalt Alapító Okirat aláírására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x-none"/>
        </w:rPr>
        <w:t>valamint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hogy intézkedjen a Magyar Államkincstár Területi Szervéhez 8 napon belül történő megküldéséről.</w:t>
      </w:r>
    </w:p>
    <w:p w:rsidR="00752C1D" w:rsidRDefault="00752C1D" w:rsidP="00752C1D">
      <w:pPr>
        <w:jc w:val="both"/>
        <w:rPr>
          <w:rFonts w:ascii="Times New Roman" w:hAnsi="Times New Roman"/>
          <w:sz w:val="24"/>
          <w:szCs w:val="24"/>
        </w:rPr>
      </w:pP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Vattamány Zsolt polgármester</w:t>
      </w: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azonnal</w:t>
      </w: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P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</w:t>
      </w:r>
    </w:p>
    <w:p w:rsidR="00473586" w:rsidRPr="008C5E3F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 Képviselő-testülete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Kópévár Óvoda </w:t>
      </w:r>
      <w:r>
        <w:rPr>
          <w:rFonts w:ascii="Times New Roman" w:hAnsi="Times New Roman"/>
          <w:sz w:val="24"/>
          <w:szCs w:val="24"/>
          <w:lang w:val="x-none"/>
        </w:rPr>
        <w:t xml:space="preserve">(1078 Budapest, István út 37.) számára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8 óvodai csoport</w:t>
      </w:r>
      <w:r>
        <w:rPr>
          <w:rFonts w:ascii="Times New Roman" w:hAnsi="Times New Roman"/>
          <w:sz w:val="24"/>
          <w:szCs w:val="24"/>
          <w:lang w:val="x-none"/>
        </w:rPr>
        <w:t xml:space="preserve"> indítását  engedélyezi.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73586" w:rsidRPr="00455251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2C1D" w:rsidRP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2C1D">
        <w:rPr>
          <w:rFonts w:ascii="Times New Roman" w:hAnsi="Times New Roman"/>
          <w:b/>
          <w:bCs/>
          <w:sz w:val="28"/>
          <w:szCs w:val="28"/>
        </w:rPr>
        <w:t>8.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C1D" w:rsidRDefault="00752C1D" w:rsidP="00752C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Kópévár Óvoda</w:t>
      </w:r>
      <w:r>
        <w:rPr>
          <w:rFonts w:ascii="Times New Roman" w:hAnsi="Times New Roman"/>
          <w:sz w:val="24"/>
          <w:szCs w:val="24"/>
        </w:rPr>
        <w:t xml:space="preserve"> Alapító okiratának módosítását, valamint az</w:t>
      </w:r>
      <w:r>
        <w:rPr>
          <w:rFonts w:ascii="Times New Roman" w:hAnsi="Times New Roman"/>
          <w:sz w:val="24"/>
          <w:szCs w:val="24"/>
          <w:lang w:val="x-none"/>
        </w:rPr>
        <w:t xml:space="preserve"> egységes szerkezetbe foglalt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lapító </w:t>
      </w:r>
      <w:r>
        <w:rPr>
          <w:rFonts w:ascii="Times New Roman" w:hAnsi="Times New Roman"/>
          <w:sz w:val="24"/>
          <w:szCs w:val="24"/>
        </w:rPr>
        <w:t>o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kirat</w:t>
      </w:r>
      <w:r>
        <w:rPr>
          <w:rFonts w:ascii="Times New Roman" w:hAnsi="Times New Roman"/>
          <w:sz w:val="24"/>
          <w:szCs w:val="24"/>
        </w:rPr>
        <w:t>o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>
        <w:rPr>
          <w:rFonts w:ascii="Times New Roman" w:hAnsi="Times New Roman"/>
          <w:sz w:val="24"/>
          <w:szCs w:val="24"/>
          <w:lang w:val="x-none"/>
        </w:rPr>
        <w:t>mellék</w:t>
      </w:r>
      <w:r>
        <w:rPr>
          <w:rFonts w:ascii="Times New Roman" w:hAnsi="Times New Roman"/>
          <w:sz w:val="24"/>
          <w:szCs w:val="24"/>
        </w:rPr>
        <w:t xml:space="preserve">lete szerinti tartalommal </w:t>
      </w:r>
      <w:r>
        <w:rPr>
          <w:rFonts w:ascii="Times New Roman" w:hAnsi="Times New Roman"/>
          <w:sz w:val="24"/>
          <w:szCs w:val="24"/>
          <w:lang w:val="x-none"/>
        </w:rPr>
        <w:t>elfogadja.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2C1D" w:rsidRDefault="00752C1D" w:rsidP="00752C1D">
      <w:pPr>
        <w:autoSpaceDE w:val="0"/>
        <w:autoSpaceDN w:val="0"/>
        <w:spacing w:after="1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  <w:lang w:val="x-none"/>
        </w:rPr>
        <w:t xml:space="preserve">elkéri a polgármestert a módosító okirat </w:t>
      </w:r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  <w:lang w:val="x-none"/>
        </w:rPr>
        <w:t>az egységes szerkezetbe foglalt Alapító Okirat aláírására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x-none"/>
        </w:rPr>
        <w:t>valamint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hogy intézkedjen a Magyar Államkincstár Területi Szervéhez 8 napon belül történő megküldéséről.</w:t>
      </w: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Vattamány Zsolt polgármester</w:t>
      </w: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azonnal</w:t>
      </w: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P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9.</w:t>
      </w:r>
    </w:p>
    <w:p w:rsidR="00473586" w:rsidRPr="008C5E3F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 Képviselő-testülete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Magonc Óvoda </w:t>
      </w:r>
      <w:r>
        <w:rPr>
          <w:rFonts w:ascii="Times New Roman" w:hAnsi="Times New Roman"/>
          <w:sz w:val="24"/>
          <w:szCs w:val="24"/>
          <w:lang w:val="x-none"/>
        </w:rPr>
        <w:t xml:space="preserve">(1071 Budapest, Városligeti fasor 39/41.) számára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8 óvodai csoport</w:t>
      </w:r>
      <w:r>
        <w:rPr>
          <w:rFonts w:ascii="Times New Roman" w:hAnsi="Times New Roman"/>
          <w:sz w:val="24"/>
          <w:szCs w:val="24"/>
          <w:lang w:val="x-none"/>
        </w:rPr>
        <w:t xml:space="preserve"> indítását  engedélyezi.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73586" w:rsidRPr="00455251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EB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EB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EB" w:rsidRPr="00231EEB" w:rsidRDefault="00231EEB" w:rsidP="00231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EEB">
        <w:rPr>
          <w:rFonts w:ascii="Times New Roman" w:hAnsi="Times New Roman"/>
          <w:b/>
          <w:bCs/>
          <w:sz w:val="28"/>
          <w:szCs w:val="28"/>
        </w:rPr>
        <w:t>10.</w:t>
      </w:r>
    </w:p>
    <w:p w:rsidR="00231EEB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EB" w:rsidRDefault="00231EEB" w:rsidP="00231EE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Magonc Óvoda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Alapító okiratának módosítását, valamint az</w:t>
      </w:r>
      <w:r>
        <w:rPr>
          <w:rFonts w:ascii="Times New Roman" w:hAnsi="Times New Roman"/>
          <w:sz w:val="24"/>
          <w:szCs w:val="24"/>
          <w:lang w:val="x-none"/>
        </w:rPr>
        <w:t xml:space="preserve"> egységes szerkezetbe foglalt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lapító </w:t>
      </w:r>
      <w:r>
        <w:rPr>
          <w:rFonts w:ascii="Times New Roman" w:hAnsi="Times New Roman"/>
          <w:sz w:val="24"/>
          <w:szCs w:val="24"/>
        </w:rPr>
        <w:t>o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kirat</w:t>
      </w:r>
      <w:r>
        <w:rPr>
          <w:rFonts w:ascii="Times New Roman" w:hAnsi="Times New Roman"/>
          <w:sz w:val="24"/>
          <w:szCs w:val="24"/>
        </w:rPr>
        <w:t>o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>
        <w:rPr>
          <w:rFonts w:ascii="Times New Roman" w:hAnsi="Times New Roman"/>
          <w:sz w:val="24"/>
          <w:szCs w:val="24"/>
          <w:lang w:val="x-none"/>
        </w:rPr>
        <w:t>mellék</w:t>
      </w:r>
      <w:r>
        <w:rPr>
          <w:rFonts w:ascii="Times New Roman" w:hAnsi="Times New Roman"/>
          <w:sz w:val="24"/>
          <w:szCs w:val="24"/>
        </w:rPr>
        <w:t xml:space="preserve">lete szerinti tartalommal </w:t>
      </w:r>
      <w:r>
        <w:rPr>
          <w:rFonts w:ascii="Times New Roman" w:hAnsi="Times New Roman"/>
          <w:sz w:val="24"/>
          <w:szCs w:val="24"/>
          <w:lang w:val="x-none"/>
        </w:rPr>
        <w:t>elfogadja.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31EEB" w:rsidRDefault="00231EEB" w:rsidP="00231EEB">
      <w:pPr>
        <w:autoSpaceDE w:val="0"/>
        <w:autoSpaceDN w:val="0"/>
        <w:spacing w:after="1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  <w:lang w:val="x-none"/>
        </w:rPr>
        <w:t xml:space="preserve">elkéri a polgármestert a módosító okirat </w:t>
      </w:r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  <w:lang w:val="x-none"/>
        </w:rPr>
        <w:t>az egységes szerkezetbe foglalt Alapító Okirat aláírására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x-none"/>
        </w:rPr>
        <w:t>valamint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hogy intézkedjen a Magyar Államkincstár Területi Szervéhez 8 napon belül történő megküldéséről.</w:t>
      </w:r>
    </w:p>
    <w:p w:rsidR="00231EEB" w:rsidRDefault="00231EEB" w:rsidP="00231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231EEB" w:rsidRDefault="00231EEB" w:rsidP="00231EE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31EEB" w:rsidRPr="00455251" w:rsidRDefault="00231EEB" w:rsidP="00231EE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EB" w:rsidRPr="00231EEB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Pr="00752C1D" w:rsidRDefault="00231EEB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11.</w:t>
      </w:r>
    </w:p>
    <w:p w:rsidR="00473586" w:rsidRPr="008C5E3F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 Képviselő-testülete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Nefelejcs Óvoda </w:t>
      </w:r>
      <w:r>
        <w:rPr>
          <w:rFonts w:ascii="Times New Roman" w:hAnsi="Times New Roman"/>
          <w:sz w:val="24"/>
          <w:szCs w:val="24"/>
          <w:lang w:val="x-none"/>
        </w:rPr>
        <w:t xml:space="preserve">(1071 Budapest, Nefelejcs utca 62.) számára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473586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óvodai csoport</w:t>
      </w:r>
      <w:r>
        <w:rPr>
          <w:rFonts w:ascii="Times New Roman" w:hAnsi="Times New Roman"/>
          <w:sz w:val="24"/>
          <w:szCs w:val="24"/>
          <w:lang w:val="x-none"/>
        </w:rPr>
        <w:t xml:space="preserve"> indítását engedélyezi.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73586" w:rsidRPr="00455251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C1D" w:rsidRPr="00752C1D" w:rsidRDefault="00231EEB" w:rsidP="007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12.</w:t>
      </w: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C1D" w:rsidRDefault="00752C1D" w:rsidP="00752C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Nefelejcs Óvoda</w:t>
      </w:r>
      <w:r>
        <w:rPr>
          <w:rFonts w:ascii="Times New Roman" w:hAnsi="Times New Roman"/>
          <w:sz w:val="24"/>
          <w:szCs w:val="24"/>
        </w:rPr>
        <w:t xml:space="preserve"> Alapító okiratának módosítását, valamint az</w:t>
      </w:r>
      <w:r>
        <w:rPr>
          <w:rFonts w:ascii="Times New Roman" w:hAnsi="Times New Roman"/>
          <w:sz w:val="24"/>
          <w:szCs w:val="24"/>
          <w:lang w:val="x-none"/>
        </w:rPr>
        <w:t xml:space="preserve"> egységes szerkezetbe foglalt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lapító </w:t>
      </w:r>
      <w:r>
        <w:rPr>
          <w:rFonts w:ascii="Times New Roman" w:hAnsi="Times New Roman"/>
          <w:sz w:val="24"/>
          <w:szCs w:val="24"/>
        </w:rPr>
        <w:t>o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kirat</w:t>
      </w:r>
      <w:r>
        <w:rPr>
          <w:rFonts w:ascii="Times New Roman" w:hAnsi="Times New Roman"/>
          <w:sz w:val="24"/>
          <w:szCs w:val="24"/>
        </w:rPr>
        <w:t>o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>
        <w:rPr>
          <w:rFonts w:ascii="Times New Roman" w:hAnsi="Times New Roman"/>
          <w:sz w:val="24"/>
          <w:szCs w:val="24"/>
          <w:lang w:val="x-none"/>
        </w:rPr>
        <w:t>mellék</w:t>
      </w:r>
      <w:r>
        <w:rPr>
          <w:rFonts w:ascii="Times New Roman" w:hAnsi="Times New Roman"/>
          <w:sz w:val="24"/>
          <w:szCs w:val="24"/>
        </w:rPr>
        <w:t xml:space="preserve">lete szerinti tartalommal </w:t>
      </w:r>
      <w:r>
        <w:rPr>
          <w:rFonts w:ascii="Times New Roman" w:hAnsi="Times New Roman"/>
          <w:sz w:val="24"/>
          <w:szCs w:val="24"/>
          <w:lang w:val="x-none"/>
        </w:rPr>
        <w:t>elfogadja.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2C1D" w:rsidRDefault="00752C1D" w:rsidP="00752C1D">
      <w:pPr>
        <w:autoSpaceDE w:val="0"/>
        <w:autoSpaceDN w:val="0"/>
        <w:spacing w:after="1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  <w:lang w:val="x-none"/>
        </w:rPr>
        <w:t xml:space="preserve">elkéri a polgármestert a módosító okirat </w:t>
      </w:r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  <w:lang w:val="x-none"/>
        </w:rPr>
        <w:t>az egységes szerkezetbe foglalt Alapító Okirat aláírására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x-none"/>
        </w:rPr>
        <w:t>valamint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hogy intézkedjen a Magyar Államkincstár Területi Szervéhez 8 napon belül történő megküldéséről.</w:t>
      </w: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Vattamány Zsolt polgármester</w:t>
      </w:r>
    </w:p>
    <w:p w:rsidR="00752C1D" w:rsidRDefault="00752C1D" w:rsidP="00752C1D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azonnal</w:t>
      </w:r>
    </w:p>
    <w:p w:rsidR="00752C1D" w:rsidRP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586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6" w:rsidRDefault="00A170E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C1D" w:rsidRDefault="00752C1D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586" w:rsidRPr="008215CB" w:rsidRDefault="00473586" w:rsidP="00473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/>
          <w:bCs/>
          <w:sz w:val="24"/>
          <w:szCs w:val="24"/>
        </w:rPr>
        <w:t xml:space="preserve">2014.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június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5.</w:t>
      </w:r>
    </w:p>
    <w:p w:rsidR="00473586" w:rsidRDefault="00473586" w:rsidP="004735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752C1D" w:rsidRDefault="00752C1D" w:rsidP="004735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52C1D" w:rsidRPr="00752C1D" w:rsidRDefault="00752C1D" w:rsidP="004735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3586" w:rsidRDefault="00473586" w:rsidP="004735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Juhász Gábor</w:t>
      </w:r>
    </w:p>
    <w:p w:rsidR="00473586" w:rsidRDefault="00473586" w:rsidP="004735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alpolgármester</w:t>
      </w:r>
    </w:p>
    <w:sectPr w:rsidR="00473586" w:rsidSect="00231EEB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5C21"/>
    <w:multiLevelType w:val="hybridMultilevel"/>
    <w:tmpl w:val="2AC670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F73E7"/>
    <w:multiLevelType w:val="hybridMultilevel"/>
    <w:tmpl w:val="4CDC24B0"/>
    <w:lvl w:ilvl="0" w:tplc="2E12BE76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37B2B23"/>
    <w:multiLevelType w:val="hybridMultilevel"/>
    <w:tmpl w:val="A18A98C6"/>
    <w:lvl w:ilvl="0" w:tplc="DDB03F24">
      <w:start w:val="20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A11E3C"/>
    <w:multiLevelType w:val="multilevel"/>
    <w:tmpl w:val="09086A7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19E"/>
    <w:rsid w:val="00023095"/>
    <w:rsid w:val="00050367"/>
    <w:rsid w:val="00074CDD"/>
    <w:rsid w:val="001162C1"/>
    <w:rsid w:val="001246AF"/>
    <w:rsid w:val="0013631D"/>
    <w:rsid w:val="00141592"/>
    <w:rsid w:val="001554CF"/>
    <w:rsid w:val="00173837"/>
    <w:rsid w:val="001B5645"/>
    <w:rsid w:val="001C1139"/>
    <w:rsid w:val="001F6106"/>
    <w:rsid w:val="0020095B"/>
    <w:rsid w:val="00202265"/>
    <w:rsid w:val="00231EEB"/>
    <w:rsid w:val="00234850"/>
    <w:rsid w:val="00240EBC"/>
    <w:rsid w:val="0024143A"/>
    <w:rsid w:val="00243AF2"/>
    <w:rsid w:val="00267A7A"/>
    <w:rsid w:val="002A4F12"/>
    <w:rsid w:val="002B0A24"/>
    <w:rsid w:val="002E41F9"/>
    <w:rsid w:val="0035668C"/>
    <w:rsid w:val="0037695A"/>
    <w:rsid w:val="003830CD"/>
    <w:rsid w:val="00396659"/>
    <w:rsid w:val="00417A4E"/>
    <w:rsid w:val="00453BC8"/>
    <w:rsid w:val="00455251"/>
    <w:rsid w:val="00473586"/>
    <w:rsid w:val="00497300"/>
    <w:rsid w:val="004B6876"/>
    <w:rsid w:val="004C3DED"/>
    <w:rsid w:val="00537B0D"/>
    <w:rsid w:val="005456F4"/>
    <w:rsid w:val="00554DEE"/>
    <w:rsid w:val="00572F15"/>
    <w:rsid w:val="005810A0"/>
    <w:rsid w:val="00581B02"/>
    <w:rsid w:val="00582BB4"/>
    <w:rsid w:val="00593AC5"/>
    <w:rsid w:val="005B7BDC"/>
    <w:rsid w:val="006002BF"/>
    <w:rsid w:val="006127C2"/>
    <w:rsid w:val="00645333"/>
    <w:rsid w:val="00660C92"/>
    <w:rsid w:val="00662F7E"/>
    <w:rsid w:val="006C4A02"/>
    <w:rsid w:val="006D49A9"/>
    <w:rsid w:val="00752C1D"/>
    <w:rsid w:val="00792DBD"/>
    <w:rsid w:val="007A3238"/>
    <w:rsid w:val="007E3345"/>
    <w:rsid w:val="007F4146"/>
    <w:rsid w:val="00800D3C"/>
    <w:rsid w:val="00835D63"/>
    <w:rsid w:val="008B4E6B"/>
    <w:rsid w:val="008C5E3F"/>
    <w:rsid w:val="008C7726"/>
    <w:rsid w:val="008E6023"/>
    <w:rsid w:val="008F6919"/>
    <w:rsid w:val="008F6B05"/>
    <w:rsid w:val="00905ADB"/>
    <w:rsid w:val="009D020F"/>
    <w:rsid w:val="00A044FB"/>
    <w:rsid w:val="00A170E6"/>
    <w:rsid w:val="00A32839"/>
    <w:rsid w:val="00A40CE5"/>
    <w:rsid w:val="00A42CF0"/>
    <w:rsid w:val="00A82F3C"/>
    <w:rsid w:val="00A9418A"/>
    <w:rsid w:val="00AD119C"/>
    <w:rsid w:val="00B016ED"/>
    <w:rsid w:val="00B0744B"/>
    <w:rsid w:val="00B10FE3"/>
    <w:rsid w:val="00B13766"/>
    <w:rsid w:val="00B35B56"/>
    <w:rsid w:val="00B652EA"/>
    <w:rsid w:val="00B6635B"/>
    <w:rsid w:val="00B66D3E"/>
    <w:rsid w:val="00B7566F"/>
    <w:rsid w:val="00BB2C03"/>
    <w:rsid w:val="00BC1123"/>
    <w:rsid w:val="00BC3559"/>
    <w:rsid w:val="00BD013D"/>
    <w:rsid w:val="00C95A47"/>
    <w:rsid w:val="00CC42E5"/>
    <w:rsid w:val="00CD6770"/>
    <w:rsid w:val="00CE6E7A"/>
    <w:rsid w:val="00D0000C"/>
    <w:rsid w:val="00D119F6"/>
    <w:rsid w:val="00D658B6"/>
    <w:rsid w:val="00D77695"/>
    <w:rsid w:val="00DA6B63"/>
    <w:rsid w:val="00DC79A2"/>
    <w:rsid w:val="00EF73C4"/>
    <w:rsid w:val="00F4219E"/>
    <w:rsid w:val="00FA5B90"/>
    <w:rsid w:val="00FB0113"/>
    <w:rsid w:val="00FC7544"/>
    <w:rsid w:val="00FD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119F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54DEE"/>
    <w:pPr>
      <w:ind w:left="720"/>
      <w:contextualSpacing/>
    </w:pPr>
  </w:style>
  <w:style w:type="paragraph" w:customStyle="1" w:styleId="Char">
    <w:name w:val="Char"/>
    <w:basedOn w:val="Norml"/>
    <w:rsid w:val="005810A0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5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525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3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119F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54DEE"/>
    <w:pPr>
      <w:ind w:left="720"/>
      <w:contextualSpacing/>
    </w:pPr>
  </w:style>
  <w:style w:type="paragraph" w:customStyle="1" w:styleId="Char">
    <w:name w:val="Char"/>
    <w:basedOn w:val="Norml"/>
    <w:rsid w:val="005810A0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5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525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3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7E994-6662-4DD8-AD9F-C2E1C513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1910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Ujváriné Gercsák Anikó</dc:creator>
  <cp:lastModifiedBy>Baki Zsuzsanna</cp:lastModifiedBy>
  <cp:revision>31</cp:revision>
  <cp:lastPrinted>2013-06-18T08:10:00Z</cp:lastPrinted>
  <dcterms:created xsi:type="dcterms:W3CDTF">2014-05-29T09:35:00Z</dcterms:created>
  <dcterms:modified xsi:type="dcterms:W3CDTF">2014-06-06T12:35:00Z</dcterms:modified>
</cp:coreProperties>
</file>