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D7D" w:rsidRPr="00177430" w:rsidRDefault="00B46D7D" w:rsidP="00B46D7D">
      <w:pPr>
        <w:pStyle w:val="listaszer01710020bekezd00e9s"/>
        <w:spacing w:before="0" w:beforeAutospacing="0" w:after="0" w:afterAutospacing="0"/>
        <w:ind w:left="720"/>
        <w:jc w:val="right"/>
        <w:rPr>
          <w:rStyle w:val="listaszer01710020bekezd00e9schar"/>
          <w:color w:val="000000"/>
        </w:rPr>
      </w:pPr>
      <w:r w:rsidRPr="00177430">
        <w:rPr>
          <w:rStyle w:val="listaszer01710020bekezd00e9schar"/>
          <w:color w:val="000000"/>
        </w:rPr>
        <w:t>Melléklet</w:t>
      </w:r>
    </w:p>
    <w:p w:rsidR="00B46D7D" w:rsidRPr="00177430" w:rsidRDefault="00B46D7D" w:rsidP="00B46D7D">
      <w:pPr>
        <w:pStyle w:val="listaszer01710020bekezd00e9s"/>
        <w:spacing w:before="0" w:beforeAutospacing="0" w:after="0" w:afterAutospacing="0"/>
        <w:ind w:left="720"/>
        <w:jc w:val="right"/>
        <w:rPr>
          <w:rStyle w:val="listaszer01710020bekezd00e9schar"/>
          <w:color w:val="000000"/>
        </w:rPr>
      </w:pPr>
    </w:p>
    <w:p w:rsidR="00B46D7D" w:rsidRPr="00177430" w:rsidRDefault="00B46D7D" w:rsidP="00B46D7D">
      <w:pPr>
        <w:pStyle w:val="norm00e1l0020t00e1bl00e1zat"/>
        <w:spacing w:before="0" w:beforeAutospacing="0" w:after="0" w:afterAutospacing="0"/>
        <w:ind w:left="420" w:right="60"/>
        <w:jc w:val="right"/>
        <w:rPr>
          <w:rStyle w:val="norm00e1l0020t00e1bl00e1zatchar"/>
          <w:rFonts w:eastAsia="Calibri"/>
          <w:iCs/>
        </w:rPr>
      </w:pPr>
      <w:r>
        <w:rPr>
          <w:rStyle w:val="norm00e1l0020t00e1bl00e1zatchar"/>
          <w:rFonts w:eastAsia="Calibri"/>
          <w:iCs/>
        </w:rPr>
        <w:t>„</w:t>
      </w:r>
      <w:r w:rsidRPr="00177430">
        <w:rPr>
          <w:rStyle w:val="norm00e1l0020t00e1bl00e1zatchar"/>
          <w:rFonts w:eastAsia="Calibri"/>
          <w:iCs/>
        </w:rPr>
        <w:t>1. melléklet</w:t>
      </w:r>
    </w:p>
    <w:p w:rsidR="00B46D7D" w:rsidRPr="00177430" w:rsidRDefault="00B46D7D" w:rsidP="00B46D7D">
      <w:pPr>
        <w:pStyle w:val="norm00e1l0020t00e1bl00e1zat"/>
        <w:spacing w:before="0" w:beforeAutospacing="0" w:after="0" w:afterAutospacing="0"/>
        <w:ind w:left="60" w:right="60"/>
        <w:jc w:val="center"/>
        <w:rPr>
          <w:rStyle w:val="norm00e1l0020t00e1bl00e1zatchar"/>
          <w:rFonts w:eastAsia="Calibri"/>
          <w:iCs/>
        </w:rPr>
      </w:pPr>
    </w:p>
    <w:p w:rsidR="00B46D7D" w:rsidRPr="00177430" w:rsidRDefault="00B46D7D" w:rsidP="00B46D7D">
      <w:pPr>
        <w:pStyle w:val="norm00e1l0020t00e1bl00e1zat"/>
        <w:spacing w:before="0" w:beforeAutospacing="0" w:after="0" w:afterAutospacing="0"/>
        <w:ind w:left="60" w:right="60"/>
        <w:jc w:val="center"/>
        <w:rPr>
          <w:rStyle w:val="norm00e1l0020t00e1bl00e1zatchar"/>
          <w:rFonts w:eastAsia="Calibri"/>
          <w:iCs/>
        </w:rPr>
      </w:pPr>
      <w:r w:rsidRPr="00177430">
        <w:rPr>
          <w:rStyle w:val="norm00e1l0020t00e1bl00e1zatchar"/>
          <w:rFonts w:eastAsia="Calibri"/>
          <w:iCs/>
        </w:rPr>
        <w:t xml:space="preserve">Budapest Főváros VII. kerület Erzsébetváros Önkormányzata Képviselő-testületének </w:t>
      </w:r>
    </w:p>
    <w:p w:rsidR="00B46D7D" w:rsidRPr="00177430" w:rsidRDefault="00B46D7D" w:rsidP="00B46D7D">
      <w:pPr>
        <w:pStyle w:val="norm00e1l0020t00e1bl00e1zat"/>
        <w:spacing w:before="0" w:beforeAutospacing="0" w:after="0" w:afterAutospacing="0"/>
        <w:ind w:left="60" w:right="60"/>
        <w:jc w:val="center"/>
        <w:rPr>
          <w:rStyle w:val="norm00e1l0020t00e1bl00e1zatchar"/>
          <w:rFonts w:eastAsia="Calibri"/>
          <w:iCs/>
        </w:rPr>
      </w:pPr>
      <w:r w:rsidRPr="00177430">
        <w:rPr>
          <w:rStyle w:val="norm00e1l0020t00e1bl00e1zatchar"/>
          <w:rFonts w:eastAsia="Calibri"/>
          <w:iCs/>
        </w:rPr>
        <w:t>22/2013. (IV.30.) önkormányzati rendeletéhez</w:t>
      </w:r>
    </w:p>
    <w:p w:rsidR="00B46D7D" w:rsidRPr="00177430" w:rsidRDefault="00B46D7D" w:rsidP="00B46D7D">
      <w:pPr>
        <w:pStyle w:val="norm00e1l0020t00e1bl00e1zat"/>
        <w:spacing w:before="0" w:beforeAutospacing="0" w:after="0" w:afterAutospacing="0"/>
        <w:ind w:left="60" w:right="60"/>
        <w:jc w:val="center"/>
        <w:rPr>
          <w:rStyle w:val="norm00e1l0020t00e1bl00e1zatchar"/>
          <w:rFonts w:eastAsia="Calibri"/>
          <w:iCs/>
        </w:rPr>
      </w:pPr>
    </w:p>
    <w:p w:rsidR="00B46D7D" w:rsidRPr="00177430" w:rsidRDefault="00B46D7D" w:rsidP="00B46D7D">
      <w:pPr>
        <w:pStyle w:val="listaszer01710020bekezd00e9s"/>
        <w:spacing w:before="0" w:beforeAutospacing="0" w:after="0" w:afterAutospacing="0"/>
        <w:ind w:left="720"/>
        <w:jc w:val="center"/>
        <w:rPr>
          <w:b/>
        </w:rPr>
      </w:pPr>
      <w:r w:rsidRPr="00177430">
        <w:rPr>
          <w:b/>
        </w:rPr>
        <w:t>Közterület-használati díjtételek (az ÁFA összegét nem tartalmazzák)</w:t>
      </w:r>
    </w:p>
    <w:p w:rsidR="00B46D7D" w:rsidRPr="00177430" w:rsidRDefault="00B46D7D" w:rsidP="00B46D7D">
      <w:pPr>
        <w:pStyle w:val="listaszer01710020bekezd00e9s"/>
        <w:spacing w:before="0" w:beforeAutospacing="0" w:after="0" w:afterAutospacing="0"/>
        <w:ind w:left="720"/>
        <w:jc w:val="right"/>
      </w:pPr>
    </w:p>
    <w:p w:rsidR="00B46D7D" w:rsidRPr="00177430" w:rsidRDefault="00B46D7D" w:rsidP="00B46D7D">
      <w:pPr>
        <w:ind w:left="60" w:right="60"/>
        <w:jc w:val="center"/>
        <w:rPr>
          <w:rStyle w:val="norm00e1l0020t00e1bl00e1zatchar"/>
          <w:rFonts w:eastAsia="Calibri"/>
          <w:b/>
          <w:bCs/>
        </w:rPr>
      </w:pPr>
      <w:r w:rsidRPr="00177430">
        <w:rPr>
          <w:rStyle w:val="norm00e1l0020t00e1bl00e1zatchar"/>
          <w:rFonts w:eastAsia="Calibri"/>
          <w:b/>
          <w:bCs/>
        </w:rPr>
        <w:t>I. Vendéglátó-, kereskedelmi-, és reklám célú használat</w:t>
      </w:r>
    </w:p>
    <w:p w:rsidR="00B46D7D" w:rsidRPr="00177430" w:rsidRDefault="00B46D7D" w:rsidP="00B46D7D">
      <w:pPr>
        <w:ind w:left="60" w:right="60"/>
        <w:jc w:val="center"/>
        <w:rPr>
          <w:rStyle w:val="norm00e1l0020t00e1bl00e1zatchar"/>
          <w:rFonts w:eastAsia="Calibri"/>
          <w:b/>
          <w:bCs/>
        </w:rPr>
      </w:pPr>
    </w:p>
    <w:tbl>
      <w:tblPr>
        <w:tblStyle w:val="Rcsostblzat"/>
        <w:tblW w:w="9353" w:type="dxa"/>
        <w:tblInd w:w="60" w:type="dxa"/>
        <w:tblLayout w:type="fixed"/>
        <w:tblLook w:val="04A0" w:firstRow="1" w:lastRow="0" w:firstColumn="1" w:lastColumn="0" w:noHBand="0" w:noVBand="1"/>
      </w:tblPr>
      <w:tblGrid>
        <w:gridCol w:w="1608"/>
        <w:gridCol w:w="4677"/>
        <w:gridCol w:w="1934"/>
        <w:gridCol w:w="1134"/>
      </w:tblGrid>
      <w:tr w:rsidR="00B46D7D" w:rsidRPr="00177430" w:rsidTr="00520EF3">
        <w:tc>
          <w:tcPr>
            <w:tcW w:w="6285" w:type="dxa"/>
            <w:gridSpan w:val="2"/>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célja</w:t>
            </w:r>
          </w:p>
        </w:tc>
        <w:tc>
          <w:tcPr>
            <w:tcW w:w="3068" w:type="dxa"/>
            <w:gridSpan w:val="2"/>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díja</w:t>
            </w:r>
            <w:r>
              <w:rPr>
                <w:rStyle w:val="norm00e1l0020t00e1bl00e1zatchar"/>
                <w:rFonts w:eastAsia="Calibri"/>
                <w:b/>
                <w:bCs/>
                <w:i/>
                <w:sz w:val="22"/>
                <w:szCs w:val="22"/>
              </w:rPr>
              <w:t xml:space="preserve"> (Ft)</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Óriás plakát legfeljebb 8-20 m</w:t>
            </w:r>
            <w:r w:rsidRPr="00177430">
              <w:rPr>
                <w:rStyle w:val="norm00e1lchar"/>
                <w:sz w:val="22"/>
                <w:szCs w:val="22"/>
                <w:vertAlign w:val="superscript"/>
              </w:rPr>
              <w:t>2</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22 000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db/hó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Hirdetőoszlop</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8 000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db/hó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Hirdetőoszlop megvilágítással</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w:t>
            </w:r>
            <w:r w:rsidRPr="00177430">
              <w:rPr>
                <w:rStyle w:val="norm00e1lchar"/>
                <w:b/>
                <w:bCs/>
              </w:rPr>
              <w:t>0 000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db/hó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Reklámtábla, hirdetőtábla, fényreklám, prizmás reklámberendezés (talajon, oszlopon, építményen)</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7 000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Homlokzati (építési) védőháló reklámmal</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1 200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Homlokzati (építési) védőháló reklámmal társasházak esetén (ahol a lakások tulajdon</w:t>
            </w:r>
            <w:r w:rsidRPr="00177430">
              <w:rPr>
                <w:rStyle w:val="norm00e1lchar"/>
                <w:sz w:val="22"/>
                <w:szCs w:val="22"/>
              </w:rPr>
              <w:t>i hányad szerinti aránya meghaladja az 50%-ot)</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Vetített reklám</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5 000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center"/>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Reklámzászló</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5 000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db/hó</w:t>
            </w:r>
          </w:p>
        </w:tc>
      </w:tr>
      <w:tr w:rsidR="00B46D7D" w:rsidRPr="00177430" w:rsidTr="00520EF3">
        <w:tc>
          <w:tcPr>
            <w:tcW w:w="6285" w:type="dxa"/>
            <w:gridSpan w:val="2"/>
            <w:vAlign w:val="center"/>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Molinó</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5 000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Közterületbe nyúló, vagy a felett elhelyezett reklámfeliratot tartalmazó védőtető, előtető, ernyőszerkezet, napv</w:t>
            </w:r>
            <w:r w:rsidRPr="00177430">
              <w:rPr>
                <w:rStyle w:val="norm00e1lchar"/>
                <w:sz w:val="22"/>
                <w:szCs w:val="22"/>
              </w:rPr>
              <w:t>édő ponyva</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800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Pavilon</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3 500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Árubemutató (3 m</w:t>
            </w:r>
            <w:r w:rsidRPr="00177430">
              <w:rPr>
                <w:rStyle w:val="norm00e1lchar"/>
                <w:sz w:val="22"/>
                <w:szCs w:val="22"/>
                <w:vertAlign w:val="superscript"/>
              </w:rPr>
              <w:t>2</w:t>
            </w:r>
            <w:r w:rsidRPr="00177430">
              <w:rPr>
                <w:rStyle w:val="norm00e1lchar"/>
                <w:sz w:val="22"/>
                <w:szCs w:val="22"/>
              </w:rPr>
              <w:t>-t meg nem haladó árusító fogasok, állványok)</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3 500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Termékbemutató, kiállítás, egyéb elkerített terület</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3 m</w:t>
            </w:r>
            <w:r w:rsidRPr="00177430">
              <w:rPr>
                <w:rStyle w:val="norm00e1lchar"/>
                <w:sz w:val="22"/>
                <w:szCs w:val="22"/>
                <w:vertAlign w:val="superscript"/>
              </w:rPr>
              <w:t>2</w:t>
            </w:r>
            <w:r w:rsidRPr="00177430">
              <w:rPr>
                <w:rStyle w:val="apple-converted-space"/>
                <w:sz w:val="22"/>
                <w:szCs w:val="22"/>
              </w:rPr>
              <w:t> </w:t>
            </w:r>
            <w:r w:rsidRPr="00177430">
              <w:rPr>
                <w:rStyle w:val="norm00e1lchar"/>
                <w:sz w:val="22"/>
                <w:szCs w:val="22"/>
              </w:rPr>
              <w:t>alapterületet meg nem haladó árusítás (reklámozás) célját szolgáló ideiglenes asztal, guruló kocsi, állvány, sátor, mozgó árusítás (napilap és hetilap, folyóirat, könyv, levelezőlap, virág, léggömb, zöldség, gyümölcs, ásványvíz, üdítőital, stb., valamint zárt szerkezetű kávéital, nyers tej, fagylalt, jégkrém pult)</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300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Vitrin, guruló kirakat</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2 500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Idényjellegű árusítás (dinnye, f</w:t>
            </w:r>
            <w:r w:rsidRPr="00177430">
              <w:rPr>
                <w:rStyle w:val="norm00e1lchar"/>
                <w:sz w:val="22"/>
                <w:szCs w:val="22"/>
              </w:rPr>
              <w:t>enyőfa, stb.)</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300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Ünnepek előtti alkalmi árusítás (karácsony, húsvét, szilveszter)</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1 500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A</w:t>
            </w:r>
            <w:r w:rsidRPr="00177430">
              <w:rPr>
                <w:rStyle w:val="norm00e1lchar"/>
                <w:sz w:val="22"/>
                <w:szCs w:val="22"/>
              </w:rPr>
              <w:t>z Erzsébetvárosi Önkormányzat saját szervezetei (intézmények, közhasznú társaságok, közalapítványok), és az önkormányzat közvetlen és közvetett 100%-os tulajdonában lévő gazdasági társaságok által szervezett rendezvények a hozzá kapcsolódó technikai terület biztosítása és eszközök tárolása</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Heti vásár és piac</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150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Helyi termelői piac</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gridSpan w:val="2"/>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Szórólap</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300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fő</w:t>
            </w:r>
            <w:r w:rsidRPr="00177430">
              <w:rPr>
                <w:rStyle w:val="norm00e1lchar"/>
                <w:b/>
                <w:bCs/>
                <w:sz w:val="22"/>
                <w:szCs w:val="22"/>
              </w:rPr>
              <w:t>/nap</w:t>
            </w:r>
          </w:p>
        </w:tc>
      </w:tr>
      <w:tr w:rsidR="00B46D7D" w:rsidRPr="00177430" w:rsidTr="00520EF3">
        <w:tc>
          <w:tcPr>
            <w:tcW w:w="1608" w:type="dxa"/>
            <w:vMerge w:val="restart"/>
            <w:vAlign w:val="center"/>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Vendéglátó előkert, terasz</w:t>
            </w:r>
          </w:p>
        </w:tc>
        <w:tc>
          <w:tcPr>
            <w:tcW w:w="4677" w:type="dxa"/>
            <w:vAlign w:val="center"/>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Károly körút – Király utca – Erzsébet körút – Rákóczi út által határolt terület</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7 500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177430" w:rsidTr="00520EF3">
        <w:tc>
          <w:tcPr>
            <w:tcW w:w="1608" w:type="dxa"/>
            <w:vMerge/>
            <w:vAlign w:val="center"/>
          </w:tcPr>
          <w:p w:rsidR="00B46D7D" w:rsidRPr="00177430" w:rsidRDefault="00B46D7D" w:rsidP="00520EF3">
            <w:pPr>
              <w:pStyle w:val="norm00e1l0020t00e1bl00e1zat"/>
              <w:spacing w:before="0" w:beforeAutospacing="0" w:after="0" w:afterAutospacing="0"/>
              <w:ind w:left="60" w:right="60"/>
              <w:jc w:val="center"/>
              <w:rPr>
                <w:sz w:val="22"/>
                <w:szCs w:val="22"/>
              </w:rPr>
            </w:pPr>
          </w:p>
        </w:tc>
        <w:tc>
          <w:tcPr>
            <w:tcW w:w="4677" w:type="dxa"/>
            <w:vAlign w:val="center"/>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Erzsébet körút – Király utca – Lö</w:t>
            </w:r>
            <w:r w:rsidRPr="00177430">
              <w:rPr>
                <w:rStyle w:val="norm00e1lchar"/>
                <w:sz w:val="22"/>
                <w:szCs w:val="22"/>
              </w:rPr>
              <w:t>völde tér – Városligeti fasor – Dózsa György út – Verseny utca – Thököly út – Baross tér – Rákóczi út által határolt terület</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5 000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/hó</w:t>
            </w:r>
          </w:p>
        </w:tc>
      </w:tr>
      <w:tr w:rsidR="00B46D7D" w:rsidRPr="00740A58" w:rsidTr="00520EF3">
        <w:tc>
          <w:tcPr>
            <w:tcW w:w="6285" w:type="dxa"/>
            <w:gridSpan w:val="2"/>
            <w:vAlign w:val="bottom"/>
          </w:tcPr>
          <w:p w:rsidR="00B46D7D" w:rsidRPr="00740A58" w:rsidRDefault="00B46D7D" w:rsidP="00520EF3">
            <w:pPr>
              <w:pStyle w:val="norm00e1l0020t00e1bl00e1zat"/>
              <w:spacing w:before="0" w:beforeAutospacing="0" w:after="0" w:afterAutospacing="0"/>
              <w:ind w:left="60" w:right="60"/>
              <w:jc w:val="both"/>
              <w:rPr>
                <w:sz w:val="22"/>
                <w:szCs w:val="22"/>
              </w:rPr>
            </w:pPr>
            <w:r w:rsidRPr="00740A58">
              <w:rPr>
                <w:rStyle w:val="norm00e1l0020t00e1bl00e1zatchar"/>
                <w:rFonts w:eastAsia="Calibri"/>
                <w:sz w:val="22"/>
                <w:szCs w:val="22"/>
              </w:rPr>
              <w:t>Mozgóbolt útján történő árusítás</w:t>
            </w:r>
          </w:p>
        </w:tc>
        <w:tc>
          <w:tcPr>
            <w:tcW w:w="1934" w:type="dxa"/>
            <w:vAlign w:val="center"/>
          </w:tcPr>
          <w:p w:rsidR="00B46D7D" w:rsidRPr="00740A58" w:rsidRDefault="00B46D7D" w:rsidP="00520EF3">
            <w:pPr>
              <w:pStyle w:val="norm00e1l0020t00e1bl00e1zat"/>
              <w:spacing w:before="0" w:beforeAutospacing="0" w:after="0" w:afterAutospacing="0"/>
              <w:ind w:left="60" w:right="60"/>
              <w:jc w:val="right"/>
              <w:rPr>
                <w:sz w:val="22"/>
                <w:szCs w:val="22"/>
              </w:rPr>
            </w:pPr>
            <w:r w:rsidRPr="00740A58">
              <w:rPr>
                <w:rStyle w:val="norm00e1l0020t00e1bl00e1zatchar"/>
                <w:rFonts w:eastAsia="Calibri"/>
                <w:b/>
                <w:bCs/>
              </w:rPr>
              <w:t>1 000</w:t>
            </w:r>
          </w:p>
        </w:tc>
        <w:tc>
          <w:tcPr>
            <w:tcW w:w="1134" w:type="dxa"/>
            <w:vAlign w:val="center"/>
          </w:tcPr>
          <w:p w:rsidR="00B46D7D" w:rsidRPr="00740A58" w:rsidRDefault="00B46D7D" w:rsidP="00520EF3">
            <w:pPr>
              <w:pStyle w:val="norm00e1l0020t00e1bl00e1zat"/>
              <w:spacing w:before="0" w:beforeAutospacing="0" w:after="0" w:afterAutospacing="0"/>
              <w:ind w:left="60" w:right="60"/>
              <w:rPr>
                <w:rStyle w:val="norm00e1l0020t00e1bl00e1zatchar"/>
                <w:rFonts w:eastAsia="Calibri"/>
                <w:b/>
                <w:bCs/>
                <w:sz w:val="22"/>
                <w:szCs w:val="22"/>
              </w:rPr>
            </w:pPr>
            <w:r>
              <w:rPr>
                <w:rStyle w:val="norm00e1l0020t00e1bl00e1zatchar"/>
                <w:rFonts w:eastAsia="Calibri"/>
                <w:b/>
                <w:bCs/>
                <w:sz w:val="22"/>
                <w:szCs w:val="22"/>
              </w:rPr>
              <w:t>db/</w:t>
            </w:r>
            <w:r w:rsidRPr="00740A58">
              <w:rPr>
                <w:rStyle w:val="norm00e1l0020t00e1bl00e1zatchar"/>
                <w:rFonts w:eastAsia="Calibri"/>
                <w:b/>
                <w:bCs/>
                <w:sz w:val="22"/>
                <w:szCs w:val="22"/>
              </w:rPr>
              <w:t>nap</w:t>
            </w:r>
          </w:p>
        </w:tc>
      </w:tr>
      <w:tr w:rsidR="00B46D7D" w:rsidRPr="00DC224C" w:rsidTr="00520EF3">
        <w:tc>
          <w:tcPr>
            <w:tcW w:w="6285" w:type="dxa"/>
            <w:gridSpan w:val="2"/>
            <w:vAlign w:val="bottom"/>
          </w:tcPr>
          <w:p w:rsidR="00B46D7D" w:rsidRPr="00DC224C" w:rsidRDefault="00B46D7D" w:rsidP="00520EF3">
            <w:pPr>
              <w:pStyle w:val="norm00e1l0020t00e1bl00e1zat"/>
              <w:spacing w:before="0" w:beforeAutospacing="0" w:after="0" w:afterAutospacing="0"/>
              <w:ind w:left="60" w:right="60"/>
              <w:jc w:val="both"/>
              <w:rPr>
                <w:rStyle w:val="norm00e1l0020t00e1bl00e1zatchar"/>
                <w:rFonts w:eastAsia="Calibri"/>
                <w:sz w:val="22"/>
                <w:szCs w:val="22"/>
              </w:rPr>
            </w:pPr>
            <w:r w:rsidRPr="00DC224C">
              <w:rPr>
                <w:rStyle w:val="norm00e1l0020t00e1bl00e1zatchar"/>
                <w:rFonts w:eastAsia="Calibri"/>
                <w:sz w:val="22"/>
                <w:szCs w:val="22"/>
              </w:rPr>
              <w:lastRenderedPageBreak/>
              <w:t>A jelen rendelet 7. § (2) bekezdésében meghatározott tevékenység</w:t>
            </w:r>
          </w:p>
        </w:tc>
        <w:tc>
          <w:tcPr>
            <w:tcW w:w="1934" w:type="dxa"/>
            <w:vAlign w:val="center"/>
          </w:tcPr>
          <w:p w:rsidR="00B46D7D" w:rsidRPr="00DC224C" w:rsidRDefault="00B46D7D" w:rsidP="00520EF3">
            <w:pPr>
              <w:pStyle w:val="norm00e1l0020t00e1bl00e1zat"/>
              <w:spacing w:before="0" w:beforeAutospacing="0" w:after="0" w:afterAutospacing="0"/>
              <w:ind w:left="60" w:right="60"/>
              <w:jc w:val="right"/>
              <w:rPr>
                <w:sz w:val="22"/>
                <w:szCs w:val="22"/>
              </w:rPr>
            </w:pPr>
            <w:r w:rsidRPr="00DC224C">
              <w:rPr>
                <w:rStyle w:val="norm00e1l0020t00e1bl00e1zatchar"/>
                <w:rFonts w:eastAsia="Calibri"/>
                <w:b/>
                <w:bCs/>
              </w:rPr>
              <w:t>300</w:t>
            </w:r>
          </w:p>
        </w:tc>
        <w:tc>
          <w:tcPr>
            <w:tcW w:w="1134" w:type="dxa"/>
            <w:vAlign w:val="center"/>
          </w:tcPr>
          <w:p w:rsidR="00B46D7D" w:rsidRPr="00DC224C" w:rsidRDefault="00B46D7D" w:rsidP="00520EF3">
            <w:pPr>
              <w:pStyle w:val="norm00e1l0020t00e1bl00e1zat"/>
              <w:spacing w:before="0" w:beforeAutospacing="0" w:after="0" w:afterAutospacing="0"/>
              <w:ind w:left="60" w:right="60"/>
              <w:rPr>
                <w:rStyle w:val="norm00e1l0020t00e1bl00e1zatchar"/>
                <w:rFonts w:eastAsia="Calibri"/>
                <w:b/>
                <w:bCs/>
              </w:rPr>
            </w:pPr>
            <w:r w:rsidRPr="00DC224C">
              <w:rPr>
                <w:rStyle w:val="norm00e1l0020t00e1bl00e1zatchar"/>
                <w:rFonts w:eastAsia="Calibri"/>
                <w:b/>
                <w:bCs/>
                <w:sz w:val="22"/>
                <w:szCs w:val="22"/>
              </w:rPr>
              <w:t>m</w:t>
            </w:r>
            <w:r w:rsidRPr="00DC224C">
              <w:rPr>
                <w:rStyle w:val="norm00e1lchar"/>
                <w:b/>
                <w:bCs/>
                <w:sz w:val="22"/>
                <w:szCs w:val="22"/>
                <w:vertAlign w:val="superscript"/>
              </w:rPr>
              <w:t>2</w:t>
            </w:r>
            <w:r w:rsidRPr="00DC224C">
              <w:rPr>
                <w:rStyle w:val="norm00e1lchar"/>
                <w:b/>
                <w:bCs/>
                <w:sz w:val="22"/>
                <w:szCs w:val="22"/>
              </w:rPr>
              <w:t>/nap</w:t>
            </w:r>
          </w:p>
        </w:tc>
      </w:tr>
    </w:tbl>
    <w:p w:rsidR="00B46D7D" w:rsidRPr="00177430" w:rsidRDefault="00B46D7D" w:rsidP="00B46D7D">
      <w:pPr>
        <w:ind w:left="60" w:right="60"/>
        <w:jc w:val="center"/>
        <w:rPr>
          <w:rStyle w:val="norm00e1l0020t00e1bl00e1zatchar"/>
          <w:rFonts w:eastAsia="Calibri"/>
          <w:b/>
          <w:bCs/>
          <w:sz w:val="22"/>
          <w:szCs w:val="22"/>
        </w:rPr>
      </w:pPr>
    </w:p>
    <w:p w:rsidR="00B46D7D" w:rsidRPr="00095BB3" w:rsidRDefault="00B46D7D" w:rsidP="00B46D7D">
      <w:pPr>
        <w:ind w:left="60" w:right="60"/>
        <w:jc w:val="center"/>
        <w:rPr>
          <w:rStyle w:val="norm00e1l0020t00e1bl00e1zatchar"/>
          <w:rFonts w:eastAsia="Calibri"/>
          <w:b/>
          <w:bCs/>
        </w:rPr>
      </w:pPr>
      <w:r w:rsidRPr="00095BB3">
        <w:rPr>
          <w:rStyle w:val="norm00e1l0020t00e1bl00e1zatchar"/>
          <w:rFonts w:eastAsia="Calibri"/>
          <w:b/>
          <w:bCs/>
        </w:rPr>
        <w:t>II. Kulturális-, szórakoztató célú használat</w:t>
      </w:r>
    </w:p>
    <w:p w:rsidR="00B46D7D" w:rsidRPr="00177430" w:rsidRDefault="00B46D7D" w:rsidP="00B46D7D">
      <w:pPr>
        <w:ind w:left="60" w:right="60"/>
        <w:jc w:val="center"/>
        <w:rPr>
          <w:rStyle w:val="norm00e1l0020t00e1bl00e1zatchar"/>
          <w:rFonts w:eastAsia="Calibri"/>
          <w:b/>
          <w:bCs/>
          <w:sz w:val="22"/>
          <w:szCs w:val="22"/>
        </w:rPr>
      </w:pPr>
    </w:p>
    <w:tbl>
      <w:tblPr>
        <w:tblStyle w:val="Rcsostblzat"/>
        <w:tblW w:w="9353" w:type="dxa"/>
        <w:tblInd w:w="60" w:type="dxa"/>
        <w:tblLayout w:type="fixed"/>
        <w:tblLook w:val="04A0" w:firstRow="1" w:lastRow="0" w:firstColumn="1" w:lastColumn="0" w:noHBand="0" w:noVBand="1"/>
      </w:tblPr>
      <w:tblGrid>
        <w:gridCol w:w="6285"/>
        <w:gridCol w:w="1934"/>
        <w:gridCol w:w="1134"/>
      </w:tblGrid>
      <w:tr w:rsidR="00B46D7D" w:rsidRPr="00177430" w:rsidTr="00520EF3">
        <w:tc>
          <w:tcPr>
            <w:tcW w:w="6285" w:type="dxa"/>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célja</w:t>
            </w:r>
          </w:p>
        </w:tc>
        <w:tc>
          <w:tcPr>
            <w:tcW w:w="3068" w:type="dxa"/>
            <w:gridSpan w:val="2"/>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díja</w:t>
            </w:r>
            <w:r>
              <w:rPr>
                <w:rStyle w:val="norm00e1l0020t00e1bl00e1zatchar"/>
                <w:rFonts w:eastAsia="Calibri"/>
                <w:b/>
                <w:bCs/>
                <w:i/>
                <w:sz w:val="22"/>
                <w:szCs w:val="22"/>
              </w:rPr>
              <w:t xml:space="preserve"> (Ft)</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Reklám célú, vagy vállalkozási rendezvények és technikai eszközök tárolása</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1 800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 xml:space="preserve">Légvár, ugráló vár, trambulin, körhinta, egyéb szórakoztató létesítmények, tevékenységek (pl. kivetítő, </w:t>
            </w:r>
            <w:proofErr w:type="spellStart"/>
            <w:r w:rsidRPr="00177430">
              <w:rPr>
                <w:rStyle w:val="norm00e1l0020t00e1bl00e1zatchar"/>
                <w:rFonts w:eastAsia="Calibri"/>
                <w:sz w:val="22"/>
                <w:szCs w:val="22"/>
              </w:rPr>
              <w:t>videofal</w:t>
            </w:r>
            <w:proofErr w:type="spellEnd"/>
            <w:r w:rsidRPr="00177430">
              <w:rPr>
                <w:rStyle w:val="norm00e1l0020t00e1bl00e1zatchar"/>
                <w:rFonts w:eastAsia="Calibri"/>
                <w:sz w:val="22"/>
                <w:szCs w:val="22"/>
              </w:rPr>
              <w:t xml:space="preserve"> berendezés)</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800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Mutatványos</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200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Portrérajzolás</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1 000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sz w:val="22"/>
                <w:szCs w:val="22"/>
              </w:rPr>
            </w:pPr>
            <w:r w:rsidRPr="00177430">
              <w:rPr>
                <w:rStyle w:val="norm00e1l0020t00e1bl00e1zatchar"/>
                <w:rFonts w:eastAsia="Calibri"/>
                <w:b/>
                <w:bCs/>
                <w:sz w:val="22"/>
                <w:szCs w:val="22"/>
              </w:rPr>
              <w:t>fő/nap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Utcazenélés</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Ideiglenes színpad, tribün</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pPr>
            <w:r w:rsidRPr="00177430">
              <w:rPr>
                <w:rStyle w:val="norm00e1l0020t00e1bl00e1zatchar"/>
                <w:rFonts w:eastAsia="Calibri"/>
                <w:b/>
                <w:bCs/>
              </w:rPr>
              <w:t>1 000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Az</w:t>
            </w:r>
            <w:r w:rsidRPr="00177430">
              <w:rPr>
                <w:rStyle w:val="apple-converted-space"/>
                <w:sz w:val="22"/>
                <w:szCs w:val="22"/>
              </w:rPr>
              <w:t> </w:t>
            </w:r>
            <w:r w:rsidRPr="00177430">
              <w:rPr>
                <w:rStyle w:val="norm00e1l0020t00e1bl00e1zatchar"/>
                <w:rFonts w:eastAsia="Calibri"/>
                <w:sz w:val="22"/>
                <w:szCs w:val="22"/>
              </w:rPr>
              <w:t>államháztartás központi és önkormányzati alrendszerébe tartozók, valamint megbízásukból eljárók által</w:t>
            </w:r>
            <w:r w:rsidRPr="00177430">
              <w:rPr>
                <w:rStyle w:val="apple-converted-space"/>
                <w:sz w:val="22"/>
                <w:szCs w:val="22"/>
              </w:rPr>
              <w:t> </w:t>
            </w:r>
            <w:r w:rsidRPr="00177430">
              <w:rPr>
                <w:rStyle w:val="norm00e1lchar"/>
                <w:sz w:val="22"/>
                <w:szCs w:val="22"/>
              </w:rPr>
              <w:t>a közterület rendeltetéstől eltérő használata</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Humanitárius, karitatív jellegű non-profit tevékenység, rendezvény</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Kulturális, környezetvédelmi, közérdekű tájékoztatás, sport, tömegsport, díjmentes szolgáltatás jellegű non-profit tevékenység, rendezvény és a hozzá kapcsolódó technikai terület biztosítása és eszközök tárolása</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bl>
    <w:p w:rsidR="00B46D7D" w:rsidRPr="00177430" w:rsidRDefault="00B46D7D" w:rsidP="00B46D7D">
      <w:pPr>
        <w:ind w:left="60" w:right="60"/>
        <w:jc w:val="center"/>
        <w:rPr>
          <w:rStyle w:val="norm00e1l0020t00e1bl00e1zatchar"/>
          <w:rFonts w:eastAsia="Calibri"/>
          <w:b/>
          <w:bCs/>
          <w:sz w:val="22"/>
          <w:szCs w:val="22"/>
        </w:rPr>
      </w:pPr>
    </w:p>
    <w:p w:rsidR="00B46D7D" w:rsidRPr="00095BB3" w:rsidRDefault="00B46D7D" w:rsidP="00B46D7D">
      <w:pPr>
        <w:ind w:left="60" w:right="60"/>
        <w:jc w:val="center"/>
        <w:rPr>
          <w:rStyle w:val="norm00e1l0020t00e1bl00e1zatchar"/>
          <w:rFonts w:eastAsia="Calibri"/>
          <w:b/>
          <w:bCs/>
        </w:rPr>
      </w:pPr>
      <w:r w:rsidRPr="00095BB3">
        <w:rPr>
          <w:rStyle w:val="norm00e1l0020t00e1bl00e1zatchar"/>
          <w:rFonts w:eastAsia="Calibri"/>
          <w:b/>
          <w:bCs/>
        </w:rPr>
        <w:t>III. Építési, rakodási munkálat céljára szolgáló használat</w:t>
      </w:r>
    </w:p>
    <w:p w:rsidR="00B46D7D" w:rsidRPr="00177430" w:rsidRDefault="00B46D7D" w:rsidP="00B46D7D">
      <w:pPr>
        <w:ind w:left="60" w:right="60"/>
        <w:jc w:val="center"/>
        <w:rPr>
          <w:rStyle w:val="norm00e1l0020t00e1bl00e1zatchar"/>
          <w:rFonts w:eastAsia="Calibri"/>
          <w:b/>
          <w:bCs/>
          <w:sz w:val="22"/>
          <w:szCs w:val="22"/>
        </w:rPr>
      </w:pPr>
    </w:p>
    <w:tbl>
      <w:tblPr>
        <w:tblStyle w:val="Rcsostblzat"/>
        <w:tblW w:w="9353" w:type="dxa"/>
        <w:tblInd w:w="60" w:type="dxa"/>
        <w:tblLayout w:type="fixed"/>
        <w:tblLook w:val="04A0" w:firstRow="1" w:lastRow="0" w:firstColumn="1" w:lastColumn="0" w:noHBand="0" w:noVBand="1"/>
      </w:tblPr>
      <w:tblGrid>
        <w:gridCol w:w="6285"/>
        <w:gridCol w:w="1934"/>
        <w:gridCol w:w="1134"/>
      </w:tblGrid>
      <w:tr w:rsidR="00B46D7D" w:rsidRPr="00177430" w:rsidTr="00520EF3">
        <w:tc>
          <w:tcPr>
            <w:tcW w:w="6285" w:type="dxa"/>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célja</w:t>
            </w:r>
          </w:p>
        </w:tc>
        <w:tc>
          <w:tcPr>
            <w:tcW w:w="3068" w:type="dxa"/>
            <w:gridSpan w:val="2"/>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díja</w:t>
            </w:r>
            <w:r>
              <w:rPr>
                <w:rStyle w:val="norm00e1l0020t00e1bl00e1zatchar"/>
                <w:rFonts w:eastAsia="Calibri"/>
                <w:b/>
                <w:bCs/>
                <w:i/>
                <w:sz w:val="22"/>
                <w:szCs w:val="22"/>
              </w:rPr>
              <w:t xml:space="preserve"> (Ft)</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Hangfelvétel, valamint technikai eszközök tárolása</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450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Állvány, építőanyag és törmelék tárolása, elkerített munkaterület (pl. rakodás, költözés), állványozás, daruzás, betonpumpa elhelyezése</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200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m</w:t>
            </w:r>
            <w:r w:rsidRPr="00177430">
              <w:rPr>
                <w:rStyle w:val="norm00e1lchar"/>
                <w:b/>
                <w:bCs/>
                <w:sz w:val="22"/>
                <w:szCs w:val="22"/>
                <w:vertAlign w:val="superscript"/>
              </w:rPr>
              <w:t>2</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Építési konténer elhelyezése</w:t>
            </w:r>
          </w:p>
        </w:tc>
        <w:tc>
          <w:tcPr>
            <w:tcW w:w="1934" w:type="dxa"/>
            <w:vAlign w:val="center"/>
          </w:tcPr>
          <w:p w:rsidR="00B46D7D" w:rsidRPr="00177430" w:rsidRDefault="00B46D7D" w:rsidP="00520EF3">
            <w:pPr>
              <w:pStyle w:val="norm00e1l0020t00e1bl00e1zat"/>
              <w:spacing w:before="0" w:beforeAutospacing="0" w:after="0" w:afterAutospacing="0"/>
              <w:ind w:left="60" w:right="60"/>
              <w:jc w:val="right"/>
              <w:rPr>
                <w:sz w:val="22"/>
                <w:szCs w:val="22"/>
              </w:rPr>
            </w:pPr>
            <w:r w:rsidRPr="00177430">
              <w:rPr>
                <w:rStyle w:val="norm00e1l0020t00e1bl00e1zatchar"/>
                <w:rFonts w:eastAsia="Calibri"/>
                <w:b/>
                <w:bCs/>
              </w:rPr>
              <w:t>2 000</w:t>
            </w:r>
          </w:p>
        </w:tc>
        <w:tc>
          <w:tcPr>
            <w:tcW w:w="1134" w:type="dxa"/>
            <w:vAlign w:val="center"/>
          </w:tcPr>
          <w:p w:rsidR="00B46D7D" w:rsidRPr="00177430" w:rsidRDefault="00B46D7D" w:rsidP="00520EF3">
            <w:pPr>
              <w:pStyle w:val="norm00e1l0020t00e1bl00e1zat"/>
              <w:spacing w:before="0" w:beforeAutospacing="0" w:after="0" w:afterAutospacing="0"/>
              <w:ind w:left="60" w:right="60"/>
              <w:rPr>
                <w:rStyle w:val="norm00e1l0020t00e1bl00e1zatchar"/>
                <w:rFonts w:eastAsia="Calibri"/>
                <w:b/>
                <w:bCs/>
              </w:rPr>
            </w:pPr>
            <w:r w:rsidRPr="00177430">
              <w:rPr>
                <w:rStyle w:val="norm00e1l0020t00e1bl00e1zatchar"/>
                <w:rFonts w:eastAsia="Calibri"/>
                <w:b/>
                <w:bCs/>
                <w:sz w:val="22"/>
                <w:szCs w:val="22"/>
              </w:rPr>
              <w:t>db</w:t>
            </w:r>
            <w:r w:rsidRPr="00177430">
              <w:rPr>
                <w:rStyle w:val="norm00e1lchar"/>
                <w:b/>
                <w:bCs/>
                <w:sz w:val="22"/>
                <w:szCs w:val="22"/>
              </w:rPr>
              <w:t>/nap</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A</w:t>
            </w:r>
            <w:r w:rsidRPr="00177430">
              <w:rPr>
                <w:rStyle w:val="norm00e1lchar"/>
                <w:sz w:val="22"/>
                <w:szCs w:val="22"/>
              </w:rPr>
              <w:t xml:space="preserve">z Erzsébetvárosi Önkormányzat érdekében végzett építési, felújítási, karbantartási, vagy </w:t>
            </w:r>
            <w:proofErr w:type="spellStart"/>
            <w:r w:rsidRPr="00177430">
              <w:rPr>
                <w:rStyle w:val="norm00e1lchar"/>
                <w:sz w:val="22"/>
                <w:szCs w:val="22"/>
              </w:rPr>
              <w:t>veszélytelenítési</w:t>
            </w:r>
            <w:proofErr w:type="spellEnd"/>
            <w:r w:rsidRPr="00177430">
              <w:rPr>
                <w:rStyle w:val="norm00e1lchar"/>
                <w:sz w:val="22"/>
                <w:szCs w:val="22"/>
              </w:rPr>
              <w:t xml:space="preserve"> munkák (a használót bejelentési kötelezettség terheli)</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sz w:val="22"/>
                <w:szCs w:val="22"/>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rFonts w:eastAsia="Calibri"/>
                <w:sz w:val="22"/>
                <w:szCs w:val="22"/>
              </w:rPr>
              <w:t>Ingatlanra történő közlekedést segítő rámpa</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rStyle w:val="norm00e1l0020t00e1bl00e1zatchar"/>
                <w:rFonts w:eastAsia="Calibri"/>
                <w:sz w:val="22"/>
                <w:szCs w:val="22"/>
              </w:rPr>
            </w:pPr>
            <w:r w:rsidRPr="00177430">
              <w:rPr>
                <w:rStyle w:val="norm00e1l0020t00e1bl00e1zatchar"/>
                <w:sz w:val="22"/>
                <w:szCs w:val="22"/>
              </w:rPr>
              <w:t>Tá</w:t>
            </w:r>
            <w:r w:rsidRPr="00177430">
              <w:rPr>
                <w:rStyle w:val="norm00e1lchar"/>
                <w:sz w:val="22"/>
                <w:szCs w:val="22"/>
              </w:rPr>
              <w:t xml:space="preserve">rsasházak által az ingatlan közös tulajdonban lévő részein végzett </w:t>
            </w:r>
            <w:proofErr w:type="spellStart"/>
            <w:r w:rsidRPr="00177430">
              <w:rPr>
                <w:rStyle w:val="norm00e1lchar"/>
                <w:sz w:val="22"/>
                <w:szCs w:val="22"/>
              </w:rPr>
              <w:t>veszélytelenítési-</w:t>
            </w:r>
            <w:proofErr w:type="spellEnd"/>
            <w:r w:rsidRPr="00177430">
              <w:rPr>
                <w:rStyle w:val="norm00e1lchar"/>
                <w:sz w:val="22"/>
                <w:szCs w:val="22"/>
              </w:rPr>
              <w:t>, karbantartási- és felújítási munkák végzése (a használót bejelentési kötelezettség terheli)</w:t>
            </w:r>
          </w:p>
        </w:tc>
        <w:tc>
          <w:tcPr>
            <w:tcW w:w="3068" w:type="dxa"/>
            <w:gridSpan w:val="2"/>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Pr>
                <w:rStyle w:val="norm00e1l0020t00e1bl00e1zatchar"/>
                <w:rFonts w:eastAsia="Calibri"/>
                <w:b/>
                <w:bCs/>
              </w:rPr>
              <w:t>díjmentes</w:t>
            </w:r>
          </w:p>
        </w:tc>
      </w:tr>
    </w:tbl>
    <w:p w:rsidR="00B46D7D" w:rsidRPr="00177430" w:rsidRDefault="00B46D7D" w:rsidP="00B46D7D">
      <w:pPr>
        <w:ind w:left="60" w:right="60"/>
        <w:jc w:val="center"/>
        <w:rPr>
          <w:rStyle w:val="norm00e1l0020t00e1bl00e1zatchar"/>
          <w:rFonts w:eastAsia="Calibri"/>
          <w:b/>
          <w:bCs/>
          <w:sz w:val="22"/>
          <w:szCs w:val="22"/>
        </w:rPr>
      </w:pPr>
    </w:p>
    <w:p w:rsidR="00B46D7D" w:rsidRPr="00095BB3" w:rsidRDefault="00B46D7D" w:rsidP="00B46D7D">
      <w:pPr>
        <w:ind w:left="60" w:right="60"/>
        <w:jc w:val="center"/>
        <w:rPr>
          <w:rStyle w:val="norm00e1l0020t00e1bl00e1zatchar"/>
          <w:rFonts w:eastAsia="Calibri"/>
          <w:b/>
          <w:bCs/>
        </w:rPr>
      </w:pPr>
      <w:r w:rsidRPr="00095BB3">
        <w:rPr>
          <w:rStyle w:val="norm00e1l0020t00e1bl00e1zatchar"/>
          <w:rFonts w:eastAsia="Calibri"/>
          <w:b/>
          <w:bCs/>
        </w:rPr>
        <w:t>IV. Egyéb használat</w:t>
      </w:r>
    </w:p>
    <w:p w:rsidR="00B46D7D" w:rsidRPr="00177430" w:rsidRDefault="00B46D7D" w:rsidP="00B46D7D">
      <w:pPr>
        <w:ind w:left="60" w:right="60"/>
        <w:jc w:val="center"/>
        <w:rPr>
          <w:rStyle w:val="norm00e1l0020t00e1bl00e1zatchar"/>
          <w:rFonts w:eastAsia="Calibri"/>
          <w:b/>
          <w:bCs/>
          <w:sz w:val="22"/>
          <w:szCs w:val="22"/>
        </w:rPr>
      </w:pPr>
    </w:p>
    <w:tbl>
      <w:tblPr>
        <w:tblStyle w:val="Rcsostblzat"/>
        <w:tblW w:w="9353" w:type="dxa"/>
        <w:tblInd w:w="60" w:type="dxa"/>
        <w:tblLayout w:type="fixed"/>
        <w:tblLook w:val="04A0" w:firstRow="1" w:lastRow="0" w:firstColumn="1" w:lastColumn="0" w:noHBand="0" w:noVBand="1"/>
      </w:tblPr>
      <w:tblGrid>
        <w:gridCol w:w="6285"/>
        <w:gridCol w:w="3068"/>
      </w:tblGrid>
      <w:tr w:rsidR="00B46D7D" w:rsidRPr="00177430" w:rsidTr="00520EF3">
        <w:tc>
          <w:tcPr>
            <w:tcW w:w="6285" w:type="dxa"/>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célja</w:t>
            </w:r>
          </w:p>
        </w:tc>
        <w:tc>
          <w:tcPr>
            <w:tcW w:w="3068" w:type="dxa"/>
          </w:tcPr>
          <w:p w:rsidR="00B46D7D" w:rsidRPr="00177430" w:rsidRDefault="00B46D7D" w:rsidP="00520EF3">
            <w:pPr>
              <w:ind w:right="60"/>
              <w:jc w:val="center"/>
              <w:rPr>
                <w:rStyle w:val="norm00e1l0020t00e1bl00e1zatchar"/>
                <w:rFonts w:eastAsia="Calibri"/>
                <w:b/>
                <w:bCs/>
                <w:i/>
                <w:sz w:val="22"/>
                <w:szCs w:val="22"/>
              </w:rPr>
            </w:pPr>
            <w:r w:rsidRPr="00177430">
              <w:rPr>
                <w:rStyle w:val="norm00e1l0020t00e1bl00e1zatchar"/>
                <w:rFonts w:eastAsia="Calibri"/>
                <w:b/>
                <w:bCs/>
                <w:i/>
                <w:sz w:val="22"/>
                <w:szCs w:val="22"/>
              </w:rPr>
              <w:t>Közterület-használat díja</w:t>
            </w:r>
            <w:r>
              <w:rPr>
                <w:rStyle w:val="norm00e1l0020t00e1bl00e1zatchar"/>
                <w:rFonts w:eastAsia="Calibri"/>
                <w:b/>
                <w:bCs/>
                <w:i/>
                <w:sz w:val="22"/>
                <w:szCs w:val="22"/>
              </w:rPr>
              <w:t xml:space="preserve"> (Ft)</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sz w:val="22"/>
                <w:szCs w:val="22"/>
              </w:rPr>
              <w:t>A gyalogos</w:t>
            </w:r>
            <w:r w:rsidRPr="00177430">
              <w:rPr>
                <w:rStyle w:val="apple-converted-space"/>
                <w:sz w:val="22"/>
                <w:szCs w:val="22"/>
              </w:rPr>
              <w:t> </w:t>
            </w:r>
            <w:r w:rsidRPr="00177430">
              <w:rPr>
                <w:rStyle w:val="norm00e1l0020t00e1bl00e1zatchar"/>
                <w:sz w:val="22"/>
                <w:szCs w:val="22"/>
              </w:rPr>
              <w:t>és gépjármű forgalmat nem akadályozó virágláda, virágvá</w:t>
            </w:r>
            <w:r w:rsidRPr="00177430">
              <w:rPr>
                <w:rStyle w:val="norm00e1lchar"/>
                <w:sz w:val="22"/>
                <w:szCs w:val="22"/>
              </w:rPr>
              <w:t>lyú, virágtartó oszlop, távbeszélő készülék, postai levélszekrény, alapzatos zászlórúd, kerékpártároló elhelyezése</w:t>
            </w:r>
          </w:p>
        </w:tc>
        <w:tc>
          <w:tcPr>
            <w:tcW w:w="3068" w:type="dxa"/>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sz w:val="22"/>
                <w:szCs w:val="22"/>
              </w:rPr>
              <w:t>Ö</w:t>
            </w:r>
            <w:r w:rsidRPr="00177430">
              <w:rPr>
                <w:rStyle w:val="norm00e1lchar"/>
                <w:sz w:val="22"/>
                <w:szCs w:val="22"/>
              </w:rPr>
              <w:t>nkormányzati tulajdonban lévő építményen elhelyezett emléktábla, szobor, reklámhordozó</w:t>
            </w:r>
          </w:p>
        </w:tc>
        <w:tc>
          <w:tcPr>
            <w:tcW w:w="3068" w:type="dxa"/>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sz w:val="22"/>
                <w:szCs w:val="22"/>
              </w:rPr>
            </w:pPr>
            <w:r w:rsidRPr="00177430">
              <w:rPr>
                <w:rStyle w:val="norm00e1l0020t00e1bl00e1zatchar"/>
                <w:rFonts w:eastAsia="Calibri"/>
                <w:b/>
                <w:bCs/>
              </w:rPr>
              <w:t>díjmentes</w:t>
            </w:r>
          </w:p>
        </w:tc>
      </w:tr>
      <w:tr w:rsidR="00B46D7D" w:rsidRPr="00177430" w:rsidTr="00520EF3">
        <w:tc>
          <w:tcPr>
            <w:tcW w:w="6285" w:type="dxa"/>
            <w:vAlign w:val="bottom"/>
          </w:tcPr>
          <w:p w:rsidR="00B46D7D" w:rsidRPr="00177430" w:rsidRDefault="00B46D7D" w:rsidP="00520EF3">
            <w:pPr>
              <w:pStyle w:val="norm00e1l0020t00e1bl00e1zat"/>
              <w:spacing w:before="0" w:beforeAutospacing="0" w:after="0" w:afterAutospacing="0"/>
              <w:ind w:left="60" w:right="60"/>
              <w:jc w:val="both"/>
              <w:rPr>
                <w:sz w:val="22"/>
                <w:szCs w:val="22"/>
              </w:rPr>
            </w:pPr>
            <w:r w:rsidRPr="00177430">
              <w:rPr>
                <w:rStyle w:val="norm00e1l0020t00e1bl00e1zatchar"/>
                <w:sz w:val="22"/>
                <w:szCs w:val="22"/>
              </w:rPr>
              <w:t>Közterületbe nyúló, vagy a f</w:t>
            </w:r>
            <w:r w:rsidRPr="00177430">
              <w:rPr>
                <w:rStyle w:val="norm00e1lchar"/>
                <w:sz w:val="22"/>
                <w:szCs w:val="22"/>
              </w:rPr>
              <w:t>elett elhelyezett reklám felirat nélküli védőtető, előtető, ernyőszerkezet, napvédő ponyva</w:t>
            </w:r>
          </w:p>
        </w:tc>
        <w:tc>
          <w:tcPr>
            <w:tcW w:w="3068" w:type="dxa"/>
            <w:vAlign w:val="center"/>
          </w:tcPr>
          <w:p w:rsidR="00B46D7D" w:rsidRPr="00177430"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177430">
              <w:rPr>
                <w:rStyle w:val="norm00e1l0020t00e1bl00e1zatchar"/>
                <w:rFonts w:eastAsia="Calibri"/>
                <w:b/>
                <w:bCs/>
              </w:rPr>
              <w:t>díjmentes</w:t>
            </w:r>
          </w:p>
        </w:tc>
      </w:tr>
      <w:tr w:rsidR="00B46D7D" w:rsidRPr="00DC224C" w:rsidTr="00520EF3">
        <w:tc>
          <w:tcPr>
            <w:tcW w:w="6285" w:type="dxa"/>
            <w:vAlign w:val="bottom"/>
          </w:tcPr>
          <w:p w:rsidR="00B46D7D" w:rsidRPr="00DC224C" w:rsidRDefault="00B46D7D" w:rsidP="00520EF3">
            <w:pPr>
              <w:pStyle w:val="norm00e1l0020t00e1bl00e1zat"/>
              <w:spacing w:before="0" w:beforeAutospacing="0" w:after="0" w:afterAutospacing="0"/>
              <w:ind w:left="60" w:right="60"/>
              <w:jc w:val="both"/>
              <w:rPr>
                <w:rStyle w:val="norm00e1l0020t00e1bl00e1zatchar"/>
                <w:sz w:val="22"/>
                <w:szCs w:val="22"/>
              </w:rPr>
            </w:pPr>
            <w:r w:rsidRPr="00DC224C">
              <w:rPr>
                <w:rStyle w:val="norm00e1l0020t00e1bl00e1zatchar"/>
                <w:sz w:val="22"/>
                <w:szCs w:val="22"/>
              </w:rPr>
              <w:t>Taxiállomás létesítése</w:t>
            </w:r>
          </w:p>
        </w:tc>
        <w:tc>
          <w:tcPr>
            <w:tcW w:w="3068" w:type="dxa"/>
            <w:vAlign w:val="center"/>
          </w:tcPr>
          <w:p w:rsidR="00B46D7D" w:rsidRPr="00DC224C" w:rsidRDefault="00B46D7D" w:rsidP="00520EF3">
            <w:pPr>
              <w:pStyle w:val="norm00e1l0020t00e1bl00e1zat"/>
              <w:spacing w:before="0" w:beforeAutospacing="0" w:after="0" w:afterAutospacing="0"/>
              <w:ind w:left="60" w:right="60"/>
              <w:jc w:val="center"/>
              <w:rPr>
                <w:rStyle w:val="norm00e1l0020t00e1bl00e1zatchar"/>
                <w:rFonts w:eastAsia="Calibri"/>
                <w:b/>
                <w:bCs/>
              </w:rPr>
            </w:pPr>
            <w:r w:rsidRPr="00DC224C">
              <w:rPr>
                <w:rStyle w:val="norm00e1l0020t00e1bl00e1zatchar"/>
                <w:rFonts w:eastAsia="Calibri"/>
                <w:b/>
                <w:bCs/>
              </w:rPr>
              <w:t>díjmentes”</w:t>
            </w:r>
          </w:p>
        </w:tc>
      </w:tr>
    </w:tbl>
    <w:p w:rsidR="00CE39D0" w:rsidRDefault="00B46D7D">
      <w:bookmarkStart w:id="0" w:name="_GoBack"/>
      <w:bookmarkEnd w:id="0"/>
    </w:p>
    <w:sectPr w:rsidR="00CE39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D7D"/>
    <w:rsid w:val="000004FF"/>
    <w:rsid w:val="000523CF"/>
    <w:rsid w:val="00B46D7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6D7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orm00e1lchar">
    <w:name w:val="norm_00e1l__char"/>
    <w:rsid w:val="00B46D7D"/>
  </w:style>
  <w:style w:type="character" w:customStyle="1" w:styleId="apple-converted-space">
    <w:name w:val="apple-converted-space"/>
    <w:rsid w:val="00B46D7D"/>
  </w:style>
  <w:style w:type="paragraph" w:customStyle="1" w:styleId="norm00e1l0020t00e1bl00e1zat">
    <w:name w:val="norm_00e1l_0020t_00e1bl_00e1zat"/>
    <w:basedOn w:val="Norml"/>
    <w:rsid w:val="00B46D7D"/>
    <w:pPr>
      <w:spacing w:before="100" w:beforeAutospacing="1" w:after="100" w:afterAutospacing="1"/>
    </w:pPr>
  </w:style>
  <w:style w:type="character" w:customStyle="1" w:styleId="norm00e1l0020t00e1bl00e1zatchar">
    <w:name w:val="norm_00e1l_0020t_00e1bl_00e1zat__char"/>
    <w:rsid w:val="00B46D7D"/>
  </w:style>
  <w:style w:type="paragraph" w:customStyle="1" w:styleId="listaszer01710020bekezd00e9s">
    <w:name w:val="listaszer_0171_0020bekezd_00e9s"/>
    <w:basedOn w:val="Norml"/>
    <w:rsid w:val="00B46D7D"/>
    <w:pPr>
      <w:spacing w:before="100" w:beforeAutospacing="1" w:after="100" w:afterAutospacing="1"/>
    </w:pPr>
  </w:style>
  <w:style w:type="character" w:customStyle="1" w:styleId="listaszer01710020bekezd00e9schar">
    <w:name w:val="listaszer_0171_0020bekezd_00e9s__char"/>
    <w:rsid w:val="00B46D7D"/>
  </w:style>
  <w:style w:type="table" w:styleId="Rcsostblzat">
    <w:name w:val="Table Grid"/>
    <w:basedOn w:val="Normltblzat"/>
    <w:uiPriority w:val="59"/>
    <w:rsid w:val="00B4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B46D7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orm00e1lchar">
    <w:name w:val="norm_00e1l__char"/>
    <w:rsid w:val="00B46D7D"/>
  </w:style>
  <w:style w:type="character" w:customStyle="1" w:styleId="apple-converted-space">
    <w:name w:val="apple-converted-space"/>
    <w:rsid w:val="00B46D7D"/>
  </w:style>
  <w:style w:type="paragraph" w:customStyle="1" w:styleId="norm00e1l0020t00e1bl00e1zat">
    <w:name w:val="norm_00e1l_0020t_00e1bl_00e1zat"/>
    <w:basedOn w:val="Norml"/>
    <w:rsid w:val="00B46D7D"/>
    <w:pPr>
      <w:spacing w:before="100" w:beforeAutospacing="1" w:after="100" w:afterAutospacing="1"/>
    </w:pPr>
  </w:style>
  <w:style w:type="character" w:customStyle="1" w:styleId="norm00e1l0020t00e1bl00e1zatchar">
    <w:name w:val="norm_00e1l_0020t_00e1bl_00e1zat__char"/>
    <w:rsid w:val="00B46D7D"/>
  </w:style>
  <w:style w:type="paragraph" w:customStyle="1" w:styleId="listaszer01710020bekezd00e9s">
    <w:name w:val="listaszer_0171_0020bekezd_00e9s"/>
    <w:basedOn w:val="Norml"/>
    <w:rsid w:val="00B46D7D"/>
    <w:pPr>
      <w:spacing w:before="100" w:beforeAutospacing="1" w:after="100" w:afterAutospacing="1"/>
    </w:pPr>
  </w:style>
  <w:style w:type="character" w:customStyle="1" w:styleId="listaszer01710020bekezd00e9schar">
    <w:name w:val="listaszer_0171_0020bekezd_00e9s__char"/>
    <w:rsid w:val="00B46D7D"/>
  </w:style>
  <w:style w:type="table" w:styleId="Rcsostblzat">
    <w:name w:val="Table Grid"/>
    <w:basedOn w:val="Normltblzat"/>
    <w:uiPriority w:val="59"/>
    <w:rsid w:val="00B4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4092</Characters>
  <Application>Microsoft Office Word</Application>
  <DocSecurity>0</DocSecurity>
  <Lines>34</Lines>
  <Paragraphs>9</Paragraphs>
  <ScaleCrop>false</ScaleCrop>
  <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Győrvári Attila</dc:creator>
  <cp:lastModifiedBy>Győrvári Attila</cp:lastModifiedBy>
  <cp:revision>1</cp:revision>
  <dcterms:created xsi:type="dcterms:W3CDTF">2014-08-21T07:49:00Z</dcterms:created>
  <dcterms:modified xsi:type="dcterms:W3CDTF">2014-08-21T07:50:00Z</dcterms:modified>
</cp:coreProperties>
</file>