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373913">
        <w:rPr>
          <w:b/>
          <w:i/>
          <w:sz w:val="32"/>
        </w:rPr>
        <w:t>Horvát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r w:rsidR="00021F4C">
        <w:t xml:space="preserve">Horvát </w:t>
      </w:r>
      <w:bookmarkStart w:id="0" w:name="_GoBack"/>
      <w:bookmarkEnd w:id="0"/>
      <w:r>
        <w:t>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373913">
        <w:t>Horvát</w:t>
      </w:r>
      <w:r>
        <w:t xml:space="preserve">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373913">
        <w:t>Horvát</w:t>
      </w:r>
      <w:r>
        <w:t xml:space="preserve">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373913">
        <w:t>Horvát</w:t>
      </w:r>
      <w:r>
        <w:t xml:space="preserve"> Önkormányzat elnöke. Az Erzsébetvárosi </w:t>
      </w:r>
      <w:r w:rsidR="00373913">
        <w:t>Horvát</w:t>
      </w:r>
      <w:r>
        <w:t xml:space="preserve">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373913">
        <w:t>Horvát</w:t>
      </w:r>
      <w:r>
        <w:t xml:space="preserve">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373913">
        <w:t>Horvát</w:t>
      </w:r>
      <w:r>
        <w:t xml:space="preserve">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373913">
        <w:t>Horvát</w:t>
      </w:r>
      <w:r>
        <w:t xml:space="preserve">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373913">
        <w:t>Horvát</w:t>
      </w:r>
      <w:r>
        <w:t xml:space="preserve">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373913">
        <w:t>Horvát</w:t>
      </w:r>
      <w:r>
        <w:t xml:space="preserve"> Önkormányzat költségvetési határozat tervezetét az Erzsébetvárosi </w:t>
      </w:r>
      <w:r w:rsidR="00373913">
        <w:t>Horvát</w:t>
      </w:r>
      <w:r>
        <w:t xml:space="preserve">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373913">
        <w:t>Horvát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373913">
        <w:t>Horvát</w:t>
      </w:r>
      <w:r>
        <w:t xml:space="preserve"> Önkormányzat előirányzatai az Erzsébetvárosi </w:t>
      </w:r>
      <w:r w:rsidR="00373913">
        <w:t>Horvát</w:t>
      </w:r>
      <w:r>
        <w:t xml:space="preserve"> Önkormányzat testületének határozata alapján módosíthatók. Amennyiben az Erzsébetvárosi </w:t>
      </w:r>
      <w:r w:rsidR="00373913">
        <w:t>Horvát</w:t>
      </w:r>
      <w:r>
        <w:t xml:space="preserve">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373913">
        <w:t>Horvát</w:t>
      </w:r>
      <w:r>
        <w:t xml:space="preserve">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373913">
        <w:t>Horvát</w:t>
      </w:r>
      <w:r>
        <w:t xml:space="preserve">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lastRenderedPageBreak/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373913">
        <w:t>Horvát</w:t>
      </w:r>
      <w:r>
        <w:t xml:space="preserve">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373913">
        <w:t>Horvát</w:t>
      </w:r>
      <w:r>
        <w:t xml:space="preserve">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373913">
        <w:t>Horvát</w:t>
      </w:r>
      <w:r>
        <w:t xml:space="preserve">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373913">
        <w:t>Horvát</w:t>
      </w:r>
      <w:r>
        <w:t xml:space="preserve">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373913">
        <w:t>Horvát</w:t>
      </w:r>
      <w:r>
        <w:t xml:space="preserve">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373913">
        <w:t>Horvát</w:t>
      </w:r>
      <w:r>
        <w:t xml:space="preserve">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lastRenderedPageBreak/>
        <w:t xml:space="preserve">A Polgármesteri Hivatal Pénzügyi Irodája az Erzsébetvárosi </w:t>
      </w:r>
      <w:r w:rsidR="00373913">
        <w:t>Horvát</w:t>
      </w:r>
      <w:r>
        <w:t xml:space="preserve">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373913">
        <w:t>Horvát</w:t>
      </w:r>
      <w:r>
        <w:t xml:space="preserve">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373913">
        <w:t>Horvát</w:t>
      </w:r>
      <w:r>
        <w:t xml:space="preserve">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373913">
        <w:t>Horvát</w:t>
      </w:r>
      <w:r>
        <w:t xml:space="preserve">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373913">
        <w:t>Horvát</w:t>
      </w:r>
      <w:r>
        <w:t xml:space="preserve">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</w:t>
      </w:r>
      <w:r>
        <w:lastRenderedPageBreak/>
        <w:t>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373913">
        <w:t>Horvát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373913">
        <w:t>Horvát</w:t>
      </w:r>
      <w:r>
        <w:t xml:space="preserve">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lastRenderedPageBreak/>
        <w:t xml:space="preserve">4.2. Az Erzsébetvárosi </w:t>
      </w:r>
      <w:r w:rsidR="00373913">
        <w:t>Horvát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373913">
        <w:rPr>
          <w:szCs w:val="24"/>
        </w:rPr>
        <w:t>Horvát</w:t>
      </w:r>
      <w:r>
        <w:rPr>
          <w:szCs w:val="24"/>
        </w:rPr>
        <w:t xml:space="preserve">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373913">
        <w:t>Horvát</w:t>
      </w:r>
      <w:r>
        <w:t xml:space="preserve">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lastRenderedPageBreak/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373913">
        <w:t>Horvát</w:t>
      </w:r>
      <w:r>
        <w:t xml:space="preserve">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373913">
        <w:t>Horvát</w:t>
      </w:r>
      <w:r>
        <w:t xml:space="preserve">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373913">
        <w:t>Horvát</w:t>
      </w:r>
      <w:r>
        <w:t xml:space="preserve">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373913">
        <w:t>Horvát</w:t>
      </w:r>
      <w:r>
        <w:t xml:space="preserve">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373913">
        <w:t>Horvát</w:t>
      </w:r>
      <w:r>
        <w:t xml:space="preserve">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lastRenderedPageBreak/>
        <w:t xml:space="preserve">2.8. Az Erzsébetvárosi </w:t>
      </w:r>
      <w:r w:rsidR="00373913">
        <w:t>Horvát</w:t>
      </w:r>
      <w:r>
        <w:t xml:space="preserve">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373913">
        <w:t>Horvát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373913">
        <w:t>Horvát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373913">
        <w:t>Horvát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373913">
        <w:t>Horvát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373913">
        <w:t>Horvát</w:t>
      </w:r>
      <w:r w:rsidR="00F81BCB" w:rsidRPr="004164F2">
        <w:t xml:space="preserve">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373913">
        <w:t>Horvát</w:t>
      </w:r>
      <w:r w:rsidR="00AA5AB8" w:rsidRPr="004164F2">
        <w:t xml:space="preserve">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373913">
        <w:t>Horvát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lastRenderedPageBreak/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373913">
        <w:rPr>
          <w:rFonts w:ascii="Times New Roman" w:hAnsi="Times New Roman"/>
          <w:b w:val="0"/>
          <w:i w:val="0"/>
        </w:rPr>
        <w:t>Horvát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373913">
              <w:rPr>
                <w:i/>
              </w:rPr>
              <w:t>Horvát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26" w:rsidRDefault="00C34626">
      <w:r>
        <w:separator/>
      </w:r>
    </w:p>
  </w:endnote>
  <w:endnote w:type="continuationSeparator" w:id="0">
    <w:p w:rsidR="00C34626" w:rsidRDefault="00C3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021F4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21F4C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26" w:rsidRDefault="00C34626">
      <w:r>
        <w:separator/>
      </w:r>
    </w:p>
  </w:footnote>
  <w:footnote w:type="continuationSeparator" w:id="0">
    <w:p w:rsidR="00C34626" w:rsidRDefault="00C34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373913">
      <w:rPr>
        <w:b w:val="0"/>
        <w:bCs/>
        <w:i w:val="0"/>
        <w:sz w:val="18"/>
      </w:rPr>
      <w:t>Horvát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1F4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40C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73913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626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CA65A-17E6-433A-A9ED-ED51889F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3618</Words>
  <Characters>24970</Characters>
  <Application>Microsoft Office Word</Application>
  <DocSecurity>0</DocSecurity>
  <Lines>208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3</cp:revision>
  <cp:lastPrinted>2014-11-05T09:08:00Z</cp:lastPrinted>
  <dcterms:created xsi:type="dcterms:W3CDTF">2014-11-05T14:07:00Z</dcterms:created>
  <dcterms:modified xsi:type="dcterms:W3CDTF">2014-11-06T13:32:00Z</dcterms:modified>
</cp:coreProperties>
</file>