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D0D" w:rsidRDefault="00AB5D0D" w:rsidP="00142ECE">
      <w:pPr>
        <w:tabs>
          <w:tab w:val="left" w:pos="0"/>
        </w:tabs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C4293" w:rsidRPr="00C21840" w:rsidRDefault="009C4293" w:rsidP="00142ECE">
      <w:pPr>
        <w:tabs>
          <w:tab w:val="left" w:pos="0"/>
        </w:tabs>
        <w:contextualSpacing/>
        <w:jc w:val="center"/>
        <w:rPr>
          <w:rFonts w:asciiTheme="minorHAnsi" w:eastAsia="Times New Roman" w:hAnsiTheme="minorHAnsi" w:cs="Times New Roman"/>
          <w:b/>
          <w:sz w:val="32"/>
          <w:szCs w:val="32"/>
        </w:rPr>
      </w:pPr>
      <w:r w:rsidRPr="00C21840">
        <w:rPr>
          <w:rFonts w:asciiTheme="minorHAnsi" w:eastAsia="Times New Roman" w:hAnsiTheme="minorHAnsi" w:cs="Times New Roman"/>
          <w:b/>
          <w:sz w:val="32"/>
          <w:szCs w:val="32"/>
        </w:rPr>
        <w:t xml:space="preserve">Tájékoztató a VII. kerület területén végzett </w:t>
      </w:r>
      <w:r w:rsidR="00142ECE" w:rsidRPr="00C21840">
        <w:rPr>
          <w:rFonts w:asciiTheme="minorHAnsi" w:eastAsia="Times New Roman" w:hAnsiTheme="minorHAnsi" w:cs="Times New Roman"/>
          <w:b/>
          <w:sz w:val="32"/>
          <w:szCs w:val="32"/>
        </w:rPr>
        <w:t>2015</w:t>
      </w:r>
      <w:r w:rsidR="00C21840" w:rsidRPr="00C21840">
        <w:rPr>
          <w:rFonts w:asciiTheme="minorHAnsi" w:eastAsia="Times New Roman" w:hAnsiTheme="minorHAnsi" w:cs="Times New Roman"/>
          <w:b/>
          <w:sz w:val="32"/>
          <w:szCs w:val="32"/>
        </w:rPr>
        <w:t>.</w:t>
      </w:r>
      <w:r w:rsidR="00142ECE" w:rsidRPr="00C21840">
        <w:rPr>
          <w:rFonts w:asciiTheme="minorHAnsi" w:eastAsia="Times New Roman" w:hAnsiTheme="minorHAnsi" w:cs="Times New Roman"/>
          <w:b/>
          <w:sz w:val="32"/>
          <w:szCs w:val="32"/>
        </w:rPr>
        <w:t xml:space="preserve"> évi tavaszi</w:t>
      </w:r>
      <w:r w:rsidRPr="00C21840">
        <w:rPr>
          <w:rFonts w:asciiTheme="minorHAnsi" w:eastAsia="Times New Roman" w:hAnsiTheme="minorHAnsi" w:cs="Times New Roman"/>
          <w:b/>
          <w:sz w:val="32"/>
          <w:szCs w:val="32"/>
        </w:rPr>
        <w:t xml:space="preserve"> nagytakarításról</w:t>
      </w:r>
    </w:p>
    <w:p w:rsidR="009C4293" w:rsidRDefault="009C4293" w:rsidP="00142ECE">
      <w:pPr>
        <w:jc w:val="center"/>
        <w:rPr>
          <w:rFonts w:asciiTheme="minorHAnsi" w:hAnsiTheme="minorHAnsi" w:cs="Times New Roman"/>
          <w:b/>
          <w:sz w:val="28"/>
          <w:szCs w:val="28"/>
        </w:rPr>
      </w:pPr>
    </w:p>
    <w:p w:rsidR="00CF727E" w:rsidRPr="00571F2F" w:rsidRDefault="00CF727E" w:rsidP="00CF727E">
      <w:pPr>
        <w:jc w:val="center"/>
        <w:rPr>
          <w:rFonts w:asciiTheme="minorHAnsi" w:hAnsiTheme="minorHAnsi" w:cs="Times New Roman"/>
          <w:b/>
          <w:sz w:val="28"/>
          <w:szCs w:val="28"/>
        </w:rPr>
      </w:pPr>
      <w:r w:rsidRPr="00571F2F">
        <w:rPr>
          <w:rFonts w:asciiTheme="minorHAnsi" w:hAnsiTheme="minorHAnsi" w:cs="Times New Roman"/>
          <w:b/>
          <w:sz w:val="28"/>
          <w:szCs w:val="28"/>
        </w:rPr>
        <w:t>Összefoglaló</w:t>
      </w:r>
    </w:p>
    <w:p w:rsidR="00CF727E" w:rsidRPr="00571F2F" w:rsidRDefault="00CF727E" w:rsidP="00AA74DE">
      <w:pPr>
        <w:jc w:val="both"/>
        <w:rPr>
          <w:rFonts w:asciiTheme="minorHAnsi" w:hAnsiTheme="minorHAnsi" w:cs="Times New Roman"/>
          <w:sz w:val="24"/>
          <w:szCs w:val="24"/>
        </w:rPr>
      </w:pPr>
    </w:p>
    <w:p w:rsidR="00AA74DE" w:rsidRPr="00571F2F" w:rsidRDefault="006506A1" w:rsidP="00AA74DE">
      <w:pPr>
        <w:jc w:val="both"/>
        <w:rPr>
          <w:rFonts w:asciiTheme="minorHAnsi" w:hAnsiTheme="minorHAnsi" w:cs="Times New Roman"/>
          <w:iCs/>
          <w:sz w:val="24"/>
          <w:szCs w:val="24"/>
        </w:rPr>
      </w:pPr>
      <w:r w:rsidRPr="00571F2F">
        <w:rPr>
          <w:rFonts w:asciiTheme="minorHAnsi" w:hAnsiTheme="minorHAnsi" w:cs="Times New Roman"/>
          <w:sz w:val="24"/>
          <w:szCs w:val="24"/>
        </w:rPr>
        <w:t>A Budapest Főváros VII. kerület Erzsébetváros Önkormányzata és az ERVA Nonprofit Zrt. között létrejött, 2014. január 14. napján aláírt</w:t>
      </w:r>
      <w:r w:rsidR="00D71FD9">
        <w:rPr>
          <w:rFonts w:asciiTheme="minorHAnsi" w:hAnsiTheme="minorHAnsi" w:cs="Times New Roman"/>
          <w:sz w:val="24"/>
          <w:szCs w:val="24"/>
        </w:rPr>
        <w:t>, majd 2015. február 6-án módosított</w:t>
      </w:r>
      <w:r w:rsidRPr="00571F2F">
        <w:rPr>
          <w:rFonts w:asciiTheme="minorHAnsi" w:hAnsiTheme="minorHAnsi" w:cs="Times New Roman"/>
          <w:sz w:val="24"/>
          <w:szCs w:val="24"/>
        </w:rPr>
        <w:t xml:space="preserve"> Közszolgáltatási és feladatellátási szerződés alapján az </w:t>
      </w:r>
      <w:r w:rsidR="00AA74DE" w:rsidRPr="00571F2F">
        <w:rPr>
          <w:rFonts w:asciiTheme="minorHAnsi" w:hAnsiTheme="minorHAnsi" w:cs="Times New Roman"/>
          <w:sz w:val="24"/>
          <w:szCs w:val="24"/>
        </w:rPr>
        <w:t xml:space="preserve">ERVA Nonprofit Zrt. feladata Budapest Főváros VII. kerület Erzsébetváros Önkormányzata közigazgatási területén lévő </w:t>
      </w:r>
      <w:r w:rsidR="00AA74DE" w:rsidRPr="00571F2F">
        <w:rPr>
          <w:rFonts w:asciiTheme="minorHAnsi" w:hAnsiTheme="minorHAnsi" w:cs="Times New Roman"/>
          <w:iCs/>
          <w:sz w:val="24"/>
          <w:szCs w:val="24"/>
        </w:rPr>
        <w:t>közterületek (ideértve különösen közutak, gyalogosforgalmat szolgáló járdák, és az azokat elválasztó közterületi sávok, továbbá kutyafuttatók, közparkok) köztisztasági és települési környezet tisztaságának biztosítása.</w:t>
      </w:r>
    </w:p>
    <w:p w:rsidR="00AA74DE" w:rsidRPr="00571F2F" w:rsidRDefault="00AA74DE" w:rsidP="00AA74DE">
      <w:pPr>
        <w:jc w:val="both"/>
        <w:rPr>
          <w:rFonts w:asciiTheme="minorHAnsi" w:hAnsiTheme="minorHAnsi" w:cs="Times New Roman"/>
          <w:iCs/>
          <w:sz w:val="24"/>
          <w:szCs w:val="24"/>
        </w:rPr>
      </w:pPr>
    </w:p>
    <w:p w:rsidR="00AA74DE" w:rsidRPr="00571F2F" w:rsidRDefault="000C1031" w:rsidP="00AA74DE">
      <w:pPr>
        <w:jc w:val="both"/>
        <w:rPr>
          <w:rFonts w:asciiTheme="minorHAnsi" w:hAnsiTheme="minorHAnsi" w:cs="Times New Roman"/>
          <w:sz w:val="24"/>
          <w:szCs w:val="24"/>
        </w:rPr>
      </w:pPr>
      <w:r>
        <w:rPr>
          <w:rFonts w:asciiTheme="minorHAnsi" w:hAnsiTheme="minorHAnsi" w:cs="Times New Roman"/>
          <w:sz w:val="24"/>
          <w:szCs w:val="24"/>
        </w:rPr>
        <w:t>A feladatellátási szerződés 11. pontja alapján a</w:t>
      </w:r>
      <w:r w:rsidR="00072897" w:rsidRPr="00571F2F">
        <w:rPr>
          <w:rFonts w:asciiTheme="minorHAnsi" w:hAnsiTheme="minorHAnsi" w:cs="Times New Roman"/>
          <w:sz w:val="24"/>
          <w:szCs w:val="24"/>
        </w:rPr>
        <w:t xml:space="preserve">z ERVA Nonprofit Zrt. </w:t>
      </w:r>
      <w:r>
        <w:rPr>
          <w:rFonts w:asciiTheme="minorHAnsi" w:hAnsiTheme="minorHAnsi" w:cs="Times New Roman"/>
          <w:sz w:val="24"/>
          <w:szCs w:val="24"/>
        </w:rPr>
        <w:t xml:space="preserve">a nagytakarítások alkalmával </w:t>
      </w:r>
      <w:r w:rsidR="00072897" w:rsidRPr="00571F2F">
        <w:rPr>
          <w:rFonts w:asciiTheme="minorHAnsi" w:hAnsiTheme="minorHAnsi" w:cs="Times New Roman"/>
          <w:sz w:val="24"/>
          <w:szCs w:val="24"/>
        </w:rPr>
        <w:t xml:space="preserve">elvégzi Budapest Főváros VII. kerület Erzsébetváros közigazgatási területén lévő közterületi </w:t>
      </w:r>
      <w:r w:rsidR="00072897" w:rsidRPr="00571F2F">
        <w:rPr>
          <w:rFonts w:asciiTheme="minorHAnsi" w:hAnsiTheme="minorHAnsi" w:cs="Times New Roman"/>
          <w:iCs/>
          <w:sz w:val="24"/>
          <w:szCs w:val="24"/>
        </w:rPr>
        <w:t xml:space="preserve">járdák és parkolósávok </w:t>
      </w:r>
      <w:r w:rsidR="00072897" w:rsidRPr="00571F2F">
        <w:rPr>
          <w:rFonts w:asciiTheme="minorHAnsi" w:hAnsiTheme="minorHAnsi" w:cs="Times New Roman"/>
          <w:sz w:val="24"/>
          <w:szCs w:val="24"/>
        </w:rPr>
        <w:t>nagynyomású mosását, a kiemelt forgalmú utcaszakaszok bio</w:t>
      </w:r>
      <w:r w:rsidR="00CA1231">
        <w:rPr>
          <w:rFonts w:asciiTheme="minorHAnsi" w:hAnsiTheme="minorHAnsi" w:cs="Times New Roman"/>
          <w:sz w:val="24"/>
          <w:szCs w:val="24"/>
        </w:rPr>
        <w:t>-</w:t>
      </w:r>
      <w:r w:rsidR="00072897" w:rsidRPr="00571F2F">
        <w:rPr>
          <w:rFonts w:asciiTheme="minorHAnsi" w:hAnsiTheme="minorHAnsi" w:cs="Times New Roman"/>
          <w:sz w:val="24"/>
          <w:szCs w:val="24"/>
        </w:rPr>
        <w:t>vegyszeres takarítását, valamint az Önkormányzat tulajdonában álló közterületekre kihelyezett szemetes edények takarítását tavasszal, nyáron és ősszel, egy-egy alkalommal.</w:t>
      </w:r>
    </w:p>
    <w:p w:rsidR="00072897" w:rsidRPr="00571F2F" w:rsidRDefault="00072897" w:rsidP="00AA74DE">
      <w:pPr>
        <w:jc w:val="both"/>
        <w:rPr>
          <w:rFonts w:asciiTheme="minorHAnsi" w:hAnsiTheme="minorHAnsi" w:cs="Times New Roman"/>
          <w:sz w:val="24"/>
          <w:szCs w:val="24"/>
        </w:rPr>
      </w:pPr>
    </w:p>
    <w:p w:rsidR="00072897" w:rsidRPr="00571F2F" w:rsidRDefault="00072897" w:rsidP="00072897">
      <w:pPr>
        <w:jc w:val="both"/>
        <w:rPr>
          <w:rFonts w:asciiTheme="minorHAnsi" w:hAnsiTheme="minorHAnsi" w:cs="Times New Roman"/>
          <w:sz w:val="24"/>
          <w:szCs w:val="24"/>
        </w:rPr>
      </w:pPr>
      <w:r w:rsidRPr="00571F2F">
        <w:rPr>
          <w:rFonts w:asciiTheme="minorHAnsi" w:hAnsiTheme="minorHAnsi" w:cs="Times New Roman"/>
          <w:sz w:val="24"/>
          <w:szCs w:val="24"/>
        </w:rPr>
        <w:t>A nagytakarítás nem terjedt ki a Budapest Főváros Önkormányzata tulajdonában lévő, alábbi közterületekre: Károly krt., Rákóczi út, Erzsébet krt., Rottenbiller utca, Baross tér, Thököly út, Dózsa György út és Damjanich utca.</w:t>
      </w:r>
    </w:p>
    <w:p w:rsidR="00072897" w:rsidRPr="00571F2F" w:rsidRDefault="00072897" w:rsidP="00AA74DE">
      <w:pPr>
        <w:jc w:val="both"/>
        <w:rPr>
          <w:rFonts w:asciiTheme="minorHAnsi" w:hAnsiTheme="minorHAnsi" w:cs="Times New Roman"/>
          <w:sz w:val="24"/>
          <w:szCs w:val="24"/>
        </w:rPr>
      </w:pPr>
    </w:p>
    <w:p w:rsidR="00CF727E" w:rsidRPr="00571F2F" w:rsidRDefault="00CF727E" w:rsidP="00CF727E">
      <w:pPr>
        <w:jc w:val="both"/>
        <w:rPr>
          <w:rFonts w:asciiTheme="minorHAnsi" w:hAnsiTheme="minorHAnsi" w:cs="Times New Roman"/>
          <w:sz w:val="24"/>
          <w:szCs w:val="24"/>
        </w:rPr>
      </w:pPr>
    </w:p>
    <w:p w:rsidR="00CF727E" w:rsidRPr="00EA704A" w:rsidRDefault="00EA704A" w:rsidP="00CF727E">
      <w:pPr>
        <w:autoSpaceDE w:val="0"/>
        <w:autoSpaceDN w:val="0"/>
        <w:adjustRightInd w:val="0"/>
        <w:jc w:val="both"/>
        <w:rPr>
          <w:rFonts w:asciiTheme="minorHAnsi" w:hAnsiTheme="minorHAnsi" w:cs="Times New Roman"/>
          <w:sz w:val="24"/>
          <w:szCs w:val="24"/>
        </w:rPr>
      </w:pPr>
      <w:r w:rsidRPr="00EA704A">
        <w:rPr>
          <w:rFonts w:asciiTheme="minorHAnsi" w:hAnsiTheme="minorHAnsi" w:cs="Times New Roman"/>
          <w:sz w:val="24"/>
          <w:szCs w:val="24"/>
        </w:rPr>
        <w:t>A takarítás során rendelkezésre álló géppark:</w:t>
      </w:r>
    </w:p>
    <w:p w:rsidR="00CF727E" w:rsidRDefault="00CF727E" w:rsidP="00AB5D0D">
      <w:pPr>
        <w:pStyle w:val="Listaszerbekezds"/>
        <w:numPr>
          <w:ilvl w:val="0"/>
          <w:numId w:val="7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571F2F">
        <w:rPr>
          <w:rFonts w:asciiTheme="minorHAnsi" w:hAnsiTheme="minorHAnsi" w:cs="Times New Roman"/>
          <w:sz w:val="24"/>
          <w:szCs w:val="24"/>
        </w:rPr>
        <w:t>3 db tehergépjármű 6 db nagynyomású mosóberendezés</w:t>
      </w:r>
    </w:p>
    <w:p w:rsidR="00AB5D0D" w:rsidRDefault="00AB5D0D" w:rsidP="00AB5D0D">
      <w:pPr>
        <w:pStyle w:val="Listaszerbekezds"/>
        <w:ind w:left="1440"/>
        <w:jc w:val="both"/>
        <w:rPr>
          <w:rFonts w:asciiTheme="minorHAnsi" w:hAnsiTheme="minorHAnsi" w:cs="Times New Roman"/>
          <w:sz w:val="24"/>
          <w:szCs w:val="24"/>
        </w:rPr>
      </w:pPr>
      <w:r>
        <w:rPr>
          <w:rFonts w:asciiTheme="minorHAnsi" w:hAnsiTheme="minorHAnsi" w:cs="Times New Roman"/>
          <w:sz w:val="24"/>
          <w:szCs w:val="24"/>
        </w:rPr>
        <w:t>(IKJ-626, LMU-286, LVA-991)</w:t>
      </w:r>
    </w:p>
    <w:p w:rsidR="00142ECE" w:rsidRDefault="00142ECE" w:rsidP="00AB5D0D">
      <w:pPr>
        <w:pStyle w:val="Listaszerbekezds"/>
        <w:numPr>
          <w:ilvl w:val="0"/>
          <w:numId w:val="7"/>
        </w:numPr>
        <w:jc w:val="both"/>
        <w:rPr>
          <w:rFonts w:asciiTheme="minorHAnsi" w:hAnsiTheme="minorHAnsi" w:cs="Times New Roman"/>
          <w:sz w:val="24"/>
          <w:szCs w:val="24"/>
        </w:rPr>
      </w:pPr>
      <w:r>
        <w:rPr>
          <w:rFonts w:asciiTheme="minorHAnsi" w:hAnsiTheme="minorHAnsi" w:cs="Times New Roman"/>
          <w:sz w:val="24"/>
          <w:szCs w:val="24"/>
        </w:rPr>
        <w:t xml:space="preserve">2 db </w:t>
      </w:r>
      <w:proofErr w:type="spellStart"/>
      <w:r>
        <w:rPr>
          <w:rFonts w:asciiTheme="minorHAnsi" w:hAnsiTheme="minorHAnsi" w:cs="Times New Roman"/>
          <w:sz w:val="24"/>
          <w:szCs w:val="24"/>
        </w:rPr>
        <w:t>Bucher</w:t>
      </w:r>
      <w:proofErr w:type="spellEnd"/>
      <w:r>
        <w:rPr>
          <w:rFonts w:asciiTheme="minorHAnsi" w:hAnsiTheme="minorHAnsi" w:cs="Times New Roman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="Times New Roman"/>
          <w:sz w:val="24"/>
          <w:szCs w:val="24"/>
        </w:rPr>
        <w:t>CityCat</w:t>
      </w:r>
      <w:proofErr w:type="spellEnd"/>
      <w:r>
        <w:rPr>
          <w:rFonts w:asciiTheme="minorHAnsi" w:hAnsiTheme="minorHAnsi" w:cs="Times New Roman"/>
          <w:sz w:val="24"/>
          <w:szCs w:val="24"/>
        </w:rPr>
        <w:t xml:space="preserve"> 100 szívó/seprő célgép</w:t>
      </w:r>
    </w:p>
    <w:p w:rsidR="00AB5D0D" w:rsidRPr="00AB5D0D" w:rsidRDefault="00AB5D0D" w:rsidP="00AB5D0D">
      <w:pPr>
        <w:ind w:left="1080" w:firstLine="336"/>
        <w:jc w:val="both"/>
        <w:rPr>
          <w:rFonts w:asciiTheme="minorHAnsi" w:hAnsiTheme="minorHAnsi" w:cs="Times New Roman"/>
          <w:sz w:val="24"/>
          <w:szCs w:val="24"/>
        </w:rPr>
      </w:pPr>
      <w:r>
        <w:rPr>
          <w:rFonts w:asciiTheme="minorHAnsi" w:hAnsiTheme="minorHAnsi" w:cs="Times New Roman"/>
          <w:sz w:val="24"/>
          <w:szCs w:val="24"/>
        </w:rPr>
        <w:t>(YIV-029, YIV-030)</w:t>
      </w:r>
    </w:p>
    <w:p w:rsidR="00CF727E" w:rsidRDefault="00CF727E" w:rsidP="00AB5D0D">
      <w:pPr>
        <w:pStyle w:val="Listaszerbekezds"/>
        <w:numPr>
          <w:ilvl w:val="0"/>
          <w:numId w:val="7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571F2F">
        <w:rPr>
          <w:rFonts w:asciiTheme="minorHAnsi" w:hAnsiTheme="minorHAnsi" w:cs="Times New Roman"/>
          <w:sz w:val="24"/>
          <w:szCs w:val="24"/>
        </w:rPr>
        <w:t xml:space="preserve">1 db </w:t>
      </w:r>
      <w:r w:rsidR="00AA4FE3">
        <w:rPr>
          <w:rFonts w:asciiTheme="minorHAnsi" w:hAnsiTheme="minorHAnsi" w:cs="Times New Roman"/>
          <w:sz w:val="24"/>
          <w:szCs w:val="24"/>
        </w:rPr>
        <w:t xml:space="preserve">HAKO </w:t>
      </w:r>
      <w:proofErr w:type="spellStart"/>
      <w:r w:rsidR="00AA4FE3">
        <w:rPr>
          <w:rFonts w:asciiTheme="minorHAnsi" w:hAnsiTheme="minorHAnsi" w:cs="Times New Roman"/>
          <w:sz w:val="24"/>
          <w:szCs w:val="24"/>
        </w:rPr>
        <w:t>Citymaster</w:t>
      </w:r>
      <w:proofErr w:type="spellEnd"/>
      <w:r w:rsidR="00AA4FE3">
        <w:rPr>
          <w:rFonts w:asciiTheme="minorHAnsi" w:hAnsiTheme="minorHAnsi" w:cs="Times New Roman"/>
          <w:sz w:val="24"/>
          <w:szCs w:val="24"/>
        </w:rPr>
        <w:t xml:space="preserve"> 300</w:t>
      </w:r>
      <w:r w:rsidRPr="00571F2F">
        <w:rPr>
          <w:rFonts w:asciiTheme="minorHAnsi" w:hAnsiTheme="minorHAnsi" w:cs="Times New Roman"/>
          <w:sz w:val="24"/>
          <w:szCs w:val="24"/>
        </w:rPr>
        <w:t xml:space="preserve"> </w:t>
      </w:r>
      <w:r w:rsidR="00142ECE">
        <w:rPr>
          <w:rFonts w:asciiTheme="minorHAnsi" w:hAnsiTheme="minorHAnsi" w:cs="Times New Roman"/>
          <w:sz w:val="24"/>
          <w:szCs w:val="24"/>
        </w:rPr>
        <w:t>szívó/seprő célgép</w:t>
      </w:r>
    </w:p>
    <w:p w:rsidR="00AB5D0D" w:rsidRPr="00571F2F" w:rsidRDefault="00AB5D0D" w:rsidP="00AB5D0D">
      <w:pPr>
        <w:pStyle w:val="Listaszerbekezds"/>
        <w:ind w:left="1416"/>
        <w:jc w:val="both"/>
        <w:rPr>
          <w:rFonts w:asciiTheme="minorHAnsi" w:hAnsiTheme="minorHAnsi" w:cs="Times New Roman"/>
          <w:sz w:val="24"/>
          <w:szCs w:val="24"/>
        </w:rPr>
      </w:pPr>
      <w:r>
        <w:rPr>
          <w:rFonts w:asciiTheme="minorHAnsi" w:hAnsiTheme="minorHAnsi" w:cs="Times New Roman"/>
          <w:sz w:val="24"/>
          <w:szCs w:val="24"/>
        </w:rPr>
        <w:t>(YJH-456)</w:t>
      </w:r>
    </w:p>
    <w:p w:rsidR="00CF727E" w:rsidRDefault="00CF727E" w:rsidP="00AB5D0D">
      <w:pPr>
        <w:pStyle w:val="Listaszerbekezds"/>
        <w:numPr>
          <w:ilvl w:val="0"/>
          <w:numId w:val="7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571F2F">
        <w:rPr>
          <w:rFonts w:asciiTheme="minorHAnsi" w:hAnsiTheme="minorHAnsi" w:cs="Times New Roman"/>
          <w:sz w:val="24"/>
          <w:szCs w:val="24"/>
        </w:rPr>
        <w:t xml:space="preserve">1 db tehergépjármű a </w:t>
      </w:r>
      <w:r w:rsidR="00AB5D0D">
        <w:rPr>
          <w:rFonts w:asciiTheme="minorHAnsi" w:hAnsiTheme="minorHAnsi" w:cs="Times New Roman"/>
          <w:sz w:val="24"/>
          <w:szCs w:val="24"/>
        </w:rPr>
        <w:t xml:space="preserve">hulladék és </w:t>
      </w:r>
      <w:r w:rsidRPr="00571F2F">
        <w:rPr>
          <w:rFonts w:asciiTheme="minorHAnsi" w:hAnsiTheme="minorHAnsi" w:cs="Times New Roman"/>
          <w:sz w:val="24"/>
          <w:szCs w:val="24"/>
        </w:rPr>
        <w:t>hulladékgyűjtő edények összeszedésére és szállítására</w:t>
      </w:r>
    </w:p>
    <w:p w:rsidR="00AB5D0D" w:rsidRPr="00AB5D0D" w:rsidRDefault="00AB5D0D" w:rsidP="00AB5D0D">
      <w:pPr>
        <w:ind w:left="1416"/>
        <w:jc w:val="both"/>
        <w:rPr>
          <w:rFonts w:asciiTheme="minorHAnsi" w:hAnsiTheme="minorHAnsi" w:cs="Times New Roman"/>
          <w:sz w:val="24"/>
          <w:szCs w:val="24"/>
        </w:rPr>
      </w:pPr>
      <w:r>
        <w:rPr>
          <w:rFonts w:asciiTheme="minorHAnsi" w:hAnsiTheme="minorHAnsi" w:cs="Times New Roman"/>
          <w:sz w:val="24"/>
          <w:szCs w:val="24"/>
        </w:rPr>
        <w:t>(MEL-414)</w:t>
      </w:r>
    </w:p>
    <w:p w:rsidR="00CF727E" w:rsidRPr="00571F2F" w:rsidRDefault="00CF727E" w:rsidP="00CF727E">
      <w:pPr>
        <w:jc w:val="both"/>
        <w:rPr>
          <w:rFonts w:asciiTheme="minorHAnsi" w:hAnsiTheme="minorHAnsi" w:cs="Times New Roman"/>
          <w:sz w:val="24"/>
          <w:szCs w:val="24"/>
        </w:rPr>
      </w:pPr>
    </w:p>
    <w:p w:rsidR="00CF727E" w:rsidRPr="00571F2F" w:rsidRDefault="00D71FD9" w:rsidP="00CF727E">
      <w:pPr>
        <w:jc w:val="both"/>
        <w:rPr>
          <w:rFonts w:asciiTheme="minorHAnsi" w:hAnsiTheme="minorHAnsi" w:cs="Times New Roman"/>
          <w:sz w:val="24"/>
          <w:szCs w:val="24"/>
        </w:rPr>
      </w:pPr>
      <w:r>
        <w:rPr>
          <w:rFonts w:asciiTheme="minorHAnsi" w:hAnsiTheme="minorHAnsi" w:cs="Times New Roman"/>
          <w:sz w:val="24"/>
          <w:szCs w:val="24"/>
        </w:rPr>
        <w:t>A nagytakarítás során a</w:t>
      </w:r>
      <w:r w:rsidR="00CF727E" w:rsidRPr="00571F2F">
        <w:rPr>
          <w:rFonts w:asciiTheme="minorHAnsi" w:hAnsiTheme="minorHAnsi" w:cs="Times New Roman"/>
          <w:sz w:val="24"/>
          <w:szCs w:val="24"/>
        </w:rPr>
        <w:t xml:space="preserve"> teljes takarítandó felület </w:t>
      </w:r>
      <w:r w:rsidR="00AB5D0D">
        <w:rPr>
          <w:rFonts w:asciiTheme="minorHAnsi" w:hAnsiTheme="minorHAnsi" w:cs="Times New Roman"/>
          <w:sz w:val="24"/>
          <w:szCs w:val="24"/>
        </w:rPr>
        <w:t>209 120</w:t>
      </w:r>
      <w:r w:rsidR="00CF727E" w:rsidRPr="00571F2F">
        <w:rPr>
          <w:rFonts w:asciiTheme="minorHAnsi" w:hAnsiTheme="minorHAnsi" w:cs="Times New Roman"/>
          <w:sz w:val="24"/>
          <w:szCs w:val="24"/>
        </w:rPr>
        <w:t xml:space="preserve"> m2 volt az ütemterv szerint. A </w:t>
      </w:r>
      <w:proofErr w:type="spellStart"/>
      <w:r w:rsidR="00CF727E" w:rsidRPr="00571F2F">
        <w:rPr>
          <w:rFonts w:asciiTheme="minorHAnsi" w:hAnsiTheme="minorHAnsi" w:cs="Times New Roman"/>
          <w:sz w:val="24"/>
          <w:szCs w:val="24"/>
        </w:rPr>
        <w:t>bio</w:t>
      </w:r>
      <w:r w:rsidR="00CA1231">
        <w:rPr>
          <w:rFonts w:asciiTheme="minorHAnsi" w:hAnsiTheme="minorHAnsi" w:cs="Times New Roman"/>
          <w:sz w:val="24"/>
          <w:szCs w:val="24"/>
        </w:rPr>
        <w:t>-</w:t>
      </w:r>
      <w:r w:rsidR="00CF727E" w:rsidRPr="00571F2F">
        <w:rPr>
          <w:rFonts w:asciiTheme="minorHAnsi" w:hAnsiTheme="minorHAnsi" w:cs="Times New Roman"/>
          <w:sz w:val="24"/>
          <w:szCs w:val="24"/>
        </w:rPr>
        <w:t>tisztítószer</w:t>
      </w:r>
      <w:proofErr w:type="spellEnd"/>
      <w:r w:rsidR="00CF727E" w:rsidRPr="00571F2F">
        <w:rPr>
          <w:rFonts w:asciiTheme="minorHAnsi" w:hAnsiTheme="minorHAnsi" w:cs="Times New Roman"/>
          <w:sz w:val="24"/>
          <w:szCs w:val="24"/>
        </w:rPr>
        <w:t xml:space="preserve"> a szennyezett foltok eltávolítására (jellemzően hulladékgyűjtő edények alatt, tűzcsapok és oszlopok közelében, vendéglátóhelyek előtt) koncentrálva kelült alkalmazásra. A </w:t>
      </w:r>
      <w:proofErr w:type="spellStart"/>
      <w:r w:rsidR="00CF727E" w:rsidRPr="00571F2F">
        <w:rPr>
          <w:rFonts w:asciiTheme="minorHAnsi" w:hAnsiTheme="minorHAnsi" w:cs="Times New Roman"/>
          <w:sz w:val="24"/>
          <w:szCs w:val="24"/>
        </w:rPr>
        <w:t>bio</w:t>
      </w:r>
      <w:r w:rsidR="00CA1231">
        <w:rPr>
          <w:rFonts w:asciiTheme="minorHAnsi" w:hAnsiTheme="minorHAnsi" w:cs="Times New Roman"/>
          <w:sz w:val="24"/>
          <w:szCs w:val="24"/>
        </w:rPr>
        <w:t>-</w:t>
      </w:r>
      <w:r w:rsidR="00CF727E" w:rsidRPr="00571F2F">
        <w:rPr>
          <w:rFonts w:asciiTheme="minorHAnsi" w:hAnsiTheme="minorHAnsi" w:cs="Times New Roman"/>
          <w:sz w:val="24"/>
          <w:szCs w:val="24"/>
        </w:rPr>
        <w:t>tisztító</w:t>
      </w:r>
      <w:proofErr w:type="spellEnd"/>
      <w:r w:rsidR="00CF727E" w:rsidRPr="00571F2F">
        <w:rPr>
          <w:rFonts w:asciiTheme="minorHAnsi" w:hAnsiTheme="minorHAnsi" w:cs="Times New Roman"/>
          <w:sz w:val="24"/>
          <w:szCs w:val="24"/>
        </w:rPr>
        <w:t xml:space="preserve"> keverék természetes összetevőkből álló, olajbontó probiotikumot tartalmazó </w:t>
      </w:r>
      <w:r w:rsidR="00CF727E" w:rsidRPr="00571F2F">
        <w:rPr>
          <w:rFonts w:asciiTheme="minorHAnsi" w:hAnsiTheme="minorHAnsi" w:cs="Times New Roman"/>
          <w:sz w:val="24"/>
          <w:szCs w:val="24"/>
        </w:rPr>
        <w:lastRenderedPageBreak/>
        <w:t>tisztítószer, amely pH semleges, nem toxikus, nem tartalmaz oldószereket és a környezetben lebomlik. A szer természetes citrus illóolajokat tartalmaz, amelyek a tisztítás után kellemes illatot hagynak.</w:t>
      </w:r>
    </w:p>
    <w:p w:rsidR="00CF727E" w:rsidRPr="00571F2F" w:rsidRDefault="00CF727E" w:rsidP="00CF727E">
      <w:pPr>
        <w:jc w:val="both"/>
        <w:rPr>
          <w:rFonts w:asciiTheme="minorHAnsi" w:hAnsiTheme="minorHAnsi" w:cs="Times New Roman"/>
          <w:sz w:val="24"/>
          <w:szCs w:val="24"/>
        </w:rPr>
      </w:pPr>
    </w:p>
    <w:p w:rsidR="00CF727E" w:rsidRPr="00571F2F" w:rsidRDefault="00E325EF" w:rsidP="00CF727E">
      <w:pPr>
        <w:jc w:val="both"/>
        <w:rPr>
          <w:rFonts w:asciiTheme="minorHAnsi" w:hAnsiTheme="minorHAnsi" w:cs="Times New Roman"/>
          <w:sz w:val="24"/>
          <w:szCs w:val="24"/>
        </w:rPr>
      </w:pPr>
      <w:r w:rsidRPr="00571F2F">
        <w:rPr>
          <w:rFonts w:asciiTheme="minorHAnsi" w:hAnsiTheme="minorHAnsi" w:cs="Times New Roman"/>
          <w:sz w:val="24"/>
          <w:szCs w:val="24"/>
        </w:rPr>
        <w:t xml:space="preserve">A </w:t>
      </w:r>
      <w:proofErr w:type="spellStart"/>
      <w:r w:rsidRPr="00571F2F">
        <w:rPr>
          <w:rFonts w:asciiTheme="minorHAnsi" w:hAnsiTheme="minorHAnsi" w:cs="Times New Roman"/>
          <w:sz w:val="24"/>
          <w:szCs w:val="24"/>
        </w:rPr>
        <w:t>bio-tisztítószer</w:t>
      </w:r>
      <w:proofErr w:type="spellEnd"/>
      <w:r w:rsidR="00CF727E" w:rsidRPr="00571F2F">
        <w:rPr>
          <w:rFonts w:asciiTheme="minorHAnsi" w:hAnsiTheme="minorHAnsi" w:cs="Times New Roman"/>
          <w:sz w:val="24"/>
          <w:szCs w:val="24"/>
        </w:rPr>
        <w:t xml:space="preserve"> megfelelő hígítás után kézzel és géppel került felhordásra a takarítandó felületre. A kívánt tisztító hatás elérése érdekében az erősen szennyezett területeket erősen be kellett dörzsölni a takarítószerrel, ezt kézi és gépi erővel került megvalósításra. A tisztítószer elsősorban a zsíros szennyeződések, galamb ürülék és a kutyavizelet eltávolításánál vált be.</w:t>
      </w:r>
    </w:p>
    <w:p w:rsidR="00CF727E" w:rsidRPr="00571F2F" w:rsidRDefault="00CF727E" w:rsidP="00AA74DE">
      <w:pPr>
        <w:jc w:val="both"/>
        <w:rPr>
          <w:rFonts w:asciiTheme="minorHAnsi" w:hAnsiTheme="minorHAnsi" w:cs="Times New Roman"/>
          <w:sz w:val="24"/>
          <w:szCs w:val="24"/>
        </w:rPr>
      </w:pPr>
    </w:p>
    <w:p w:rsidR="00CF727E" w:rsidRPr="00571F2F" w:rsidRDefault="00CF727E" w:rsidP="00CF727E">
      <w:pPr>
        <w:jc w:val="center"/>
        <w:rPr>
          <w:rFonts w:asciiTheme="minorHAnsi" w:hAnsiTheme="minorHAnsi" w:cs="Times New Roman"/>
          <w:b/>
          <w:sz w:val="24"/>
          <w:szCs w:val="24"/>
        </w:rPr>
      </w:pPr>
    </w:p>
    <w:p w:rsidR="00127773" w:rsidRPr="00571F2F" w:rsidRDefault="00127773">
      <w:pPr>
        <w:spacing w:after="200" w:line="276" w:lineRule="auto"/>
        <w:rPr>
          <w:rFonts w:asciiTheme="minorHAnsi" w:hAnsiTheme="minorHAnsi" w:cs="Times New Roman"/>
          <w:b/>
          <w:sz w:val="24"/>
          <w:szCs w:val="24"/>
        </w:rPr>
      </w:pPr>
    </w:p>
    <w:p w:rsidR="00CF727E" w:rsidRPr="00571F2F" w:rsidRDefault="00CF727E" w:rsidP="00CF727E">
      <w:pPr>
        <w:jc w:val="center"/>
        <w:rPr>
          <w:rFonts w:asciiTheme="minorHAnsi" w:hAnsiTheme="minorHAnsi" w:cs="Times New Roman"/>
          <w:b/>
          <w:sz w:val="28"/>
          <w:szCs w:val="28"/>
        </w:rPr>
      </w:pPr>
      <w:r w:rsidRPr="00571F2F">
        <w:rPr>
          <w:rFonts w:asciiTheme="minorHAnsi" w:hAnsiTheme="minorHAnsi" w:cs="Times New Roman"/>
          <w:b/>
          <w:sz w:val="28"/>
          <w:szCs w:val="28"/>
        </w:rPr>
        <w:t>Elvégzett munkák részletezése</w:t>
      </w:r>
    </w:p>
    <w:p w:rsidR="00E325EF" w:rsidRPr="00571F2F" w:rsidRDefault="00E325EF" w:rsidP="00CF727E">
      <w:pPr>
        <w:jc w:val="center"/>
        <w:rPr>
          <w:rFonts w:asciiTheme="minorHAnsi" w:hAnsiTheme="minorHAnsi" w:cs="Times New Roman"/>
          <w:b/>
          <w:sz w:val="24"/>
          <w:szCs w:val="24"/>
        </w:rPr>
      </w:pPr>
    </w:p>
    <w:p w:rsidR="00E325EF" w:rsidRPr="00571F2F" w:rsidRDefault="00AB5D0D" w:rsidP="00E325EF">
      <w:pPr>
        <w:pStyle w:val="Listaszerbekezds"/>
        <w:ind w:left="2148"/>
        <w:rPr>
          <w:rFonts w:asciiTheme="minorHAnsi" w:hAnsiTheme="minorHAnsi" w:cs="Times New Roman"/>
          <w:b/>
          <w:sz w:val="26"/>
          <w:szCs w:val="26"/>
        </w:rPr>
      </w:pPr>
      <w:r>
        <w:rPr>
          <w:rFonts w:asciiTheme="minorHAnsi" w:hAnsiTheme="minorHAnsi" w:cs="Times New Roman"/>
          <w:b/>
          <w:sz w:val="26"/>
          <w:szCs w:val="26"/>
        </w:rPr>
        <w:t>Tavaszi nagytakarítás - 2015. április 13-18.</w:t>
      </w:r>
    </w:p>
    <w:p w:rsidR="00E325EF" w:rsidRPr="00571F2F" w:rsidRDefault="00E325EF" w:rsidP="00E325EF">
      <w:pPr>
        <w:rPr>
          <w:rFonts w:asciiTheme="minorHAnsi" w:hAnsiTheme="minorHAnsi" w:cs="Times New Roman"/>
          <w:b/>
          <w:bCs/>
          <w:sz w:val="24"/>
          <w:szCs w:val="24"/>
        </w:rPr>
      </w:pPr>
    </w:p>
    <w:p w:rsidR="00E325EF" w:rsidRPr="00571F2F" w:rsidRDefault="00D71FD9" w:rsidP="00E325EF">
      <w:pPr>
        <w:rPr>
          <w:rFonts w:asciiTheme="minorHAnsi" w:hAnsiTheme="minorHAnsi" w:cs="Times New Roman"/>
          <w:b/>
          <w:bCs/>
          <w:sz w:val="24"/>
          <w:szCs w:val="24"/>
        </w:rPr>
      </w:pPr>
      <w:r>
        <w:rPr>
          <w:rFonts w:asciiTheme="minorHAnsi" w:hAnsiTheme="minorHAnsi" w:cs="Times New Roman"/>
          <w:b/>
          <w:bCs/>
          <w:sz w:val="24"/>
          <w:szCs w:val="24"/>
        </w:rPr>
        <w:t>2015</w:t>
      </w:r>
      <w:r w:rsidR="00E325EF" w:rsidRPr="00571F2F">
        <w:rPr>
          <w:rFonts w:asciiTheme="minorHAnsi" w:hAnsiTheme="minorHAnsi" w:cs="Times New Roman"/>
          <w:b/>
          <w:bCs/>
          <w:sz w:val="24"/>
          <w:szCs w:val="24"/>
        </w:rPr>
        <w:t>.</w:t>
      </w:r>
      <w:r>
        <w:rPr>
          <w:rFonts w:asciiTheme="minorHAnsi" w:hAnsiTheme="minorHAnsi" w:cs="Times New Roman"/>
          <w:b/>
          <w:bCs/>
          <w:sz w:val="24"/>
          <w:szCs w:val="24"/>
        </w:rPr>
        <w:t xml:space="preserve"> április 13.</w:t>
      </w:r>
    </w:p>
    <w:p w:rsidR="00E325EF" w:rsidRPr="00571F2F" w:rsidRDefault="00E325EF" w:rsidP="00E325EF">
      <w:pPr>
        <w:rPr>
          <w:rFonts w:asciiTheme="minorHAnsi" w:hAnsiTheme="minorHAnsi" w:cs="Times New Roman"/>
          <w:b/>
          <w:bCs/>
          <w:sz w:val="24"/>
          <w:szCs w:val="24"/>
        </w:rPr>
      </w:pPr>
    </w:p>
    <w:p w:rsidR="00D71FD9" w:rsidRDefault="00D71FD9" w:rsidP="00D71FD9">
      <w:pPr>
        <w:ind w:firstLine="708"/>
        <w:rPr>
          <w:rFonts w:eastAsiaTheme="minorHAnsi" w:cs="Times New Roman"/>
        </w:rPr>
      </w:pPr>
      <w:r>
        <w:rPr>
          <w:b/>
          <w:bCs/>
        </w:rPr>
        <w:t>LMU-286; YIV-030</w:t>
      </w:r>
      <w:r>
        <w:t xml:space="preserve"> – Takarítandó terület: </w:t>
      </w:r>
      <w:r>
        <w:rPr>
          <w:b/>
          <w:bCs/>
        </w:rPr>
        <w:t>15 120 m²</w:t>
      </w:r>
    </w:p>
    <w:p w:rsidR="00D71FD9" w:rsidRDefault="00D71FD9" w:rsidP="00D71FD9">
      <w:pPr>
        <w:ind w:left="708" w:firstLine="708"/>
      </w:pPr>
      <w:r>
        <w:t xml:space="preserve">Kertész utca, Akácfa utca, Madách I. út, Rumbach S. </w:t>
      </w:r>
      <w:proofErr w:type="gramStart"/>
      <w:r>
        <w:t>utca</w:t>
      </w:r>
      <w:proofErr w:type="gramEnd"/>
    </w:p>
    <w:p w:rsidR="00D71FD9" w:rsidRDefault="00D71FD9" w:rsidP="00D71FD9">
      <w:pPr>
        <w:ind w:firstLine="708"/>
      </w:pPr>
      <w:r>
        <w:rPr>
          <w:b/>
          <w:bCs/>
        </w:rPr>
        <w:t>LVA-991; YIV-029</w:t>
      </w:r>
      <w:r>
        <w:t xml:space="preserve"> – Takarítandó terület: </w:t>
      </w:r>
      <w:r>
        <w:rPr>
          <w:b/>
          <w:bCs/>
        </w:rPr>
        <w:t>14 000 m²</w:t>
      </w:r>
    </w:p>
    <w:p w:rsidR="00D71FD9" w:rsidRDefault="00D71FD9" w:rsidP="00D71FD9">
      <w:pPr>
        <w:ind w:left="708" w:firstLine="708"/>
      </w:pPr>
      <w:r>
        <w:t>Hársfa utca, Tivadar utca, Barát utca, Szövetség utca, Kürt utca</w:t>
      </w:r>
    </w:p>
    <w:p w:rsidR="00D71FD9" w:rsidRDefault="00D71FD9" w:rsidP="00D71FD9">
      <w:pPr>
        <w:ind w:firstLine="708"/>
      </w:pPr>
      <w:r>
        <w:rPr>
          <w:b/>
          <w:bCs/>
          <w:smallCaps/>
        </w:rPr>
        <w:t xml:space="preserve">IKJ-626; </w:t>
      </w:r>
      <w:r>
        <w:rPr>
          <w:b/>
          <w:bCs/>
        </w:rPr>
        <w:t>YJH-456</w:t>
      </w:r>
      <w:r>
        <w:t xml:space="preserve"> – Takarítandó terület: </w:t>
      </w:r>
      <w:r>
        <w:rPr>
          <w:b/>
          <w:bCs/>
        </w:rPr>
        <w:t>12 400 m²</w:t>
      </w:r>
    </w:p>
    <w:p w:rsidR="00D71FD9" w:rsidRDefault="00D71FD9" w:rsidP="00D71FD9">
      <w:pPr>
        <w:ind w:left="708" w:firstLine="708"/>
      </w:pPr>
      <w:r>
        <w:t xml:space="preserve">Bethlen G. </w:t>
      </w:r>
      <w:proofErr w:type="gramStart"/>
      <w:r>
        <w:t>utca</w:t>
      </w:r>
      <w:proofErr w:type="gramEnd"/>
      <w:r>
        <w:t>, Hernád utca</w:t>
      </w:r>
    </w:p>
    <w:p w:rsidR="00E325EF" w:rsidRPr="00571F2F" w:rsidRDefault="00E325EF" w:rsidP="00E325EF">
      <w:pPr>
        <w:rPr>
          <w:rFonts w:asciiTheme="minorHAnsi" w:hAnsiTheme="minorHAnsi" w:cs="Times New Roman"/>
          <w:b/>
          <w:bCs/>
          <w:sz w:val="24"/>
          <w:szCs w:val="24"/>
        </w:rPr>
      </w:pPr>
    </w:p>
    <w:p w:rsidR="00E325EF" w:rsidRPr="00571F2F" w:rsidRDefault="00D71FD9" w:rsidP="00E325EF">
      <w:pPr>
        <w:rPr>
          <w:rFonts w:asciiTheme="minorHAnsi" w:hAnsiTheme="minorHAnsi" w:cs="Times New Roman"/>
          <w:b/>
          <w:sz w:val="24"/>
          <w:szCs w:val="24"/>
        </w:rPr>
      </w:pPr>
      <w:r>
        <w:rPr>
          <w:rFonts w:asciiTheme="minorHAnsi" w:hAnsiTheme="minorHAnsi" w:cs="Times New Roman"/>
          <w:b/>
          <w:sz w:val="24"/>
          <w:szCs w:val="24"/>
        </w:rPr>
        <w:t>2015. április 14</w:t>
      </w:r>
      <w:r w:rsidR="00731062" w:rsidRPr="00571F2F">
        <w:rPr>
          <w:rFonts w:asciiTheme="minorHAnsi" w:hAnsiTheme="minorHAnsi" w:cs="Times New Roman"/>
          <w:b/>
          <w:sz w:val="24"/>
          <w:szCs w:val="24"/>
        </w:rPr>
        <w:t>.</w:t>
      </w:r>
    </w:p>
    <w:p w:rsidR="00731062" w:rsidRPr="00571F2F" w:rsidRDefault="00731062" w:rsidP="00731062">
      <w:pPr>
        <w:rPr>
          <w:rFonts w:asciiTheme="minorHAnsi" w:hAnsiTheme="minorHAnsi" w:cs="Times New Roman"/>
          <w:b/>
          <w:bCs/>
          <w:sz w:val="24"/>
          <w:szCs w:val="24"/>
        </w:rPr>
      </w:pPr>
    </w:p>
    <w:p w:rsidR="00D71FD9" w:rsidRDefault="00D71FD9" w:rsidP="00D71FD9">
      <w:pPr>
        <w:ind w:firstLine="708"/>
        <w:rPr>
          <w:rFonts w:eastAsiaTheme="minorHAnsi" w:cs="Times New Roman"/>
        </w:rPr>
      </w:pPr>
      <w:r>
        <w:rPr>
          <w:b/>
          <w:bCs/>
        </w:rPr>
        <w:t>LMU-286; YIV-030</w:t>
      </w:r>
      <w:r>
        <w:t xml:space="preserve"> – Takarítandó terület: </w:t>
      </w:r>
      <w:r>
        <w:rPr>
          <w:b/>
          <w:bCs/>
        </w:rPr>
        <w:t>14 800 m²</w:t>
      </w:r>
    </w:p>
    <w:p w:rsidR="00D71FD9" w:rsidRDefault="00D71FD9" w:rsidP="00D71FD9">
      <w:pPr>
        <w:ind w:left="708" w:firstLine="708"/>
      </w:pPr>
      <w:r>
        <w:t>Klauzál utca, Csányi utca, Kisdiófa utca, Nyár utca, Osvát utca, Huszár utca</w:t>
      </w:r>
    </w:p>
    <w:p w:rsidR="00D71FD9" w:rsidRDefault="00D71FD9" w:rsidP="00D71FD9">
      <w:pPr>
        <w:ind w:firstLine="708"/>
      </w:pPr>
      <w:r>
        <w:rPr>
          <w:b/>
          <w:bCs/>
        </w:rPr>
        <w:t>IKJ-626; YIV-029</w:t>
      </w:r>
      <w:r>
        <w:t xml:space="preserve"> – Takarítandó terület: </w:t>
      </w:r>
      <w:r>
        <w:rPr>
          <w:b/>
          <w:bCs/>
        </w:rPr>
        <w:t>11 840 m²</w:t>
      </w:r>
    </w:p>
    <w:p w:rsidR="00D71FD9" w:rsidRDefault="00D71FD9" w:rsidP="00F42F83">
      <w:pPr>
        <w:ind w:left="1416"/>
      </w:pPr>
      <w:r>
        <w:t xml:space="preserve">Vörösmarty utca, </w:t>
      </w:r>
      <w:proofErr w:type="spellStart"/>
      <w:r>
        <w:t>Csengery</w:t>
      </w:r>
      <w:proofErr w:type="spellEnd"/>
      <w:r>
        <w:t xml:space="preserve"> utca, Rejtő J. </w:t>
      </w:r>
      <w:proofErr w:type="gramStart"/>
      <w:r>
        <w:t>utca</w:t>
      </w:r>
      <w:proofErr w:type="gramEnd"/>
      <w:r>
        <w:t>, Wesselényi utca (Almássy tér és Erzsébet krt. között)</w:t>
      </w:r>
    </w:p>
    <w:p w:rsidR="00D71FD9" w:rsidRDefault="00D71FD9" w:rsidP="00D71FD9">
      <w:pPr>
        <w:ind w:firstLine="708"/>
      </w:pPr>
      <w:r>
        <w:rPr>
          <w:b/>
          <w:bCs/>
        </w:rPr>
        <w:t>LVA-991; YJH-456</w:t>
      </w:r>
      <w:r>
        <w:t xml:space="preserve"> – Takarítandó terület: </w:t>
      </w:r>
      <w:r>
        <w:rPr>
          <w:b/>
          <w:bCs/>
        </w:rPr>
        <w:t>13 840 m²</w:t>
      </w:r>
    </w:p>
    <w:p w:rsidR="00D71FD9" w:rsidRDefault="00D71FD9" w:rsidP="00D71FD9">
      <w:pPr>
        <w:ind w:left="708" w:firstLine="708"/>
      </w:pPr>
      <w:r>
        <w:t>Murányi utca, Cserhát utca, Alpár utca, Munkás utca</w:t>
      </w:r>
    </w:p>
    <w:p w:rsidR="00731062" w:rsidRPr="00571F2F" w:rsidRDefault="00731062" w:rsidP="00E325EF">
      <w:pPr>
        <w:rPr>
          <w:rFonts w:asciiTheme="minorHAnsi" w:hAnsiTheme="minorHAnsi" w:cs="Times New Roman"/>
          <w:b/>
          <w:sz w:val="24"/>
          <w:szCs w:val="24"/>
        </w:rPr>
      </w:pPr>
    </w:p>
    <w:p w:rsidR="00731062" w:rsidRPr="00571F2F" w:rsidRDefault="00731062" w:rsidP="00E325EF">
      <w:pPr>
        <w:rPr>
          <w:rFonts w:asciiTheme="minorHAnsi" w:hAnsiTheme="minorHAnsi" w:cs="Times New Roman"/>
          <w:b/>
          <w:sz w:val="24"/>
          <w:szCs w:val="24"/>
        </w:rPr>
      </w:pPr>
      <w:r w:rsidRPr="00571F2F">
        <w:rPr>
          <w:rFonts w:asciiTheme="minorHAnsi" w:hAnsiTheme="minorHAnsi" w:cs="Times New Roman"/>
          <w:b/>
          <w:sz w:val="24"/>
          <w:szCs w:val="24"/>
        </w:rPr>
        <w:t>2</w:t>
      </w:r>
      <w:r w:rsidR="00D71FD9">
        <w:rPr>
          <w:rFonts w:asciiTheme="minorHAnsi" w:hAnsiTheme="minorHAnsi" w:cs="Times New Roman"/>
          <w:b/>
          <w:sz w:val="24"/>
          <w:szCs w:val="24"/>
        </w:rPr>
        <w:t>015</w:t>
      </w:r>
      <w:r w:rsidRPr="00571F2F">
        <w:rPr>
          <w:rFonts w:asciiTheme="minorHAnsi" w:hAnsiTheme="minorHAnsi" w:cs="Times New Roman"/>
          <w:b/>
          <w:sz w:val="24"/>
          <w:szCs w:val="24"/>
        </w:rPr>
        <w:t>.</w:t>
      </w:r>
      <w:r w:rsidR="00D71FD9">
        <w:rPr>
          <w:rFonts w:asciiTheme="minorHAnsi" w:hAnsiTheme="minorHAnsi" w:cs="Times New Roman"/>
          <w:b/>
          <w:sz w:val="24"/>
          <w:szCs w:val="24"/>
        </w:rPr>
        <w:t xml:space="preserve"> április 15.</w:t>
      </w:r>
    </w:p>
    <w:p w:rsidR="00731062" w:rsidRPr="00571F2F" w:rsidRDefault="00731062" w:rsidP="00E325EF">
      <w:pPr>
        <w:rPr>
          <w:rFonts w:asciiTheme="minorHAnsi" w:hAnsiTheme="minorHAnsi" w:cs="Times New Roman"/>
          <w:b/>
          <w:sz w:val="24"/>
          <w:szCs w:val="24"/>
        </w:rPr>
      </w:pPr>
    </w:p>
    <w:p w:rsidR="00D71FD9" w:rsidRDefault="00D71FD9" w:rsidP="00D71FD9">
      <w:pPr>
        <w:ind w:firstLine="708"/>
        <w:rPr>
          <w:rFonts w:eastAsiaTheme="minorHAnsi" w:cs="Times New Roman"/>
        </w:rPr>
      </w:pPr>
      <w:r>
        <w:rPr>
          <w:b/>
          <w:bCs/>
        </w:rPr>
        <w:t>LMU-286; YIV-030</w:t>
      </w:r>
      <w:r>
        <w:t xml:space="preserve"> – Takarítandó terület: </w:t>
      </w:r>
      <w:r>
        <w:rPr>
          <w:b/>
          <w:bCs/>
        </w:rPr>
        <w:t>11 360 m²</w:t>
      </w:r>
    </w:p>
    <w:p w:rsidR="00D71FD9" w:rsidRDefault="00D71FD9" w:rsidP="00D71FD9">
      <w:pPr>
        <w:ind w:left="708" w:firstLine="708"/>
      </w:pPr>
      <w:r>
        <w:t>Nagydiófa utca, Holló utca, Barcsay utca, Kazinczy utca</w:t>
      </w:r>
    </w:p>
    <w:p w:rsidR="00D71FD9" w:rsidRDefault="00D71FD9" w:rsidP="00D71FD9">
      <w:pPr>
        <w:ind w:firstLine="708"/>
      </w:pPr>
      <w:r>
        <w:rPr>
          <w:b/>
          <w:bCs/>
        </w:rPr>
        <w:t>LVA-991; YIV-029</w:t>
      </w:r>
      <w:r>
        <w:t xml:space="preserve"> – Takarítandó terület: </w:t>
      </w:r>
      <w:r>
        <w:rPr>
          <w:b/>
          <w:bCs/>
        </w:rPr>
        <w:t>12 160 m²</w:t>
      </w:r>
    </w:p>
    <w:p w:rsidR="00D71FD9" w:rsidRDefault="00D71FD9" w:rsidP="00D71FD9">
      <w:pPr>
        <w:ind w:left="708" w:firstLine="708"/>
      </w:pPr>
      <w:r>
        <w:t xml:space="preserve">Rózsa utca, Izabella utca, Hutyra F. </w:t>
      </w:r>
      <w:proofErr w:type="gramStart"/>
      <w:r>
        <w:t>utca</w:t>
      </w:r>
      <w:proofErr w:type="gramEnd"/>
    </w:p>
    <w:p w:rsidR="00D71FD9" w:rsidRDefault="00D71FD9" w:rsidP="00D71FD9">
      <w:pPr>
        <w:ind w:firstLine="708"/>
      </w:pPr>
      <w:r>
        <w:rPr>
          <w:b/>
          <w:bCs/>
        </w:rPr>
        <w:lastRenderedPageBreak/>
        <w:t>IKJ-626; YJH-456</w:t>
      </w:r>
      <w:r>
        <w:t xml:space="preserve"> – Takarítandó terület: </w:t>
      </w:r>
      <w:r>
        <w:rPr>
          <w:b/>
          <w:bCs/>
        </w:rPr>
        <w:t>10 720 m²</w:t>
      </w:r>
    </w:p>
    <w:p w:rsidR="00D71FD9" w:rsidRDefault="00D71FD9" w:rsidP="00D71FD9">
      <w:pPr>
        <w:ind w:left="708" w:firstLine="708"/>
      </w:pPr>
      <w:r>
        <w:t>Városligeti fasor, Bajza utca, Szinva utca, Sajó utca</w:t>
      </w:r>
    </w:p>
    <w:p w:rsidR="00127773" w:rsidRPr="00571F2F" w:rsidRDefault="00127773" w:rsidP="00E325EF">
      <w:pPr>
        <w:rPr>
          <w:rFonts w:asciiTheme="minorHAnsi" w:hAnsiTheme="minorHAnsi" w:cs="Times New Roman"/>
          <w:b/>
          <w:sz w:val="24"/>
          <w:szCs w:val="24"/>
        </w:rPr>
      </w:pPr>
    </w:p>
    <w:p w:rsidR="00731062" w:rsidRPr="00571F2F" w:rsidRDefault="00D71FD9" w:rsidP="00E325EF">
      <w:pPr>
        <w:rPr>
          <w:rFonts w:asciiTheme="minorHAnsi" w:hAnsiTheme="minorHAnsi" w:cs="Times New Roman"/>
          <w:b/>
          <w:sz w:val="24"/>
          <w:szCs w:val="24"/>
        </w:rPr>
      </w:pPr>
      <w:r>
        <w:rPr>
          <w:rFonts w:asciiTheme="minorHAnsi" w:hAnsiTheme="minorHAnsi" w:cs="Times New Roman"/>
          <w:b/>
          <w:sz w:val="24"/>
          <w:szCs w:val="24"/>
        </w:rPr>
        <w:t>2015. április 16</w:t>
      </w:r>
      <w:r w:rsidR="00127773" w:rsidRPr="00571F2F">
        <w:rPr>
          <w:rFonts w:asciiTheme="minorHAnsi" w:hAnsiTheme="minorHAnsi" w:cs="Times New Roman"/>
          <w:b/>
          <w:sz w:val="24"/>
          <w:szCs w:val="24"/>
        </w:rPr>
        <w:t>.</w:t>
      </w:r>
    </w:p>
    <w:p w:rsidR="00127773" w:rsidRPr="00571F2F" w:rsidRDefault="00127773" w:rsidP="00E325EF">
      <w:pPr>
        <w:rPr>
          <w:rFonts w:asciiTheme="minorHAnsi" w:hAnsiTheme="minorHAnsi" w:cs="Times New Roman"/>
          <w:b/>
          <w:sz w:val="24"/>
          <w:szCs w:val="24"/>
        </w:rPr>
      </w:pPr>
    </w:p>
    <w:p w:rsidR="00D71FD9" w:rsidRDefault="00D71FD9" w:rsidP="00D71FD9">
      <w:pPr>
        <w:ind w:firstLine="708"/>
        <w:rPr>
          <w:rFonts w:eastAsiaTheme="minorHAnsi" w:cs="Times New Roman"/>
        </w:rPr>
      </w:pPr>
      <w:r>
        <w:rPr>
          <w:b/>
          <w:bCs/>
        </w:rPr>
        <w:t>LMU-286; YIV-030</w:t>
      </w:r>
      <w:r>
        <w:t xml:space="preserve"> – Takarítandó terület: </w:t>
      </w:r>
      <w:r>
        <w:rPr>
          <w:b/>
          <w:bCs/>
        </w:rPr>
        <w:t>10 160 m²</w:t>
      </w:r>
    </w:p>
    <w:p w:rsidR="00D71FD9" w:rsidRDefault="00D71FD9" w:rsidP="00D71FD9">
      <w:pPr>
        <w:ind w:left="708" w:firstLine="708"/>
      </w:pPr>
      <w:r>
        <w:t>Síp utca, Almássy utca, Dob utca (Kazinczy utca és Erzsébet krt. között), Asbóth utca</w:t>
      </w:r>
    </w:p>
    <w:p w:rsidR="00D71FD9" w:rsidRDefault="00D71FD9" w:rsidP="00D71FD9">
      <w:pPr>
        <w:ind w:firstLine="708"/>
      </w:pPr>
      <w:r>
        <w:rPr>
          <w:b/>
          <w:bCs/>
        </w:rPr>
        <w:t>LVA-991; YIV-029</w:t>
      </w:r>
      <w:r>
        <w:t xml:space="preserve"> – Takarítandó terület: </w:t>
      </w:r>
      <w:r>
        <w:rPr>
          <w:b/>
          <w:bCs/>
        </w:rPr>
        <w:t>13 440 m²</w:t>
      </w:r>
    </w:p>
    <w:p w:rsidR="00D71FD9" w:rsidRDefault="00D71FD9" w:rsidP="00D71FD9">
      <w:pPr>
        <w:ind w:left="708" w:firstLine="708"/>
      </w:pPr>
      <w:proofErr w:type="spellStart"/>
      <w:r>
        <w:t>Alsóerdősor</w:t>
      </w:r>
      <w:proofErr w:type="spellEnd"/>
      <w:r>
        <w:t xml:space="preserve"> utca, Jósika utca, Péterfy S. </w:t>
      </w:r>
      <w:proofErr w:type="gramStart"/>
      <w:r>
        <w:t>utca</w:t>
      </w:r>
      <w:proofErr w:type="gramEnd"/>
    </w:p>
    <w:p w:rsidR="00D71FD9" w:rsidRDefault="00D71FD9" w:rsidP="00D71FD9">
      <w:pPr>
        <w:ind w:firstLine="708"/>
      </w:pPr>
      <w:r>
        <w:rPr>
          <w:b/>
          <w:bCs/>
        </w:rPr>
        <w:t>IKJ-626, YJH-456</w:t>
      </w:r>
      <w:r>
        <w:t xml:space="preserve"> – Takarítandó terület: </w:t>
      </w:r>
      <w:r>
        <w:rPr>
          <w:b/>
          <w:bCs/>
        </w:rPr>
        <w:t>12 320 m²</w:t>
      </w:r>
    </w:p>
    <w:p w:rsidR="00127773" w:rsidRPr="00571F2F" w:rsidRDefault="00D71FD9" w:rsidP="00D71FD9">
      <w:pPr>
        <w:ind w:left="708" w:firstLine="708"/>
        <w:rPr>
          <w:rFonts w:asciiTheme="minorHAnsi" w:hAnsiTheme="minorHAnsi" w:cs="Times New Roman"/>
          <w:b/>
          <w:sz w:val="24"/>
          <w:szCs w:val="24"/>
        </w:rPr>
      </w:pPr>
      <w:r>
        <w:t>Dembinszky utca, István utca</w:t>
      </w:r>
    </w:p>
    <w:p w:rsidR="00D71FD9" w:rsidRDefault="00D71FD9" w:rsidP="00E325EF">
      <w:pPr>
        <w:rPr>
          <w:rFonts w:asciiTheme="minorHAnsi" w:hAnsiTheme="minorHAnsi" w:cs="Times New Roman"/>
          <w:b/>
          <w:sz w:val="24"/>
          <w:szCs w:val="24"/>
        </w:rPr>
      </w:pPr>
    </w:p>
    <w:p w:rsidR="00127773" w:rsidRPr="00571F2F" w:rsidRDefault="00D71FD9" w:rsidP="00E325EF">
      <w:pPr>
        <w:rPr>
          <w:rFonts w:asciiTheme="minorHAnsi" w:hAnsiTheme="minorHAnsi" w:cs="Times New Roman"/>
          <w:b/>
          <w:sz w:val="24"/>
          <w:szCs w:val="24"/>
        </w:rPr>
      </w:pPr>
      <w:r>
        <w:rPr>
          <w:rFonts w:asciiTheme="minorHAnsi" w:hAnsiTheme="minorHAnsi" w:cs="Times New Roman"/>
          <w:b/>
          <w:sz w:val="24"/>
          <w:szCs w:val="24"/>
        </w:rPr>
        <w:t>2015</w:t>
      </w:r>
      <w:r w:rsidR="00127773" w:rsidRPr="00571F2F">
        <w:rPr>
          <w:rFonts w:asciiTheme="minorHAnsi" w:hAnsiTheme="minorHAnsi" w:cs="Times New Roman"/>
          <w:b/>
          <w:sz w:val="24"/>
          <w:szCs w:val="24"/>
        </w:rPr>
        <w:t>.</w:t>
      </w:r>
      <w:r>
        <w:rPr>
          <w:rFonts w:asciiTheme="minorHAnsi" w:hAnsiTheme="minorHAnsi" w:cs="Times New Roman"/>
          <w:b/>
          <w:sz w:val="24"/>
          <w:szCs w:val="24"/>
        </w:rPr>
        <w:t xml:space="preserve"> április 17.</w:t>
      </w:r>
    </w:p>
    <w:p w:rsidR="00127773" w:rsidRPr="00571F2F" w:rsidRDefault="00127773" w:rsidP="00E325EF">
      <w:pPr>
        <w:rPr>
          <w:rFonts w:asciiTheme="minorHAnsi" w:hAnsiTheme="minorHAnsi" w:cs="Times New Roman"/>
          <w:b/>
          <w:sz w:val="24"/>
          <w:szCs w:val="24"/>
        </w:rPr>
      </w:pPr>
    </w:p>
    <w:p w:rsidR="00D71FD9" w:rsidRDefault="00D71FD9" w:rsidP="00D71FD9">
      <w:pPr>
        <w:ind w:firstLine="708"/>
        <w:rPr>
          <w:rFonts w:eastAsiaTheme="minorHAnsi" w:cs="Times New Roman"/>
        </w:rPr>
      </w:pPr>
      <w:r>
        <w:rPr>
          <w:b/>
          <w:bCs/>
        </w:rPr>
        <w:t>LMU-286; YIV-030</w:t>
      </w:r>
      <w:r>
        <w:t xml:space="preserve"> – Takarítandó terület: </w:t>
      </w:r>
      <w:r>
        <w:rPr>
          <w:b/>
          <w:bCs/>
        </w:rPr>
        <w:t>12 160 m²</w:t>
      </w:r>
    </w:p>
    <w:p w:rsidR="00D71FD9" w:rsidRDefault="00D71FD9" w:rsidP="00F42F83">
      <w:pPr>
        <w:ind w:left="1416"/>
      </w:pPr>
      <w:r>
        <w:t>Dob utca (Erzsébet krt. és Rottenbiller utca között), Király utca (Erzsébet krt. és Rottenbiller utca között), Garay utca</w:t>
      </w:r>
    </w:p>
    <w:p w:rsidR="00D71FD9" w:rsidRDefault="00D71FD9" w:rsidP="00D71FD9">
      <w:pPr>
        <w:ind w:firstLine="708"/>
      </w:pPr>
      <w:r>
        <w:rPr>
          <w:b/>
          <w:bCs/>
        </w:rPr>
        <w:t>LVA-991;  YIV-029</w:t>
      </w:r>
      <w:r>
        <w:t xml:space="preserve"> – Takarítandó terület: </w:t>
      </w:r>
      <w:r>
        <w:rPr>
          <w:b/>
          <w:bCs/>
        </w:rPr>
        <w:t>9 600 m²</w:t>
      </w:r>
    </w:p>
    <w:p w:rsidR="00D71FD9" w:rsidRDefault="00D71FD9" w:rsidP="00D71FD9">
      <w:pPr>
        <w:ind w:left="708" w:firstLine="708"/>
      </w:pPr>
      <w:r>
        <w:t>Dohány utca (Erzsébet krt. és Rottenbiller utca között), Peterdy utca</w:t>
      </w:r>
    </w:p>
    <w:p w:rsidR="00D71FD9" w:rsidRDefault="00D71FD9" w:rsidP="00D71FD9">
      <w:pPr>
        <w:ind w:firstLine="708"/>
      </w:pPr>
      <w:r>
        <w:rPr>
          <w:b/>
          <w:bCs/>
        </w:rPr>
        <w:t xml:space="preserve">IKJ-626; YJH-456 </w:t>
      </w:r>
      <w:r>
        <w:t xml:space="preserve">– Takarítandó terület: </w:t>
      </w:r>
      <w:r>
        <w:rPr>
          <w:b/>
          <w:bCs/>
        </w:rPr>
        <w:t>10 160 m²</w:t>
      </w:r>
    </w:p>
    <w:p w:rsidR="00D71FD9" w:rsidRDefault="00D71FD9" w:rsidP="00D71FD9">
      <w:pPr>
        <w:ind w:left="708" w:firstLine="708"/>
      </w:pPr>
      <w:r>
        <w:t xml:space="preserve">Marek J. </w:t>
      </w:r>
      <w:proofErr w:type="gramStart"/>
      <w:r>
        <w:t>utca</w:t>
      </w:r>
      <w:proofErr w:type="gramEnd"/>
      <w:r>
        <w:t>, Verseny utca, Százház utca, Jobbágy utca</w:t>
      </w:r>
    </w:p>
    <w:p w:rsidR="00D71FD9" w:rsidRDefault="00D71FD9" w:rsidP="00D71FD9">
      <w:pPr>
        <w:rPr>
          <w:rFonts w:asciiTheme="minorHAnsi" w:hAnsiTheme="minorHAnsi" w:cs="Times New Roman"/>
          <w:b/>
          <w:sz w:val="24"/>
          <w:szCs w:val="24"/>
        </w:rPr>
      </w:pPr>
    </w:p>
    <w:p w:rsidR="00D71FD9" w:rsidRDefault="00D71FD9" w:rsidP="00D71FD9">
      <w:pPr>
        <w:rPr>
          <w:rFonts w:asciiTheme="minorHAnsi" w:hAnsiTheme="minorHAnsi" w:cs="Times New Roman"/>
          <w:b/>
          <w:sz w:val="24"/>
          <w:szCs w:val="24"/>
        </w:rPr>
      </w:pPr>
      <w:r>
        <w:rPr>
          <w:rFonts w:asciiTheme="minorHAnsi" w:hAnsiTheme="minorHAnsi" w:cs="Times New Roman"/>
          <w:b/>
          <w:sz w:val="24"/>
          <w:szCs w:val="24"/>
        </w:rPr>
        <w:t>2015</w:t>
      </w:r>
      <w:r w:rsidRPr="00571F2F">
        <w:rPr>
          <w:rFonts w:asciiTheme="minorHAnsi" w:hAnsiTheme="minorHAnsi" w:cs="Times New Roman"/>
          <w:b/>
          <w:sz w:val="24"/>
          <w:szCs w:val="24"/>
        </w:rPr>
        <w:t>.</w:t>
      </w:r>
      <w:r>
        <w:rPr>
          <w:rFonts w:asciiTheme="minorHAnsi" w:hAnsiTheme="minorHAnsi" w:cs="Times New Roman"/>
          <w:b/>
          <w:sz w:val="24"/>
          <w:szCs w:val="24"/>
        </w:rPr>
        <w:t xml:space="preserve"> április 18.</w:t>
      </w:r>
    </w:p>
    <w:p w:rsidR="00AB5D0D" w:rsidRDefault="00AB5D0D" w:rsidP="00D71FD9">
      <w:pPr>
        <w:rPr>
          <w:rFonts w:asciiTheme="minorHAnsi" w:hAnsiTheme="minorHAnsi" w:cs="Times New Roman"/>
          <w:b/>
          <w:sz w:val="24"/>
          <w:szCs w:val="24"/>
        </w:rPr>
      </w:pPr>
    </w:p>
    <w:p w:rsidR="00AB5D0D" w:rsidRDefault="00AB5D0D" w:rsidP="00AB5D0D">
      <w:pPr>
        <w:ind w:firstLine="708"/>
        <w:rPr>
          <w:rFonts w:eastAsiaTheme="minorHAnsi" w:cs="Times New Roman"/>
        </w:rPr>
      </w:pPr>
      <w:r>
        <w:rPr>
          <w:b/>
          <w:bCs/>
        </w:rPr>
        <w:t>LMU-286; YIV-029</w:t>
      </w:r>
      <w:r>
        <w:t xml:space="preserve"> – Takarítandó terület: </w:t>
      </w:r>
      <w:r>
        <w:rPr>
          <w:b/>
          <w:bCs/>
        </w:rPr>
        <w:t>11 840 m²</w:t>
      </w:r>
    </w:p>
    <w:p w:rsidR="00AB5D0D" w:rsidRDefault="00AB5D0D" w:rsidP="00F42F83">
      <w:pPr>
        <w:ind w:left="1416"/>
      </w:pPr>
      <w:r>
        <w:t xml:space="preserve">Wesselényi utca (Rottenbiller utca és Almássy tér között; Erzsébet krt. és Károly krt. </w:t>
      </w:r>
      <w:bookmarkStart w:id="0" w:name="_GoBack"/>
      <w:bookmarkEnd w:id="0"/>
      <w:r>
        <w:t>között), Király utca (Erzsébet krt. és Károly krt. között)</w:t>
      </w:r>
    </w:p>
    <w:p w:rsidR="00AB5D0D" w:rsidRDefault="00AB5D0D" w:rsidP="00AB5D0D">
      <w:pPr>
        <w:ind w:firstLine="708"/>
      </w:pPr>
      <w:r>
        <w:rPr>
          <w:b/>
          <w:bCs/>
        </w:rPr>
        <w:t>LVA-991; YIV-030</w:t>
      </w:r>
      <w:r>
        <w:t xml:space="preserve">– Takarítandó terület: </w:t>
      </w:r>
      <w:r>
        <w:rPr>
          <w:b/>
          <w:bCs/>
        </w:rPr>
        <w:t>13 200 m²</w:t>
      </w:r>
    </w:p>
    <w:p w:rsidR="00AB5D0D" w:rsidRDefault="00AB5D0D" w:rsidP="00AB5D0D">
      <w:pPr>
        <w:ind w:left="708" w:firstLine="708"/>
      </w:pPr>
      <w:r>
        <w:t>Dohány utca (Erzsébet krt. és Károly krt. között), Nefelejcs utca</w:t>
      </w:r>
    </w:p>
    <w:p w:rsidR="00AB5D0D" w:rsidRPr="00571F2F" w:rsidRDefault="00AB5D0D" w:rsidP="00D71FD9">
      <w:pPr>
        <w:rPr>
          <w:rFonts w:asciiTheme="minorHAnsi" w:hAnsiTheme="minorHAnsi" w:cs="Times New Roman"/>
          <w:b/>
          <w:sz w:val="24"/>
          <w:szCs w:val="24"/>
        </w:rPr>
      </w:pPr>
    </w:p>
    <w:p w:rsidR="00571F2F" w:rsidRPr="00571F2F" w:rsidRDefault="00571F2F" w:rsidP="00571F2F">
      <w:pPr>
        <w:rPr>
          <w:rFonts w:asciiTheme="minorHAnsi" w:hAnsiTheme="minorHAnsi" w:cs="Times New Roman"/>
          <w:b/>
          <w:sz w:val="24"/>
          <w:szCs w:val="24"/>
        </w:rPr>
      </w:pPr>
    </w:p>
    <w:sectPr w:rsidR="00571F2F" w:rsidRPr="00571F2F" w:rsidSect="001D77B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518" w:rsidRDefault="00B71518" w:rsidP="00AB5D0D">
      <w:r>
        <w:separator/>
      </w:r>
    </w:p>
  </w:endnote>
  <w:endnote w:type="continuationSeparator" w:id="0">
    <w:p w:rsidR="00B71518" w:rsidRDefault="00B71518" w:rsidP="00AB5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518" w:rsidRDefault="00B71518" w:rsidP="00AB5D0D">
      <w:r>
        <w:separator/>
      </w:r>
    </w:p>
  </w:footnote>
  <w:footnote w:type="continuationSeparator" w:id="0">
    <w:p w:rsidR="00B71518" w:rsidRDefault="00B71518" w:rsidP="00AB5D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D0D" w:rsidRPr="007D5F39" w:rsidRDefault="00AB5D0D" w:rsidP="00AB5D0D">
    <w:pPr>
      <w:pStyle w:val="lfej"/>
      <w:jc w:val="center"/>
    </w:pPr>
    <w:r>
      <w:rPr>
        <w:noProof/>
      </w:rPr>
      <w:drawing>
        <wp:inline distT="0" distB="0" distL="0" distR="0" wp14:anchorId="5516A9C1" wp14:editId="617B38AA">
          <wp:extent cx="2076449" cy="1104900"/>
          <wp:effectExtent l="19050" t="0" r="1" b="0"/>
          <wp:docPr id="2" name="Kép 1" descr="ERVA_LOGO2013_12_1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RVA_LOGO2013_12_11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081578" cy="11076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B5D0D" w:rsidRPr="00384367" w:rsidRDefault="00AB5D0D" w:rsidP="00AB5D0D">
    <w:pPr>
      <w:pStyle w:val="lfej"/>
      <w:jc w:val="center"/>
    </w:pPr>
    <w:r>
      <w:t xml:space="preserve">ERVA </w:t>
    </w:r>
    <w:r w:rsidRPr="00384367">
      <w:t xml:space="preserve">Erzsébetvárosi Önkormányzati Vagyonkezelő </w:t>
    </w:r>
    <w:r>
      <w:t xml:space="preserve">Nonprofit </w:t>
    </w:r>
    <w:r w:rsidRPr="00384367">
      <w:t>Zártkörűen Működő</w:t>
    </w:r>
    <w:r w:rsidRPr="00384367">
      <w:rPr>
        <w:b/>
      </w:rPr>
      <w:t xml:space="preserve"> </w:t>
    </w:r>
    <w:r w:rsidRPr="00384367">
      <w:t>Részvénytársaság</w:t>
    </w:r>
  </w:p>
  <w:p w:rsidR="00AB5D0D" w:rsidRPr="00384367" w:rsidRDefault="00AB5D0D" w:rsidP="00AB5D0D">
    <w:pPr>
      <w:pStyle w:val="lfej"/>
      <w:jc w:val="center"/>
    </w:pPr>
    <w:r w:rsidRPr="00384367">
      <w:t>1071 Budapest, Damjanich u. 12.  Tel</w:t>
    </w:r>
    <w:proofErr w:type="gramStart"/>
    <w:r w:rsidRPr="00384367">
      <w:t>.:</w:t>
    </w:r>
    <w:proofErr w:type="gramEnd"/>
    <w:r w:rsidRPr="00384367">
      <w:t xml:space="preserve"> 352-8654, 352-8655 Fax: 352-8679 </w:t>
    </w:r>
  </w:p>
  <w:p w:rsidR="00AB5D0D" w:rsidRDefault="00AB5D0D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95C1C"/>
    <w:multiLevelType w:val="hybridMultilevel"/>
    <w:tmpl w:val="B88ED48A"/>
    <w:lvl w:ilvl="0" w:tplc="B6EADD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2B09C6"/>
    <w:multiLevelType w:val="hybridMultilevel"/>
    <w:tmpl w:val="4D204490"/>
    <w:lvl w:ilvl="0" w:tplc="5210B2AE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D7626BD"/>
    <w:multiLevelType w:val="hybridMultilevel"/>
    <w:tmpl w:val="380200B6"/>
    <w:lvl w:ilvl="0" w:tplc="32D0B5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EB0C67"/>
    <w:multiLevelType w:val="hybridMultilevel"/>
    <w:tmpl w:val="16E4A4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002087"/>
    <w:multiLevelType w:val="hybridMultilevel"/>
    <w:tmpl w:val="9FE0D2DA"/>
    <w:lvl w:ilvl="0" w:tplc="FFCE10E0">
      <w:start w:val="2015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B75721"/>
    <w:multiLevelType w:val="hybridMultilevel"/>
    <w:tmpl w:val="E71E18FE"/>
    <w:lvl w:ilvl="0" w:tplc="790094CC">
      <w:start w:val="1"/>
      <w:numFmt w:val="upperRoman"/>
      <w:lvlText w:val="%1."/>
      <w:lvlJc w:val="left"/>
      <w:pPr>
        <w:ind w:left="2148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08" w:hanging="360"/>
      </w:pPr>
    </w:lvl>
    <w:lvl w:ilvl="2" w:tplc="040E001B" w:tentative="1">
      <w:start w:val="1"/>
      <w:numFmt w:val="lowerRoman"/>
      <w:lvlText w:val="%3."/>
      <w:lvlJc w:val="right"/>
      <w:pPr>
        <w:ind w:left="3228" w:hanging="180"/>
      </w:pPr>
    </w:lvl>
    <w:lvl w:ilvl="3" w:tplc="040E000F" w:tentative="1">
      <w:start w:val="1"/>
      <w:numFmt w:val="decimal"/>
      <w:lvlText w:val="%4."/>
      <w:lvlJc w:val="left"/>
      <w:pPr>
        <w:ind w:left="3948" w:hanging="360"/>
      </w:pPr>
    </w:lvl>
    <w:lvl w:ilvl="4" w:tplc="040E0019" w:tentative="1">
      <w:start w:val="1"/>
      <w:numFmt w:val="lowerLetter"/>
      <w:lvlText w:val="%5."/>
      <w:lvlJc w:val="left"/>
      <w:pPr>
        <w:ind w:left="4668" w:hanging="360"/>
      </w:pPr>
    </w:lvl>
    <w:lvl w:ilvl="5" w:tplc="040E001B" w:tentative="1">
      <w:start w:val="1"/>
      <w:numFmt w:val="lowerRoman"/>
      <w:lvlText w:val="%6."/>
      <w:lvlJc w:val="right"/>
      <w:pPr>
        <w:ind w:left="5388" w:hanging="180"/>
      </w:pPr>
    </w:lvl>
    <w:lvl w:ilvl="6" w:tplc="040E000F" w:tentative="1">
      <w:start w:val="1"/>
      <w:numFmt w:val="decimal"/>
      <w:lvlText w:val="%7."/>
      <w:lvlJc w:val="left"/>
      <w:pPr>
        <w:ind w:left="6108" w:hanging="360"/>
      </w:pPr>
    </w:lvl>
    <w:lvl w:ilvl="7" w:tplc="040E0019" w:tentative="1">
      <w:start w:val="1"/>
      <w:numFmt w:val="lowerLetter"/>
      <w:lvlText w:val="%8."/>
      <w:lvlJc w:val="left"/>
      <w:pPr>
        <w:ind w:left="6828" w:hanging="360"/>
      </w:pPr>
    </w:lvl>
    <w:lvl w:ilvl="8" w:tplc="040E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6">
    <w:nsid w:val="6B2D767C"/>
    <w:multiLevelType w:val="hybridMultilevel"/>
    <w:tmpl w:val="83C80E54"/>
    <w:lvl w:ilvl="0" w:tplc="AA80649E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6A1"/>
    <w:rsid w:val="00072897"/>
    <w:rsid w:val="000C1031"/>
    <w:rsid w:val="00127773"/>
    <w:rsid w:val="00142ECE"/>
    <w:rsid w:val="001D77B9"/>
    <w:rsid w:val="00571F2F"/>
    <w:rsid w:val="006506A1"/>
    <w:rsid w:val="006F016F"/>
    <w:rsid w:val="00731062"/>
    <w:rsid w:val="00834B8D"/>
    <w:rsid w:val="009C4293"/>
    <w:rsid w:val="00AA4FE3"/>
    <w:rsid w:val="00AA74DE"/>
    <w:rsid w:val="00AB5D0D"/>
    <w:rsid w:val="00B022DF"/>
    <w:rsid w:val="00B71518"/>
    <w:rsid w:val="00C21840"/>
    <w:rsid w:val="00CA1231"/>
    <w:rsid w:val="00CC149E"/>
    <w:rsid w:val="00CC1C25"/>
    <w:rsid w:val="00CF727E"/>
    <w:rsid w:val="00D71FD9"/>
    <w:rsid w:val="00E325EF"/>
    <w:rsid w:val="00EA704A"/>
    <w:rsid w:val="00F42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506A1"/>
    <w:pPr>
      <w:spacing w:after="0" w:line="240" w:lineRule="auto"/>
    </w:pPr>
    <w:rPr>
      <w:rFonts w:ascii="Calibri" w:eastAsia="Calibri" w:hAnsi="Calibri" w:cs="Calibri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506A1"/>
    <w:pPr>
      <w:ind w:left="720"/>
      <w:contextualSpacing/>
    </w:pPr>
  </w:style>
  <w:style w:type="paragraph" w:styleId="lfej">
    <w:name w:val="header"/>
    <w:basedOn w:val="Norml"/>
    <w:link w:val="lfejChar"/>
    <w:unhideWhenUsed/>
    <w:rsid w:val="00AB5D0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AB5D0D"/>
    <w:rPr>
      <w:rFonts w:ascii="Calibri" w:eastAsia="Calibri" w:hAnsi="Calibri" w:cs="Calibri"/>
      <w:lang w:eastAsia="hu-HU"/>
    </w:rPr>
  </w:style>
  <w:style w:type="paragraph" w:styleId="llb">
    <w:name w:val="footer"/>
    <w:basedOn w:val="Norml"/>
    <w:link w:val="llbChar"/>
    <w:uiPriority w:val="99"/>
    <w:unhideWhenUsed/>
    <w:rsid w:val="00AB5D0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B5D0D"/>
    <w:rPr>
      <w:rFonts w:ascii="Calibri" w:eastAsia="Calibri" w:hAnsi="Calibri" w:cs="Calibri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022D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022DF"/>
    <w:rPr>
      <w:rFonts w:ascii="Tahoma" w:eastAsia="Calibri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506A1"/>
    <w:pPr>
      <w:spacing w:after="0" w:line="240" w:lineRule="auto"/>
    </w:pPr>
    <w:rPr>
      <w:rFonts w:ascii="Calibri" w:eastAsia="Calibri" w:hAnsi="Calibri" w:cs="Calibri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506A1"/>
    <w:pPr>
      <w:ind w:left="720"/>
      <w:contextualSpacing/>
    </w:pPr>
  </w:style>
  <w:style w:type="paragraph" w:styleId="lfej">
    <w:name w:val="header"/>
    <w:basedOn w:val="Norml"/>
    <w:link w:val="lfejChar"/>
    <w:unhideWhenUsed/>
    <w:rsid w:val="00AB5D0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AB5D0D"/>
    <w:rPr>
      <w:rFonts w:ascii="Calibri" w:eastAsia="Calibri" w:hAnsi="Calibri" w:cs="Calibri"/>
      <w:lang w:eastAsia="hu-HU"/>
    </w:rPr>
  </w:style>
  <w:style w:type="paragraph" w:styleId="llb">
    <w:name w:val="footer"/>
    <w:basedOn w:val="Norml"/>
    <w:link w:val="llbChar"/>
    <w:uiPriority w:val="99"/>
    <w:unhideWhenUsed/>
    <w:rsid w:val="00AB5D0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B5D0D"/>
    <w:rPr>
      <w:rFonts w:ascii="Calibri" w:eastAsia="Calibri" w:hAnsi="Calibri" w:cs="Calibri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022D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022DF"/>
    <w:rPr>
      <w:rFonts w:ascii="Tahoma" w:eastAsia="Calibri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6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610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ERVA Zrt.</Company>
  <LinksUpToDate>false</LinksUpToDate>
  <CharactersWithSpaces>4817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Bakró-Nagy Zsolt</dc:creator>
  <cp:lastModifiedBy>Baki Zsuzsanna</cp:lastModifiedBy>
  <cp:revision>5</cp:revision>
  <cp:lastPrinted>2014-11-19T13:16:00Z</cp:lastPrinted>
  <dcterms:created xsi:type="dcterms:W3CDTF">2015-04-30T07:18:00Z</dcterms:created>
  <dcterms:modified xsi:type="dcterms:W3CDTF">2015-05-04T08:19:00Z</dcterms:modified>
</cp:coreProperties>
</file>