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82" w:rsidRPr="00DF076E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204C82" w:rsidRPr="00C1653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16538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1073.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>
        <w:rPr>
          <w:rFonts w:ascii="Times New Roman" w:hAnsi="Times New Roman"/>
          <w:noProof/>
          <w:sz w:val="24"/>
          <w:szCs w:val="24"/>
        </w:rPr>
        <w:t>Vattamány Zsolt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Önkormányzat, 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</w:p>
    <w:p w:rsidR="00204C82" w:rsidRPr="00C10C42" w:rsidRDefault="00292DE0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</w:t>
      </w:r>
      <w:r w:rsidR="00363CB7">
        <w:rPr>
          <w:rFonts w:ascii="Times New Roman" w:hAnsi="Times New Roman"/>
          <w:b/>
          <w:noProof/>
          <w:sz w:val="24"/>
          <w:szCs w:val="24"/>
        </w:rPr>
        <w:t xml:space="preserve"> sz. Társasház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képviselője: </w:t>
      </w:r>
      <w:r w:rsidR="00292DE0">
        <w:rPr>
          <w:rFonts w:ascii="Times New Roman" w:hAnsi="Times New Roman"/>
          <w:noProof/>
          <w:sz w:val="24"/>
          <w:szCs w:val="24"/>
        </w:rPr>
        <w:t>…………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postacíme: </w:t>
      </w:r>
      <w:r w:rsidR="00292DE0">
        <w:rPr>
          <w:rFonts w:ascii="Times New Roman" w:hAnsi="Times New Roman"/>
          <w:noProof/>
          <w:sz w:val="24"/>
          <w:szCs w:val="24"/>
        </w:rPr>
        <w:t>…………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bankszámlaszáma: </w:t>
      </w:r>
      <w:r w:rsidR="00292DE0">
        <w:rPr>
          <w:rFonts w:ascii="Times New Roman" w:hAnsi="Times New Roman"/>
          <w:noProof/>
          <w:sz w:val="24"/>
          <w:szCs w:val="24"/>
        </w:rPr>
        <w:t>…………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adószáma: </w:t>
      </w:r>
      <w:r w:rsidR="00292DE0">
        <w:rPr>
          <w:rFonts w:ascii="Times New Roman" w:hAnsi="Times New Roman"/>
          <w:noProof/>
          <w:sz w:val="24"/>
          <w:szCs w:val="24"/>
        </w:rPr>
        <w:t>………..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Nyertes pályázó 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EA7E91" w:rsidRDefault="00204C82" w:rsidP="00EA7E91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04C82" w:rsidRPr="004C72E8" w:rsidRDefault="00292DE0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</w:t>
      </w:r>
      <w:r w:rsidR="00363CB7">
        <w:rPr>
          <w:rFonts w:ascii="Times New Roman" w:hAnsi="Times New Roman"/>
          <w:noProof/>
          <w:sz w:val="24"/>
          <w:szCs w:val="24"/>
        </w:rPr>
        <w:t>sz. Társasház</w:t>
      </w:r>
      <w:r w:rsidR="00204C82" w:rsidRPr="004C72E8">
        <w:rPr>
          <w:rFonts w:ascii="Times New Roman" w:hAnsi="Times New Roman"/>
          <w:noProof/>
          <w:sz w:val="24"/>
          <w:szCs w:val="24"/>
        </w:rPr>
        <w:t xml:space="preserve"> a 20</w:t>
      </w:r>
      <w:r w:rsidR="00204C82">
        <w:rPr>
          <w:rFonts w:ascii="Times New Roman" w:hAnsi="Times New Roman"/>
          <w:noProof/>
          <w:sz w:val="24"/>
          <w:szCs w:val="24"/>
        </w:rPr>
        <w:t>1</w:t>
      </w:r>
      <w:r w:rsidR="001A155F">
        <w:rPr>
          <w:rFonts w:ascii="Times New Roman" w:hAnsi="Times New Roman"/>
          <w:noProof/>
          <w:sz w:val="24"/>
          <w:szCs w:val="24"/>
        </w:rPr>
        <w:t>6</w:t>
      </w:r>
      <w:r w:rsidR="00204C82">
        <w:rPr>
          <w:rFonts w:ascii="Times New Roman" w:hAnsi="Times New Roman"/>
          <w:noProof/>
          <w:sz w:val="24"/>
          <w:szCs w:val="24"/>
        </w:rPr>
        <w:t xml:space="preserve">. </w:t>
      </w:r>
      <w:r w:rsidR="00204C82" w:rsidRPr="004C72E8">
        <w:rPr>
          <w:rFonts w:ascii="Times New Roman" w:hAnsi="Times New Roman"/>
          <w:noProof/>
          <w:sz w:val="24"/>
          <w:szCs w:val="24"/>
        </w:rPr>
        <w:t xml:space="preserve">évi </w:t>
      </w:r>
      <w:r w:rsidR="00204C82">
        <w:rPr>
          <w:rFonts w:ascii="Times New Roman" w:hAnsi="Times New Roman"/>
          <w:noProof/>
          <w:sz w:val="24"/>
          <w:szCs w:val="24"/>
        </w:rPr>
        <w:t>növényesítési</w:t>
      </w:r>
      <w:r w:rsidR="00204C82" w:rsidRPr="004C72E8">
        <w:rPr>
          <w:rFonts w:ascii="Times New Roman" w:hAnsi="Times New Roman"/>
          <w:noProof/>
          <w:sz w:val="24"/>
          <w:szCs w:val="24"/>
        </w:rPr>
        <w:t xml:space="preserve"> pályázaton a </w:t>
      </w:r>
      <w:r w:rsidR="00204C82">
        <w:rPr>
          <w:rFonts w:ascii="Times New Roman" w:hAnsi="Times New Roman"/>
          <w:noProof/>
          <w:sz w:val="24"/>
          <w:szCs w:val="24"/>
        </w:rPr>
        <w:t>Városüzemeltetési Bizotts</w:t>
      </w:r>
      <w:r w:rsidR="00204C82" w:rsidRPr="004C72E8">
        <w:rPr>
          <w:rFonts w:ascii="Times New Roman" w:hAnsi="Times New Roman"/>
          <w:noProof/>
          <w:sz w:val="24"/>
          <w:szCs w:val="24"/>
        </w:rPr>
        <w:t xml:space="preserve">ág </w:t>
      </w:r>
      <w:r w:rsidR="001A155F">
        <w:rPr>
          <w:rFonts w:ascii="Times New Roman" w:hAnsi="Times New Roman"/>
          <w:noProof/>
          <w:sz w:val="24"/>
          <w:szCs w:val="24"/>
        </w:rPr>
        <w:t>…..</w:t>
      </w:r>
      <w:r w:rsidR="00363CB7">
        <w:rPr>
          <w:rFonts w:ascii="Times New Roman" w:hAnsi="Times New Roman"/>
          <w:noProof/>
          <w:sz w:val="24"/>
          <w:szCs w:val="24"/>
        </w:rPr>
        <w:t>/</w:t>
      </w:r>
      <w:r w:rsidR="00204C82" w:rsidRPr="004C72E8">
        <w:rPr>
          <w:rFonts w:ascii="Times New Roman" w:hAnsi="Times New Roman"/>
          <w:noProof/>
          <w:sz w:val="24"/>
          <w:szCs w:val="24"/>
        </w:rPr>
        <w:t>20</w:t>
      </w:r>
      <w:r w:rsidR="00204C82">
        <w:rPr>
          <w:rFonts w:ascii="Times New Roman" w:hAnsi="Times New Roman"/>
          <w:noProof/>
          <w:sz w:val="24"/>
          <w:szCs w:val="24"/>
        </w:rPr>
        <w:t>1</w:t>
      </w:r>
      <w:r w:rsidR="001A155F">
        <w:rPr>
          <w:rFonts w:ascii="Times New Roman" w:hAnsi="Times New Roman"/>
          <w:noProof/>
          <w:sz w:val="24"/>
          <w:szCs w:val="24"/>
        </w:rPr>
        <w:t>6</w:t>
      </w:r>
      <w:r w:rsidR="00204C82">
        <w:rPr>
          <w:rFonts w:ascii="Times New Roman" w:hAnsi="Times New Roman"/>
          <w:noProof/>
          <w:sz w:val="24"/>
          <w:szCs w:val="24"/>
        </w:rPr>
        <w:t>.</w:t>
      </w:r>
      <w:r w:rsidR="00204C82" w:rsidRPr="004C72E8">
        <w:rPr>
          <w:rFonts w:ascii="Times New Roman" w:hAnsi="Times New Roman"/>
          <w:noProof/>
          <w:sz w:val="24"/>
          <w:szCs w:val="24"/>
        </w:rPr>
        <w:t xml:space="preserve"> (</w:t>
      </w:r>
      <w:r w:rsidR="001A155F">
        <w:rPr>
          <w:rFonts w:ascii="Times New Roman" w:hAnsi="Times New Roman"/>
          <w:noProof/>
          <w:sz w:val="24"/>
          <w:szCs w:val="24"/>
        </w:rPr>
        <w:t>……..</w:t>
      </w:r>
      <w:r w:rsidR="00204C82">
        <w:rPr>
          <w:rFonts w:ascii="Times New Roman" w:hAnsi="Times New Roman"/>
          <w:noProof/>
          <w:sz w:val="24"/>
          <w:szCs w:val="24"/>
        </w:rPr>
        <w:t>)</w:t>
      </w:r>
      <w:r w:rsidR="00204C82" w:rsidRPr="004C72E8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 w:rsidR="00204C8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</w:t>
      </w:r>
      <w:r w:rsidR="00204C82" w:rsidRPr="000416BC">
        <w:rPr>
          <w:rFonts w:ascii="Times New Roman" w:hAnsi="Times New Roman"/>
          <w:b/>
          <w:noProof/>
          <w:sz w:val="24"/>
          <w:szCs w:val="24"/>
        </w:rPr>
        <w:t xml:space="preserve">,- </w:t>
      </w:r>
      <w:r w:rsidR="00204C82" w:rsidRPr="00C10C42">
        <w:rPr>
          <w:rFonts w:ascii="Times New Roman" w:hAnsi="Times New Roman"/>
          <w:b/>
          <w:noProof/>
          <w:sz w:val="24"/>
          <w:szCs w:val="24"/>
        </w:rPr>
        <w:t>Ft</w:t>
      </w:r>
      <w:r w:rsidR="00204C82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="00204C82">
        <w:rPr>
          <w:rFonts w:ascii="Times New Roman" w:hAnsi="Times New Roman"/>
          <w:noProof/>
          <w:sz w:val="24"/>
          <w:szCs w:val="24"/>
        </w:rPr>
        <w:t>v</w:t>
      </w:r>
      <w:r w:rsidR="00204C82" w:rsidRPr="004C72E8">
        <w:rPr>
          <w:rFonts w:ascii="Times New Roman" w:hAnsi="Times New Roman"/>
          <w:noProof/>
          <w:sz w:val="24"/>
          <w:szCs w:val="24"/>
        </w:rPr>
        <w:t>issza nem térítendő támogatáshoz jutott.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elnyert támogatás csak a pályázatban megjelölt munkák</w:t>
      </w:r>
      <w:r>
        <w:rPr>
          <w:rFonts w:ascii="Times New Roman" w:hAnsi="Times New Roman"/>
          <w:noProof/>
          <w:sz w:val="24"/>
          <w:szCs w:val="24"/>
        </w:rPr>
        <w:t xml:space="preserve"> /</w:t>
      </w:r>
      <w:r w:rsidR="00292DE0">
        <w:rPr>
          <w:rFonts w:ascii="Times New Roman" w:hAnsi="Times New Roman"/>
          <w:noProof/>
          <w:sz w:val="24"/>
          <w:szCs w:val="24"/>
        </w:rPr>
        <w:t>……………</w:t>
      </w:r>
      <w:r>
        <w:rPr>
          <w:rFonts w:ascii="Times New Roman" w:hAnsi="Times New Roman"/>
          <w:noProof/>
          <w:sz w:val="24"/>
          <w:szCs w:val="24"/>
        </w:rPr>
        <w:t xml:space="preserve">/ </w:t>
      </w:r>
      <w:r w:rsidRPr="004C72E8">
        <w:rPr>
          <w:rFonts w:ascii="Times New Roman" w:hAnsi="Times New Roman"/>
          <w:noProof/>
          <w:sz w:val="24"/>
          <w:szCs w:val="24"/>
        </w:rPr>
        <w:t xml:space="preserve">elvégzésére használható fel, a megállapodás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 </w:t>
      </w:r>
      <w:r w:rsidRPr="004C72E8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4C72E8">
        <w:rPr>
          <w:rFonts w:ascii="Times New Roman" w:hAnsi="Times New Roman"/>
          <w:noProof/>
          <w:sz w:val="24"/>
          <w:szCs w:val="24"/>
        </w:rPr>
        <w:t xml:space="preserve"> szerint.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EA7E91" w:rsidRDefault="00204C82" w:rsidP="00EA7E91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72E8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EA7E91" w:rsidRDefault="00204C82" w:rsidP="00EA7E91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Az Önkormányzat az elnyert pályázat alapján </w:t>
      </w:r>
      <w:r w:rsidR="00292DE0">
        <w:rPr>
          <w:rFonts w:ascii="Times New Roman" w:hAnsi="Times New Roman"/>
          <w:noProof/>
          <w:sz w:val="24"/>
          <w:szCs w:val="24"/>
        </w:rPr>
        <w:t>……..…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 xml:space="preserve"> Ft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 w:rsidR="00292DE0">
        <w:rPr>
          <w:rFonts w:ascii="Times New Roman" w:hAnsi="Times New Roman"/>
          <w:noProof/>
          <w:sz w:val="24"/>
          <w:szCs w:val="24"/>
        </w:rPr>
        <w:t>…………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támogatást biztosít a Nyertes pályázó számára.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a támogatás összegét kizárólag az I. pontban meghatározott munkák elvégzésére fordíthatja. A kivitelezési összeg kizárólag a Nyertes pályázó saját pénzügyi keretének terhére léphető túl.</w:t>
      </w: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vissza nem térítendő támogatás az </w:t>
      </w:r>
      <w:r w:rsidR="00D054B5">
        <w:rPr>
          <w:rFonts w:ascii="Times New Roman" w:hAnsi="Times New Roman"/>
          <w:noProof/>
          <w:sz w:val="24"/>
          <w:szCs w:val="24"/>
        </w:rPr>
        <w:t xml:space="preserve">elszámolás benyújtását követő </w:t>
      </w:r>
      <w:r w:rsidR="00772D78">
        <w:rPr>
          <w:rFonts w:ascii="Times New Roman" w:hAnsi="Times New Roman"/>
          <w:noProof/>
          <w:sz w:val="24"/>
          <w:szCs w:val="24"/>
        </w:rPr>
        <w:t>60</w:t>
      </w:r>
      <w:r w:rsidRPr="004C72E8">
        <w:rPr>
          <w:rFonts w:ascii="Times New Roman" w:hAnsi="Times New Roman"/>
          <w:noProof/>
          <w:sz w:val="24"/>
          <w:szCs w:val="24"/>
        </w:rPr>
        <w:t xml:space="preserve"> napon belül kerül átutalásra.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EA7E91" w:rsidRDefault="00204C82" w:rsidP="00EA7E91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204C82" w:rsidRPr="004C72E8" w:rsidRDefault="00204C82" w:rsidP="00542EB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204C82" w:rsidRDefault="00204C82" w:rsidP="00542EB9">
      <w:pPr>
        <w:widowControl w:val="0"/>
        <w:numPr>
          <w:ilvl w:val="0"/>
          <w:numId w:val="2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Az Önkormányzat jogosult a szerződés azonnali hatályú felmondására ha </w:t>
      </w:r>
      <w:r w:rsidRPr="0035008E">
        <w:rPr>
          <w:rFonts w:ascii="Times New Roman" w:hAnsi="Times New Roman"/>
          <w:noProof/>
          <w:sz w:val="24"/>
          <w:szCs w:val="24"/>
        </w:rPr>
        <w:t>Nyertes pályázó megszegi a megállapodásban foglaltakat.</w:t>
      </w:r>
    </w:p>
    <w:p w:rsidR="00037FDE" w:rsidRPr="00350307" w:rsidRDefault="00037FDE" w:rsidP="00037FDE">
      <w:pPr>
        <w:widowControl w:val="0"/>
        <w:numPr>
          <w:ilvl w:val="0"/>
          <w:numId w:val="2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307">
        <w:rPr>
          <w:rFonts w:ascii="Times New Roman" w:hAnsi="Times New Roman"/>
          <w:sz w:val="24"/>
          <w:szCs w:val="24"/>
        </w:rPr>
        <w:t>Az elszámolás az eredeti számlák bemutatásával, s</w:t>
      </w:r>
      <w:r w:rsidR="00F1416E">
        <w:rPr>
          <w:rFonts w:ascii="Times New Roman" w:hAnsi="Times New Roman"/>
          <w:sz w:val="24"/>
          <w:szCs w:val="24"/>
        </w:rPr>
        <w:t>zámlamásolatok és a növényesítés</w:t>
      </w:r>
      <w:r w:rsidRPr="00350307">
        <w:rPr>
          <w:rFonts w:ascii="Times New Roman" w:hAnsi="Times New Roman"/>
          <w:sz w:val="24"/>
          <w:szCs w:val="24"/>
        </w:rPr>
        <w:t xml:space="preserve"> készre jelentése benyújtásával történik.</w:t>
      </w:r>
    </w:p>
    <w:p w:rsidR="00BB0B7B" w:rsidRPr="00BB0B7B" w:rsidRDefault="000348F1" w:rsidP="00BB0B7B">
      <w:pPr>
        <w:widowControl w:val="0"/>
        <w:numPr>
          <w:ilvl w:val="0"/>
          <w:numId w:val="2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0B7B">
        <w:rPr>
          <w:rFonts w:ascii="Times New Roman" w:hAnsi="Times New Roman"/>
          <w:noProof/>
          <w:sz w:val="24"/>
          <w:szCs w:val="24"/>
        </w:rPr>
        <w:t xml:space="preserve">Az Önkormányzat által elfogadott számlák ellenértéke támogatási aránynak </w:t>
      </w:r>
      <w:r w:rsidRPr="00BB0B7B">
        <w:rPr>
          <w:rFonts w:ascii="Times New Roman" w:hAnsi="Times New Roman"/>
          <w:noProof/>
          <w:sz w:val="24"/>
          <w:szCs w:val="24"/>
        </w:rPr>
        <w:lastRenderedPageBreak/>
        <w:t>megfelelő részét a jóváhagyott támogatás értékéig az Önkormányzat 60 napon belül átutalja a lakóközösség, illetve az önkormányzati intézmény számára</w:t>
      </w:r>
      <w:r w:rsidR="00BB0B7B" w:rsidRPr="00BB0B7B">
        <w:rPr>
          <w:rFonts w:ascii="Times New Roman" w:hAnsi="Times New Roman"/>
          <w:noProof/>
          <w:sz w:val="24"/>
          <w:szCs w:val="24"/>
        </w:rPr>
        <w:t xml:space="preserve">. Ha a benyújtott és jóváhagyott számlák összege kevesebb mint a támogatás és az önrész összege, támogatás összege is arányosan csökken. </w:t>
      </w:r>
    </w:p>
    <w:p w:rsidR="00204C82" w:rsidRPr="00BB0B7B" w:rsidRDefault="00204C82" w:rsidP="00542EB9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B7B">
        <w:rPr>
          <w:rFonts w:ascii="Times New Roman" w:hAnsi="Times New Roman"/>
          <w:noProof/>
          <w:sz w:val="24"/>
          <w:szCs w:val="24"/>
        </w:rPr>
        <w:t xml:space="preserve">A Nyertes pályázó tudomásul veszi, hogy szerződésszegése esetén – ezen szerződésben foglaltak nem teljesítése </w:t>
      </w:r>
      <w:r w:rsidR="00292DE0" w:rsidRPr="00BB0B7B">
        <w:rPr>
          <w:rFonts w:ascii="Times New Roman" w:hAnsi="Times New Roman"/>
          <w:noProof/>
          <w:sz w:val="24"/>
          <w:szCs w:val="24"/>
        </w:rPr>
        <w:t>–</w:t>
      </w:r>
      <w:r w:rsidRPr="00BB0B7B">
        <w:rPr>
          <w:rFonts w:ascii="Times New Roman" w:hAnsi="Times New Roman"/>
          <w:noProof/>
          <w:sz w:val="24"/>
          <w:szCs w:val="24"/>
        </w:rPr>
        <w:t xml:space="preserve"> legfeljebb két évre kizárható az Önkormányzat által biztosított támogatási lehetőségekből.</w:t>
      </w:r>
    </w:p>
    <w:p w:rsidR="00204C82" w:rsidRPr="004C72E8" w:rsidRDefault="00204C82" w:rsidP="00542EB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jelen megállapodás aláírásával tudomásul veszi, hogy</w:t>
      </w:r>
    </w:p>
    <w:p w:rsidR="00204C82" w:rsidRPr="004C72E8" w:rsidRDefault="00204C82" w:rsidP="00542E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megállapodást és a támogatás felhasználása során keletkező további megállapodásokat;</w:t>
      </w:r>
    </w:p>
    <w:p w:rsidR="00774EF7" w:rsidRPr="00637587" w:rsidRDefault="00774EF7" w:rsidP="00774EF7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587"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 w:rsidRPr="00637587"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 w:rsidRPr="00637587">
        <w:rPr>
          <w:rFonts w:ascii="Times New Roman" w:hAnsi="Times New Roman"/>
          <w:sz w:val="24"/>
          <w:szCs w:val="24"/>
        </w:rPr>
        <w:t xml:space="preserve"> fakadó kötelezettségének eleget téve jelen megállapodás közérdekű adatainak (támogatás célja, összege, stb.) nyilvánossága a Közpénzportálon (</w:t>
      </w:r>
      <w:hyperlink r:id="rId8" w:history="1">
        <w:r w:rsidRPr="00637587">
          <w:rPr>
            <w:rStyle w:val="Hiperhivatkozs"/>
            <w:rFonts w:ascii="Times New Roman" w:hAnsi="Times New Roman"/>
            <w:color w:val="auto"/>
            <w:sz w:val="24"/>
            <w:szCs w:val="24"/>
          </w:rPr>
          <w:t>www.kozpenzpalyazat.gov.hu</w:t>
        </w:r>
      </w:hyperlink>
      <w:r w:rsidRPr="00637587">
        <w:rPr>
          <w:rFonts w:ascii="Times New Roman" w:hAnsi="Times New Roman"/>
          <w:sz w:val="24"/>
          <w:szCs w:val="24"/>
        </w:rPr>
        <w:t>) történő közzététellel valósul meg.</w:t>
      </w:r>
    </w:p>
    <w:p w:rsidR="00204C82" w:rsidRPr="004C72E8" w:rsidRDefault="00204C82" w:rsidP="00542EB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204C82" w:rsidRPr="004C72E8" w:rsidRDefault="00204C82" w:rsidP="00542E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204C82" w:rsidRPr="004C72E8" w:rsidRDefault="00204C82" w:rsidP="00542E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204C82" w:rsidRDefault="00204C82" w:rsidP="00542E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204C82" w:rsidRDefault="00204C82" w:rsidP="00542E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204C82" w:rsidRDefault="00204C82" w:rsidP="00542E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hozzájárul, hogy a magyar Államkincstár által működtetett monitoring rendszerben nyilvántartott adataihoz a költségvetési támogatás utalványozója, folyósítója valamint a 368/2011. (XII.31.) sz,. Korm. rendeletben m</w:t>
      </w:r>
      <w:r w:rsidR="003F18E6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ghatározott más jogosultak hozzáférjenek;</w:t>
      </w:r>
    </w:p>
    <w:p w:rsidR="00204C82" w:rsidRPr="00715E9F" w:rsidRDefault="00204C82" w:rsidP="00715E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15E9F">
        <w:rPr>
          <w:rFonts w:ascii="Times New Roman" w:hAnsi="Times New Roman"/>
          <w:noProof/>
          <w:sz w:val="24"/>
          <w:szCs w:val="24"/>
        </w:rPr>
        <w:t>megfelel az Áht. 50. § (1)-ben m</w:t>
      </w:r>
      <w:r w:rsidR="00FA366C">
        <w:rPr>
          <w:rFonts w:ascii="Times New Roman" w:hAnsi="Times New Roman"/>
          <w:noProof/>
          <w:sz w:val="24"/>
          <w:szCs w:val="24"/>
        </w:rPr>
        <w:t>e</w:t>
      </w:r>
      <w:r w:rsidRPr="00715E9F">
        <w:rPr>
          <w:rFonts w:ascii="Times New Roman" w:hAnsi="Times New Roman"/>
          <w:noProof/>
          <w:sz w:val="24"/>
          <w:szCs w:val="24"/>
        </w:rPr>
        <w:t>gha</w:t>
      </w:r>
      <w:r w:rsidR="009B2EEC">
        <w:rPr>
          <w:rFonts w:ascii="Times New Roman" w:hAnsi="Times New Roman"/>
          <w:noProof/>
          <w:sz w:val="24"/>
          <w:szCs w:val="24"/>
        </w:rPr>
        <w:t>tározott követelményeknek;</w:t>
      </w:r>
    </w:p>
    <w:p w:rsidR="00204C82" w:rsidRPr="00715E9F" w:rsidRDefault="00204C82" w:rsidP="00715E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15E9F"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204C82" w:rsidRPr="00715E9F" w:rsidRDefault="00204C82" w:rsidP="00715E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15E9F"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9A4D46" w:rsidRDefault="00204C82" w:rsidP="00D932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D93209">
        <w:rPr>
          <w:rFonts w:ascii="Times New Roman" w:hAnsi="Times New Roman"/>
          <w:noProof/>
          <w:sz w:val="24"/>
          <w:szCs w:val="24"/>
        </w:rPr>
        <w:t>amennyiben a támogatás felhasználás</w:t>
      </w:r>
      <w:r w:rsidR="004F0B0B">
        <w:rPr>
          <w:rFonts w:ascii="Times New Roman" w:hAnsi="Times New Roman"/>
          <w:noProof/>
          <w:sz w:val="24"/>
          <w:szCs w:val="24"/>
        </w:rPr>
        <w:t>a a közbeszerzésekről szóló 2015</w:t>
      </w:r>
      <w:r w:rsidRPr="00D93209">
        <w:rPr>
          <w:rFonts w:ascii="Times New Roman" w:hAnsi="Times New Roman"/>
          <w:noProof/>
          <w:sz w:val="24"/>
          <w:szCs w:val="24"/>
        </w:rPr>
        <w:t>. évi C</w:t>
      </w:r>
      <w:r w:rsidR="004F0B0B">
        <w:rPr>
          <w:rFonts w:ascii="Times New Roman" w:hAnsi="Times New Roman"/>
          <w:noProof/>
          <w:sz w:val="24"/>
          <w:szCs w:val="24"/>
        </w:rPr>
        <w:t>XLIII</w:t>
      </w:r>
      <w:bookmarkStart w:id="0" w:name="_GoBack"/>
      <w:bookmarkEnd w:id="0"/>
      <w:r w:rsidRPr="00D93209">
        <w:rPr>
          <w:rFonts w:ascii="Times New Roman" w:hAnsi="Times New Roman"/>
          <w:noProof/>
          <w:sz w:val="24"/>
          <w:szCs w:val="24"/>
        </w:rPr>
        <w:t>. törvény hatálya alá tartozik, úgy köteles a szükséges eljárások teljes körű lefolytatására saját költségén.</w:t>
      </w:r>
    </w:p>
    <w:p w:rsidR="00D93209" w:rsidRPr="00D93209" w:rsidRDefault="00D93209" w:rsidP="00D932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EA7E91" w:rsidRDefault="00204C82" w:rsidP="00EA7E91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szerződéshez a Nyertes pályázó által csatolandó iratok:</w:t>
      </w:r>
    </w:p>
    <w:p w:rsidR="00204C82" w:rsidRPr="004C72E8" w:rsidRDefault="00204C82" w:rsidP="00542EB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pályázat</w:t>
      </w:r>
    </w:p>
    <w:p w:rsidR="00204C82" w:rsidRPr="004C72E8" w:rsidRDefault="00204C82" w:rsidP="00542EB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204C82" w:rsidRDefault="00204C82" w:rsidP="00F7623B">
      <w:pPr>
        <w:widowControl w:val="0"/>
        <w:numPr>
          <w:ilvl w:val="0"/>
          <w:numId w:val="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7623B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204C82" w:rsidRPr="00F7623B" w:rsidRDefault="00204C82" w:rsidP="00F7623B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204C82" w:rsidRPr="00EA7E91" w:rsidRDefault="00204C82" w:rsidP="00E9626C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folyósítása</w:t>
      </w:r>
      <w:r w:rsidRPr="00C16538">
        <w:rPr>
          <w:rFonts w:ascii="Times New Roman" w:hAnsi="Times New Roman"/>
          <w:noProof/>
          <w:sz w:val="24"/>
          <w:szCs w:val="24"/>
        </w:rPr>
        <w:t xml:space="preserve"> utófinanszírozással </w:t>
      </w:r>
      <w:r w:rsidRPr="00EA7E91">
        <w:rPr>
          <w:rFonts w:ascii="Times New Roman" w:hAnsi="Times New Roman"/>
          <w:noProof/>
          <w:sz w:val="24"/>
          <w:szCs w:val="24"/>
        </w:rPr>
        <w:t>történik</w:t>
      </w:r>
      <w:r w:rsidR="00037FDE">
        <w:rPr>
          <w:rFonts w:ascii="Times New Roman" w:hAnsi="Times New Roman"/>
          <w:noProof/>
          <w:sz w:val="24"/>
          <w:szCs w:val="24"/>
        </w:rPr>
        <w:t>.</w:t>
      </w:r>
      <w:r w:rsidRPr="00EA7E91">
        <w:rPr>
          <w:rFonts w:ascii="Times New Roman" w:hAnsi="Times New Roman"/>
          <w:noProof/>
          <w:sz w:val="24"/>
          <w:szCs w:val="24"/>
        </w:rPr>
        <w:t xml:space="preserve"> </w:t>
      </w:r>
      <w:r w:rsidRPr="00E9626C">
        <w:rPr>
          <w:rFonts w:ascii="Times New Roman" w:hAnsi="Times New Roman"/>
          <w:noProof/>
          <w:sz w:val="24"/>
          <w:szCs w:val="24"/>
        </w:rPr>
        <w:t>A pályázattal történő elszámolás</w:t>
      </w:r>
      <w:r w:rsidR="00B35492">
        <w:rPr>
          <w:rFonts w:ascii="Times New Roman" w:hAnsi="Times New Roman"/>
          <w:noProof/>
          <w:sz w:val="24"/>
          <w:szCs w:val="24"/>
        </w:rPr>
        <w:t xml:space="preserve"> (</w:t>
      </w:r>
      <w:r w:rsidRPr="00E9626C">
        <w:rPr>
          <w:rFonts w:ascii="Times New Roman" w:hAnsi="Times New Roman"/>
          <w:noProof/>
          <w:sz w:val="24"/>
          <w:szCs w:val="24"/>
        </w:rPr>
        <w:t>a</w:t>
      </w:r>
      <w:r w:rsidR="00037FDE">
        <w:rPr>
          <w:rFonts w:ascii="Times New Roman" w:hAnsi="Times New Roman"/>
          <w:noProof/>
          <w:sz w:val="24"/>
          <w:szCs w:val="24"/>
        </w:rPr>
        <w:t>z</w:t>
      </w:r>
      <w:r w:rsidR="001B219C">
        <w:rPr>
          <w:rFonts w:ascii="Times New Roman" w:hAnsi="Times New Roman"/>
          <w:noProof/>
          <w:sz w:val="24"/>
          <w:szCs w:val="24"/>
        </w:rPr>
        <w:t xml:space="preserve"> </w:t>
      </w:r>
      <w:r w:rsidR="00037FDE">
        <w:rPr>
          <w:rFonts w:ascii="Times New Roman" w:hAnsi="Times New Roman"/>
          <w:noProof/>
          <w:sz w:val="24"/>
          <w:szCs w:val="24"/>
        </w:rPr>
        <w:t xml:space="preserve">eredeti </w:t>
      </w:r>
      <w:r w:rsidRPr="00E9626C">
        <w:rPr>
          <w:rFonts w:ascii="Times New Roman" w:hAnsi="Times New Roman"/>
          <w:noProof/>
          <w:sz w:val="24"/>
          <w:szCs w:val="24"/>
        </w:rPr>
        <w:t xml:space="preserve"> számlák </w:t>
      </w:r>
      <w:r w:rsidR="00037FDE">
        <w:rPr>
          <w:rFonts w:ascii="Times New Roman" w:hAnsi="Times New Roman"/>
          <w:noProof/>
          <w:sz w:val="24"/>
          <w:szCs w:val="24"/>
        </w:rPr>
        <w:t>bemutatása, számlamáso</w:t>
      </w:r>
      <w:r w:rsidR="001B219C">
        <w:rPr>
          <w:rFonts w:ascii="Times New Roman" w:hAnsi="Times New Roman"/>
          <w:noProof/>
          <w:sz w:val="24"/>
          <w:szCs w:val="24"/>
        </w:rPr>
        <w:t>l</w:t>
      </w:r>
      <w:r w:rsidR="00B35492">
        <w:rPr>
          <w:rFonts w:ascii="Times New Roman" w:hAnsi="Times New Roman"/>
          <w:noProof/>
          <w:sz w:val="24"/>
          <w:szCs w:val="24"/>
        </w:rPr>
        <w:t>atok és a növényesítés</w:t>
      </w:r>
      <w:r w:rsidR="00037FDE">
        <w:rPr>
          <w:rFonts w:ascii="Times New Roman" w:hAnsi="Times New Roman"/>
          <w:noProof/>
          <w:sz w:val="24"/>
          <w:szCs w:val="24"/>
        </w:rPr>
        <w:t xml:space="preserve"> készre jelentése</w:t>
      </w:r>
      <w:r w:rsidR="00B35492">
        <w:rPr>
          <w:rFonts w:ascii="Times New Roman" w:hAnsi="Times New Roman"/>
          <w:noProof/>
          <w:sz w:val="24"/>
          <w:szCs w:val="24"/>
        </w:rPr>
        <w:t>)</w:t>
      </w:r>
      <w:r w:rsidR="00037FDE">
        <w:rPr>
          <w:rFonts w:ascii="Times New Roman" w:hAnsi="Times New Roman"/>
          <w:noProof/>
          <w:sz w:val="24"/>
          <w:szCs w:val="24"/>
        </w:rPr>
        <w:t xml:space="preserve"> </w:t>
      </w:r>
      <w:r w:rsidR="00B35492">
        <w:rPr>
          <w:rFonts w:ascii="Times New Roman" w:hAnsi="Times New Roman"/>
          <w:noProof/>
          <w:sz w:val="24"/>
          <w:szCs w:val="24"/>
        </w:rPr>
        <w:t>benyújtásának</w:t>
      </w:r>
      <w:r w:rsidR="001B219C">
        <w:rPr>
          <w:rFonts w:ascii="Times New Roman" w:hAnsi="Times New Roman"/>
          <w:noProof/>
          <w:sz w:val="24"/>
          <w:szCs w:val="24"/>
        </w:rPr>
        <w:t xml:space="preserve"> </w:t>
      </w:r>
      <w:r w:rsidR="00B35492">
        <w:rPr>
          <w:rFonts w:ascii="Times New Roman" w:hAnsi="Times New Roman"/>
          <w:noProof/>
          <w:sz w:val="24"/>
          <w:szCs w:val="24"/>
        </w:rPr>
        <w:t xml:space="preserve">határideje: a </w:t>
      </w:r>
      <w:r w:rsidR="00247A8C" w:rsidRPr="00B35492">
        <w:rPr>
          <w:rFonts w:ascii="Times New Roman" w:hAnsi="Times New Roman"/>
          <w:noProof/>
          <w:sz w:val="24"/>
          <w:szCs w:val="24"/>
        </w:rPr>
        <w:t xml:space="preserve">szerződő felek általi aláírásától számított 120 </w:t>
      </w:r>
      <w:r w:rsidR="00247A8C" w:rsidRPr="00B35492">
        <w:rPr>
          <w:rFonts w:ascii="Times New Roman" w:hAnsi="Times New Roman"/>
          <w:noProof/>
          <w:sz w:val="24"/>
          <w:szCs w:val="24"/>
        </w:rPr>
        <w:lastRenderedPageBreak/>
        <w:t>nap.</w:t>
      </w:r>
      <w:r w:rsidRPr="00B35492">
        <w:rPr>
          <w:rFonts w:ascii="Times New Roman" w:hAnsi="Times New Roman"/>
          <w:noProof/>
          <w:sz w:val="24"/>
          <w:szCs w:val="24"/>
        </w:rPr>
        <w:t xml:space="preserve"> </w:t>
      </w:r>
      <w:r w:rsidRPr="00EA7E91">
        <w:rPr>
          <w:rFonts w:ascii="Times New Roman" w:hAnsi="Times New Roman"/>
          <w:noProof/>
          <w:sz w:val="24"/>
          <w:szCs w:val="24"/>
        </w:rPr>
        <w:t>A munkák elvégzése után a</w:t>
      </w:r>
      <w:r w:rsidR="00FC6C3A">
        <w:rPr>
          <w:rFonts w:ascii="Times New Roman" w:hAnsi="Times New Roman"/>
          <w:noProof/>
          <w:sz w:val="24"/>
          <w:szCs w:val="24"/>
        </w:rPr>
        <w:t>z elszámolás</w:t>
      </w:r>
      <w:r w:rsidRPr="00EA7E91">
        <w:rPr>
          <w:rFonts w:ascii="Times New Roman" w:hAnsi="Times New Roman"/>
          <w:noProof/>
          <w:sz w:val="24"/>
          <w:szCs w:val="24"/>
        </w:rPr>
        <w:t xml:space="preserve"> átvételét követően annak elfogadása esetén a támogatás jóváhagyott összegét az Önkormányzat 60 napon belül átutalja.</w:t>
      </w: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743819" w:rsidRDefault="00204C82" w:rsidP="00EA7E91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819">
        <w:rPr>
          <w:rFonts w:ascii="Times New Roman" w:hAnsi="Times New Roman"/>
          <w:b/>
          <w:bCs/>
          <w:sz w:val="24"/>
          <w:szCs w:val="24"/>
        </w:rPr>
        <w:t>A megállapodás végrehajtásáért felelősek</w:t>
      </w: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b/>
          <w:bCs/>
          <w:sz w:val="24"/>
          <w:szCs w:val="24"/>
        </w:rPr>
        <w:t>Önkormányzat részéről:</w:t>
      </w:r>
      <w:r w:rsidR="00F1124D">
        <w:rPr>
          <w:rFonts w:ascii="Times New Roman" w:hAnsi="Times New Roman"/>
          <w:b/>
          <w:bCs/>
          <w:sz w:val="24"/>
          <w:szCs w:val="24"/>
        </w:rPr>
        <w:t xml:space="preserve"> Salgai Anikó</w:t>
      </w:r>
    </w:p>
    <w:p w:rsidR="00204C82" w:rsidRPr="00F208D1" w:rsidRDefault="009A4D46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Tel.: </w:t>
      </w:r>
      <w:r w:rsidR="00204C82">
        <w:rPr>
          <w:rFonts w:ascii="Times New Roman" w:hAnsi="Times New Roman"/>
          <w:noProof/>
          <w:sz w:val="24"/>
          <w:szCs w:val="24"/>
        </w:rPr>
        <w:t xml:space="preserve">462-3138, </w:t>
      </w:r>
      <w:r w:rsidR="00D93209">
        <w:rPr>
          <w:rFonts w:ascii="Times New Roman" w:hAnsi="Times New Roman"/>
          <w:noProof/>
          <w:sz w:val="24"/>
          <w:szCs w:val="24"/>
        </w:rPr>
        <w:t xml:space="preserve">Email: </w:t>
      </w:r>
      <w:hyperlink r:id="rId9" w:history="1">
        <w:r w:rsidR="003A3A23" w:rsidRPr="00226B16">
          <w:rPr>
            <w:rStyle w:val="Hiperhivatkozs"/>
            <w:rFonts w:ascii="Times New Roman" w:hAnsi="Times New Roman"/>
            <w:noProof/>
            <w:sz w:val="24"/>
            <w:szCs w:val="24"/>
          </w:rPr>
          <w:t>Salgai.Aniko@erzsebetvaros.hu</w:t>
        </w:r>
      </w:hyperlink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b/>
          <w:bCs/>
          <w:sz w:val="24"/>
          <w:szCs w:val="24"/>
        </w:rPr>
        <w:t>Nyertes pályázó</w:t>
      </w:r>
      <w:r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743819">
        <w:rPr>
          <w:rFonts w:ascii="Times New Roman" w:hAnsi="Times New Roman"/>
          <w:b/>
          <w:bCs/>
          <w:sz w:val="24"/>
          <w:szCs w:val="24"/>
        </w:rPr>
        <w:t>részéről</w:t>
      </w:r>
      <w:proofErr w:type="gramStart"/>
      <w:r w:rsidRPr="00743819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93209">
        <w:rPr>
          <w:rFonts w:ascii="Times New Roman" w:hAnsi="Times New Roman"/>
          <w:b/>
          <w:bCs/>
          <w:noProof/>
          <w:sz w:val="24"/>
          <w:szCs w:val="24"/>
        </w:rPr>
        <w:t>…</w:t>
      </w:r>
      <w:proofErr w:type="gramEnd"/>
      <w:r w:rsidR="00D93209">
        <w:rPr>
          <w:rFonts w:ascii="Times New Roman" w:hAnsi="Times New Roman"/>
          <w:b/>
          <w:bCs/>
          <w:noProof/>
          <w:sz w:val="24"/>
          <w:szCs w:val="24"/>
        </w:rPr>
        <w:t>………..</w:t>
      </w:r>
    </w:p>
    <w:p w:rsidR="00204C82" w:rsidRDefault="009A4D46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Tel.: </w:t>
      </w:r>
      <w:r w:rsidR="00D93209">
        <w:rPr>
          <w:rFonts w:ascii="Times New Roman" w:hAnsi="Times New Roman"/>
          <w:noProof/>
          <w:sz w:val="24"/>
          <w:szCs w:val="24"/>
        </w:rPr>
        <w:t>……………….</w:t>
      </w: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 xml:space="preserve">A jelen megállapodásban nem szabályozott kérdésekben a Ptk., továbbá </w:t>
      </w:r>
      <w:r w:rsidRPr="00743819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743819">
        <w:rPr>
          <w:rFonts w:ascii="Times New Roman" w:hAnsi="Times New Roman"/>
          <w:noProof/>
          <w:sz w:val="24"/>
          <w:szCs w:val="24"/>
        </w:rPr>
        <w:t xml:space="preserve">lakóközösségeknek </w:t>
      </w:r>
      <w:r>
        <w:rPr>
          <w:rFonts w:ascii="Times New Roman" w:hAnsi="Times New Roman"/>
          <w:noProof/>
          <w:sz w:val="24"/>
          <w:szCs w:val="24"/>
        </w:rPr>
        <w:t xml:space="preserve">és az önkormányzati intézményeknek </w:t>
      </w:r>
      <w:r w:rsidRPr="00743819">
        <w:rPr>
          <w:rFonts w:ascii="Times New Roman" w:hAnsi="Times New Roman"/>
          <w:noProof/>
          <w:sz w:val="24"/>
          <w:szCs w:val="24"/>
        </w:rPr>
        <w:t xml:space="preserve">nyújtandó </w:t>
      </w:r>
      <w:r>
        <w:rPr>
          <w:rFonts w:ascii="Times New Roman" w:hAnsi="Times New Roman"/>
          <w:noProof/>
          <w:sz w:val="24"/>
          <w:szCs w:val="24"/>
        </w:rPr>
        <w:t>növényesítési</w:t>
      </w:r>
      <w:r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C26E9B">
        <w:rPr>
          <w:rFonts w:ascii="Times New Roman" w:hAnsi="Times New Roman"/>
          <w:noProof/>
          <w:sz w:val="24"/>
          <w:szCs w:val="24"/>
        </w:rPr>
        <w:t xml:space="preserve">támogatásról szóló </w:t>
      </w:r>
      <w:r w:rsidRPr="006345BD">
        <w:rPr>
          <w:rFonts w:ascii="Times New Roman" w:hAnsi="Times New Roman"/>
          <w:sz w:val="24"/>
          <w:szCs w:val="24"/>
        </w:rPr>
        <w:t>28/2013. (V.31.) Önkormányzati 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3819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743819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>A Nyertes pályázó egyben nyilatkozik, hogy a hivatkozott jogszabályokat ismeri, a benn</w:t>
      </w:r>
      <w:r>
        <w:rPr>
          <w:rFonts w:ascii="Times New Roman" w:hAnsi="Times New Roman"/>
          <w:noProof/>
          <w:sz w:val="24"/>
          <w:szCs w:val="24"/>
        </w:rPr>
        <w:t>ük</w:t>
      </w:r>
      <w:r w:rsidRPr="00743819">
        <w:rPr>
          <w:rFonts w:ascii="Times New Roman" w:hAnsi="Times New Roman"/>
          <w:noProof/>
          <w:sz w:val="24"/>
          <w:szCs w:val="24"/>
        </w:rPr>
        <w:t xml:space="preserve"> foglaltakat magára nézve kötelezően elismeri.</w:t>
      </w:r>
    </w:p>
    <w:p w:rsidR="00204C82" w:rsidRPr="00FB5F96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Pr="00FB5F96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204C82" w:rsidRPr="004C72E8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C72E8">
        <w:rPr>
          <w:rFonts w:ascii="Times New Roman" w:hAnsi="Times New Roman"/>
          <w:b/>
          <w:bCs/>
          <w:sz w:val="24"/>
          <w:szCs w:val="24"/>
        </w:rPr>
        <w:t>Budapest, 20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F1124D">
        <w:rPr>
          <w:rFonts w:ascii="Times New Roman" w:hAnsi="Times New Roman"/>
          <w:b/>
          <w:bCs/>
          <w:sz w:val="24"/>
          <w:szCs w:val="24"/>
        </w:rPr>
        <w:t>6</w:t>
      </w:r>
      <w:r w:rsidR="00A13C72">
        <w:rPr>
          <w:rFonts w:ascii="Times New Roman" w:hAnsi="Times New Roman"/>
          <w:b/>
          <w:bCs/>
          <w:sz w:val="24"/>
          <w:szCs w:val="24"/>
        </w:rPr>
        <w:t>.</w:t>
      </w:r>
      <w:r w:rsidR="005C24B4">
        <w:rPr>
          <w:rFonts w:ascii="Times New Roman" w:hAnsi="Times New Roman"/>
          <w:b/>
          <w:bCs/>
          <w:sz w:val="24"/>
          <w:szCs w:val="24"/>
        </w:rPr>
        <w:t xml:space="preserve"> ……………..</w:t>
      </w:r>
    </w:p>
    <w:p w:rsidR="005C24B4" w:rsidRPr="004C72E8" w:rsidRDefault="005C24B4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04C82" w:rsidRDefault="00204C8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204C82" w:rsidRPr="00926F6E" w:rsidTr="00CF2FC8">
        <w:trPr>
          <w:gridAfter w:val="1"/>
          <w:wAfter w:w="642" w:type="dxa"/>
          <w:jc w:val="center"/>
        </w:trPr>
        <w:tc>
          <w:tcPr>
            <w:tcW w:w="4606" w:type="dxa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26F6E"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 w:rsidRPr="00926F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</w:t>
            </w:r>
          </w:p>
          <w:p w:rsidR="00204C82" w:rsidRPr="00A13C72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C72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A13C72" w:rsidRPr="00A13C72" w:rsidRDefault="005C24B4" w:rsidP="00CF2F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……………...……..</w:t>
            </w:r>
          </w:p>
          <w:p w:rsidR="00A13C72" w:rsidRPr="00A13C72" w:rsidRDefault="005C24B4" w:rsidP="00CF2F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…………………….</w:t>
            </w: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Nyertes pályázó </w:t>
            </w:r>
            <w:r w:rsidRPr="004C72E8">
              <w:rPr>
                <w:rFonts w:ascii="Times New Roman" w:hAnsi="Times New Roman"/>
                <w:noProof/>
                <w:sz w:val="24"/>
                <w:szCs w:val="24"/>
              </w:rPr>
              <w:t>képviseletében</w:t>
            </w:r>
          </w:p>
        </w:tc>
      </w:tr>
      <w:tr w:rsidR="00204C82" w:rsidRPr="00926F6E" w:rsidTr="00CF2FC8">
        <w:trPr>
          <w:gridAfter w:val="1"/>
          <w:wAfter w:w="642" w:type="dxa"/>
          <w:jc w:val="center"/>
        </w:trPr>
        <w:tc>
          <w:tcPr>
            <w:tcW w:w="4606" w:type="dxa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C82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204C82" w:rsidRPr="00926F6E" w:rsidRDefault="00204C82" w:rsidP="00CF2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F6E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926F6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204C82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926F6E">
              <w:rPr>
                <w:rFonts w:ascii="Times New Roman" w:hAnsi="Times New Roman"/>
                <w:sz w:val="24"/>
                <w:szCs w:val="24"/>
              </w:rPr>
              <w:t>r. Gotthard Gábor</w:t>
            </w:r>
          </w:p>
          <w:p w:rsidR="00204C82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5C24B4" w:rsidRDefault="005C24B4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204C82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204C82" w:rsidRPr="00926F6E" w:rsidRDefault="00204C82" w:rsidP="00CF2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204C82" w:rsidRPr="00926F6E" w:rsidRDefault="00204C82" w:rsidP="00CF2FC8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204C82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Fitosné Zemanovics Zsuzsanna</w:t>
            </w:r>
          </w:p>
          <w:p w:rsidR="00204C82" w:rsidRPr="00926F6E" w:rsidRDefault="00204C82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vezetője</w:t>
            </w:r>
          </w:p>
        </w:tc>
      </w:tr>
    </w:tbl>
    <w:p w:rsidR="00204C82" w:rsidRDefault="00204C82" w:rsidP="003D3B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  <w:sectPr w:rsidR="00204C82" w:rsidSect="003D3B15"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04C82" w:rsidRPr="00E47C92" w:rsidRDefault="00204C82" w:rsidP="003D3B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sectPr w:rsidR="00204C82" w:rsidRPr="00E47C92" w:rsidSect="00204C82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81F" w:rsidRDefault="00BD081F" w:rsidP="009015D5">
      <w:pPr>
        <w:spacing w:after="0" w:line="240" w:lineRule="auto"/>
      </w:pPr>
      <w:r>
        <w:separator/>
      </w:r>
    </w:p>
  </w:endnote>
  <w:endnote w:type="continuationSeparator" w:id="0">
    <w:p w:rsidR="00BD081F" w:rsidRDefault="00BD081F" w:rsidP="00901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844394"/>
      <w:docPartObj>
        <w:docPartGallery w:val="Page Numbers (Bottom of Page)"/>
        <w:docPartUnique/>
      </w:docPartObj>
    </w:sdtPr>
    <w:sdtEndPr/>
    <w:sdtContent>
      <w:p w:rsidR="009015D5" w:rsidRDefault="009015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B0B">
          <w:rPr>
            <w:noProof/>
          </w:rPr>
          <w:t>1</w:t>
        </w:r>
        <w:r>
          <w:fldChar w:fldCharType="end"/>
        </w:r>
      </w:p>
    </w:sdtContent>
  </w:sdt>
  <w:p w:rsidR="009015D5" w:rsidRDefault="009015D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81F" w:rsidRDefault="00BD081F" w:rsidP="009015D5">
      <w:pPr>
        <w:spacing w:after="0" w:line="240" w:lineRule="auto"/>
      </w:pPr>
      <w:r>
        <w:separator/>
      </w:r>
    </w:p>
  </w:footnote>
  <w:footnote w:type="continuationSeparator" w:id="0">
    <w:p w:rsidR="00BD081F" w:rsidRDefault="00BD081F" w:rsidP="00901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3944"/>
    <w:multiLevelType w:val="hybridMultilevel"/>
    <w:tmpl w:val="2BD04C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606B9"/>
    <w:multiLevelType w:val="hybridMultilevel"/>
    <w:tmpl w:val="467A1C40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4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B9"/>
    <w:rsid w:val="000348F1"/>
    <w:rsid w:val="00037FDE"/>
    <w:rsid w:val="000416BC"/>
    <w:rsid w:val="00076B9B"/>
    <w:rsid w:val="000B08B6"/>
    <w:rsid w:val="00107A4E"/>
    <w:rsid w:val="00192099"/>
    <w:rsid w:val="001A155F"/>
    <w:rsid w:val="001B219C"/>
    <w:rsid w:val="001D575F"/>
    <w:rsid w:val="00204C82"/>
    <w:rsid w:val="00247A8C"/>
    <w:rsid w:val="00292DE0"/>
    <w:rsid w:val="00330FB0"/>
    <w:rsid w:val="0035008E"/>
    <w:rsid w:val="00350307"/>
    <w:rsid w:val="00363CB7"/>
    <w:rsid w:val="00394C7F"/>
    <w:rsid w:val="003A3A23"/>
    <w:rsid w:val="003D3B15"/>
    <w:rsid w:val="003F18E6"/>
    <w:rsid w:val="003F634A"/>
    <w:rsid w:val="004026CA"/>
    <w:rsid w:val="004D5FD0"/>
    <w:rsid w:val="004F0B0B"/>
    <w:rsid w:val="00541352"/>
    <w:rsid w:val="00542EB9"/>
    <w:rsid w:val="00576032"/>
    <w:rsid w:val="005C24B4"/>
    <w:rsid w:val="005C2F09"/>
    <w:rsid w:val="005C397F"/>
    <w:rsid w:val="005C3CDB"/>
    <w:rsid w:val="006345BD"/>
    <w:rsid w:val="00637587"/>
    <w:rsid w:val="00640DE4"/>
    <w:rsid w:val="00690598"/>
    <w:rsid w:val="006C149F"/>
    <w:rsid w:val="00700BB3"/>
    <w:rsid w:val="00715E9F"/>
    <w:rsid w:val="00734AD1"/>
    <w:rsid w:val="00742F36"/>
    <w:rsid w:val="00772D78"/>
    <w:rsid w:val="00774EF7"/>
    <w:rsid w:val="007A0BFB"/>
    <w:rsid w:val="007A3621"/>
    <w:rsid w:val="007A6651"/>
    <w:rsid w:val="00820D6B"/>
    <w:rsid w:val="00832A62"/>
    <w:rsid w:val="0084318D"/>
    <w:rsid w:val="009015D5"/>
    <w:rsid w:val="009760F3"/>
    <w:rsid w:val="009A4D46"/>
    <w:rsid w:val="009B2EEC"/>
    <w:rsid w:val="00A13C72"/>
    <w:rsid w:val="00A45263"/>
    <w:rsid w:val="00AA1DCB"/>
    <w:rsid w:val="00AC716B"/>
    <w:rsid w:val="00AD76CF"/>
    <w:rsid w:val="00AD7FA7"/>
    <w:rsid w:val="00B16A28"/>
    <w:rsid w:val="00B35492"/>
    <w:rsid w:val="00BB0B7B"/>
    <w:rsid w:val="00BC42AC"/>
    <w:rsid w:val="00BD081F"/>
    <w:rsid w:val="00C10C42"/>
    <w:rsid w:val="00C16538"/>
    <w:rsid w:val="00C26E9B"/>
    <w:rsid w:val="00CB6F0F"/>
    <w:rsid w:val="00CE75DC"/>
    <w:rsid w:val="00CF2FC8"/>
    <w:rsid w:val="00D054B5"/>
    <w:rsid w:val="00D4527F"/>
    <w:rsid w:val="00D93209"/>
    <w:rsid w:val="00DB462B"/>
    <w:rsid w:val="00E2260A"/>
    <w:rsid w:val="00E47C92"/>
    <w:rsid w:val="00E715FF"/>
    <w:rsid w:val="00E9626C"/>
    <w:rsid w:val="00EA7E91"/>
    <w:rsid w:val="00F1124D"/>
    <w:rsid w:val="00F136B9"/>
    <w:rsid w:val="00F1416E"/>
    <w:rsid w:val="00F208D1"/>
    <w:rsid w:val="00F30E4E"/>
    <w:rsid w:val="00F73C5F"/>
    <w:rsid w:val="00F7623B"/>
    <w:rsid w:val="00F813FE"/>
    <w:rsid w:val="00F826D1"/>
    <w:rsid w:val="00F83A7B"/>
    <w:rsid w:val="00FA366C"/>
    <w:rsid w:val="00FB0AFF"/>
    <w:rsid w:val="00FC6C3A"/>
    <w:rsid w:val="00FD0C5D"/>
    <w:rsid w:val="00FE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EB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2EB9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542EB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6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634A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01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15D5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901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15D5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EB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2EB9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542EB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6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634A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01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15D5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901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15D5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algai.Aniko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789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Wendl Viktória</dc:creator>
  <cp:lastModifiedBy>Dr. Rormán Eszter</cp:lastModifiedBy>
  <cp:revision>6</cp:revision>
  <cp:lastPrinted>2015-01-05T07:45:00Z</cp:lastPrinted>
  <dcterms:created xsi:type="dcterms:W3CDTF">2016-03-10T12:15:00Z</dcterms:created>
  <dcterms:modified xsi:type="dcterms:W3CDTF">2016-03-18T09:40:00Z</dcterms:modified>
</cp:coreProperties>
</file>