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CA2E13" w:rsidRPr="00BE405C" w:rsidTr="00C2404A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2E13" w:rsidRPr="00BE405C" w:rsidRDefault="00CA2E13" w:rsidP="00C2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405C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A2E13" w:rsidRPr="00BE405C" w:rsidRDefault="005A4570" w:rsidP="00550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Dankó Edina Vagyongazdálkodási Iroda irodavezető</w:t>
            </w:r>
            <w:r w:rsidR="00763454" w:rsidRPr="00BE405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CA2E13" w:rsidRPr="00BE405C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405C">
        <w:rPr>
          <w:rFonts w:ascii="Times New Roman" w:hAnsi="Times New Roman"/>
          <w:sz w:val="24"/>
          <w:szCs w:val="24"/>
        </w:rPr>
        <w:t>Iktatószám:</w:t>
      </w:r>
      <w:r w:rsidR="00763454" w:rsidRPr="00BE405C">
        <w:rPr>
          <w:rFonts w:ascii="Times New Roman" w:hAnsi="Times New Roman"/>
          <w:sz w:val="24"/>
          <w:szCs w:val="24"/>
        </w:rPr>
        <w:tab/>
      </w:r>
      <w:r w:rsidR="00763454" w:rsidRPr="00BE405C">
        <w:rPr>
          <w:rFonts w:ascii="Times New Roman" w:hAnsi="Times New Roman"/>
          <w:sz w:val="24"/>
          <w:szCs w:val="24"/>
        </w:rPr>
        <w:tab/>
      </w:r>
      <w:r w:rsidR="00763454" w:rsidRPr="00BE405C">
        <w:rPr>
          <w:rFonts w:ascii="Times New Roman" w:hAnsi="Times New Roman"/>
          <w:sz w:val="24"/>
          <w:szCs w:val="24"/>
        </w:rPr>
        <w:tab/>
      </w:r>
      <w:r w:rsidR="00763454" w:rsidRPr="00BE405C">
        <w:rPr>
          <w:rFonts w:ascii="Times New Roman" w:hAnsi="Times New Roman"/>
          <w:sz w:val="24"/>
          <w:szCs w:val="24"/>
        </w:rPr>
        <w:tab/>
      </w:r>
      <w:r w:rsidR="00763454" w:rsidRPr="00BE405C">
        <w:rPr>
          <w:rFonts w:ascii="Times New Roman" w:hAnsi="Times New Roman"/>
          <w:sz w:val="24"/>
          <w:szCs w:val="24"/>
        </w:rPr>
        <w:tab/>
      </w:r>
      <w:r w:rsidR="005041D2" w:rsidRPr="00BE405C">
        <w:rPr>
          <w:rFonts w:ascii="Times New Roman" w:hAnsi="Times New Roman"/>
          <w:sz w:val="24"/>
          <w:szCs w:val="24"/>
        </w:rPr>
        <w:tab/>
      </w:r>
      <w:r w:rsidR="005041D2" w:rsidRPr="00BE405C">
        <w:rPr>
          <w:rFonts w:ascii="Times New Roman" w:hAnsi="Times New Roman"/>
          <w:sz w:val="24"/>
          <w:szCs w:val="24"/>
        </w:rPr>
        <w:tab/>
      </w:r>
      <w:r w:rsidRPr="00BE405C">
        <w:rPr>
          <w:rFonts w:ascii="Times New Roman" w:hAnsi="Times New Roman"/>
          <w:sz w:val="24"/>
          <w:szCs w:val="24"/>
        </w:rPr>
        <w:t>Napirendi pont:</w:t>
      </w:r>
    </w:p>
    <w:p w:rsidR="00CA2E13" w:rsidRPr="00BE405C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E13" w:rsidRPr="00BE405C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E13" w:rsidRPr="00BE405C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E13" w:rsidRPr="00BE405C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E13" w:rsidRPr="00BE405C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E405C">
        <w:rPr>
          <w:rFonts w:ascii="Times New Roman" w:hAnsi="Times New Roman"/>
          <w:b/>
          <w:bCs/>
          <w:sz w:val="24"/>
          <w:szCs w:val="24"/>
        </w:rPr>
        <w:t>ELŐTERJESZTÉS</w:t>
      </w:r>
    </w:p>
    <w:p w:rsidR="00CA2E13" w:rsidRPr="00BE405C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A2E13" w:rsidRPr="00BE405C" w:rsidRDefault="00CA2E13" w:rsidP="00A760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E405C">
        <w:rPr>
          <w:rFonts w:ascii="Times New Roman" w:hAnsi="Times New Roman"/>
          <w:b/>
          <w:bCs/>
          <w:sz w:val="24"/>
          <w:szCs w:val="24"/>
        </w:rPr>
        <w:t xml:space="preserve">A </w:t>
      </w:r>
      <w:bookmarkStart w:id="0" w:name="testulet"/>
      <w:r w:rsidRPr="00BE405C">
        <w:rPr>
          <w:rFonts w:ascii="Times New Roman" w:hAnsi="Times New Roman"/>
          <w:b/>
          <w:bCs/>
          <w:sz w:val="24"/>
          <w:szCs w:val="24"/>
        </w:rPr>
        <w:t>Pénzügyi és Kerületfejlesztési Bizottság</w:t>
      </w:r>
      <w:bookmarkEnd w:id="0"/>
      <w:r w:rsidR="005A457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E405C">
        <w:rPr>
          <w:rFonts w:ascii="Times New Roman" w:hAnsi="Times New Roman"/>
          <w:b/>
          <w:bCs/>
          <w:sz w:val="24"/>
          <w:szCs w:val="24"/>
        </w:rPr>
        <w:t>2017.</w:t>
      </w:r>
      <w:r w:rsidR="00763454" w:rsidRPr="00BE405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B78C5">
        <w:rPr>
          <w:rFonts w:ascii="Times New Roman" w:hAnsi="Times New Roman"/>
          <w:b/>
          <w:bCs/>
          <w:sz w:val="24"/>
          <w:szCs w:val="24"/>
        </w:rPr>
        <w:t xml:space="preserve">november </w:t>
      </w:r>
      <w:r w:rsidR="00EB13A9">
        <w:rPr>
          <w:rFonts w:ascii="Times New Roman" w:hAnsi="Times New Roman"/>
          <w:b/>
          <w:bCs/>
          <w:sz w:val="24"/>
          <w:szCs w:val="24"/>
        </w:rPr>
        <w:t>20</w:t>
      </w:r>
      <w:r w:rsidR="00B930FB" w:rsidRPr="00BE405C">
        <w:rPr>
          <w:rFonts w:ascii="Times New Roman" w:hAnsi="Times New Roman"/>
          <w:b/>
          <w:bCs/>
          <w:sz w:val="24"/>
          <w:szCs w:val="24"/>
        </w:rPr>
        <w:t>-i</w:t>
      </w:r>
      <w:r w:rsidR="00763454" w:rsidRPr="00BE405C">
        <w:rPr>
          <w:rFonts w:ascii="Times New Roman" w:hAnsi="Times New Roman"/>
          <w:b/>
          <w:bCs/>
          <w:sz w:val="24"/>
          <w:szCs w:val="24"/>
        </w:rPr>
        <w:t xml:space="preserve"> rendes</w:t>
      </w:r>
      <w:r w:rsidR="00A76063" w:rsidRPr="00BE405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E405C">
        <w:rPr>
          <w:rFonts w:ascii="Times New Roman" w:hAnsi="Times New Roman"/>
          <w:b/>
          <w:bCs/>
          <w:sz w:val="24"/>
          <w:szCs w:val="24"/>
        </w:rPr>
        <w:t>ülésére</w:t>
      </w:r>
    </w:p>
    <w:p w:rsidR="00CA2E13" w:rsidRPr="00BE405C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E13" w:rsidRPr="00BE405C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E13" w:rsidRPr="00BE405C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E13" w:rsidRPr="00BE405C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Spacing w:w="15" w:type="dxa"/>
        <w:tblInd w:w="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276"/>
        <w:gridCol w:w="7964"/>
      </w:tblGrid>
      <w:tr w:rsidR="00CA2E13" w:rsidRPr="00BE405C" w:rsidTr="00C2404A">
        <w:trPr>
          <w:trHeight w:val="1950"/>
          <w:tblCellSpacing w:w="15" w:type="dxa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</w:tcPr>
          <w:p w:rsidR="00CA2E13" w:rsidRPr="00BE405C" w:rsidRDefault="00CA2E13" w:rsidP="00C2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BE405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19" w:type="dxa"/>
            <w:tcBorders>
              <w:top w:val="nil"/>
              <w:left w:val="nil"/>
              <w:bottom w:val="nil"/>
              <w:right w:val="nil"/>
            </w:tcBorders>
          </w:tcPr>
          <w:p w:rsidR="00CA2E13" w:rsidRPr="006C7615" w:rsidRDefault="006C7615" w:rsidP="006C7615">
            <w:pPr>
              <w:pStyle w:val="Listaszerbekezds"/>
              <w:widowControl w:val="0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615">
              <w:rPr>
                <w:rFonts w:ascii="Times New Roman" w:hAnsi="Times New Roman"/>
                <w:sz w:val="24"/>
                <w:szCs w:val="24"/>
              </w:rPr>
              <w:t>Beszerzési eljárást lezáró döntés az a</w:t>
            </w:r>
            <w:r w:rsidR="005B7D26" w:rsidRPr="006C7615">
              <w:rPr>
                <w:rFonts w:ascii="Times New Roman" w:hAnsi="Times New Roman"/>
                <w:sz w:val="24"/>
                <w:szCs w:val="24"/>
              </w:rPr>
              <w:t>lábbi ingat</w:t>
            </w:r>
            <w:r>
              <w:rPr>
                <w:rFonts w:ascii="Times New Roman" w:hAnsi="Times New Roman"/>
                <w:sz w:val="24"/>
                <w:szCs w:val="24"/>
              </w:rPr>
              <w:t>lanok</w:t>
            </w:r>
            <w:r w:rsidR="00105FE2">
              <w:rPr>
                <w:rFonts w:ascii="Times New Roman" w:hAnsi="Times New Roman"/>
                <w:sz w:val="24"/>
                <w:szCs w:val="24"/>
              </w:rPr>
              <w:t xml:space="preserve"> felújításának,</w:t>
            </w:r>
            <w:r w:rsidR="00CD14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05FE2">
              <w:rPr>
                <w:rFonts w:ascii="Times New Roman" w:hAnsi="Times New Roman"/>
                <w:sz w:val="24"/>
                <w:szCs w:val="24"/>
              </w:rPr>
              <w:t>átalakításá</w:t>
            </w:r>
            <w:r>
              <w:rPr>
                <w:rFonts w:ascii="Times New Roman" w:hAnsi="Times New Roman"/>
                <w:sz w:val="24"/>
                <w:szCs w:val="24"/>
              </w:rPr>
              <w:t>nak elfogadására vonatkozóan</w:t>
            </w:r>
            <w:r w:rsidR="002B0B28" w:rsidRPr="006C761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178C9" w:rsidRPr="006C7615" w:rsidRDefault="008178C9" w:rsidP="00923BAF">
            <w:pPr>
              <w:pStyle w:val="Listaszerbekezds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/>
              <w:ind w:left="167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615">
              <w:rPr>
                <w:rFonts w:ascii="Times New Roman" w:hAnsi="Times New Roman"/>
                <w:sz w:val="24"/>
                <w:szCs w:val="24"/>
              </w:rPr>
              <w:t>Dob u. 4. I/10.</w:t>
            </w:r>
          </w:p>
          <w:p w:rsidR="008178C9" w:rsidRPr="006C7615" w:rsidRDefault="008178C9" w:rsidP="00923BAF">
            <w:pPr>
              <w:pStyle w:val="Listaszerbekezds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/>
              <w:ind w:left="167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615">
              <w:rPr>
                <w:rFonts w:ascii="Times New Roman" w:hAnsi="Times New Roman"/>
                <w:sz w:val="24"/>
                <w:szCs w:val="24"/>
              </w:rPr>
              <w:t>Kazinczy u. 51. II/5.</w:t>
            </w:r>
          </w:p>
          <w:p w:rsidR="008178C9" w:rsidRPr="006C7615" w:rsidRDefault="008178C9" w:rsidP="00923BAF">
            <w:pPr>
              <w:pStyle w:val="Listaszerbekezds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/>
              <w:ind w:left="167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615">
              <w:rPr>
                <w:rFonts w:ascii="Times New Roman" w:hAnsi="Times New Roman"/>
                <w:sz w:val="24"/>
                <w:szCs w:val="24"/>
              </w:rPr>
              <w:t>Kazinczy u. 51. II/5A.</w:t>
            </w:r>
          </w:p>
          <w:p w:rsidR="008178C9" w:rsidRPr="006C7615" w:rsidRDefault="008178C9" w:rsidP="00923BAF">
            <w:pPr>
              <w:pStyle w:val="Listaszerbekezds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/>
              <w:ind w:left="167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615">
              <w:rPr>
                <w:rFonts w:ascii="Times New Roman" w:hAnsi="Times New Roman"/>
                <w:sz w:val="24"/>
                <w:szCs w:val="24"/>
              </w:rPr>
              <w:t>Király u. 31. II/1A.</w:t>
            </w:r>
          </w:p>
          <w:p w:rsidR="008178C9" w:rsidRPr="006C7615" w:rsidRDefault="008178C9" w:rsidP="00923BAF">
            <w:pPr>
              <w:pStyle w:val="Listaszerbekezds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/>
              <w:ind w:left="167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615">
              <w:rPr>
                <w:rFonts w:ascii="Times New Roman" w:hAnsi="Times New Roman"/>
                <w:sz w:val="24"/>
                <w:szCs w:val="24"/>
              </w:rPr>
              <w:t>Király u. 49. 2/18.</w:t>
            </w:r>
          </w:p>
          <w:p w:rsidR="008178C9" w:rsidRPr="006C7615" w:rsidRDefault="008178C9" w:rsidP="00923BAF">
            <w:pPr>
              <w:pStyle w:val="Listaszerbekezds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/>
              <w:ind w:left="167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615">
              <w:rPr>
                <w:rFonts w:ascii="Times New Roman" w:hAnsi="Times New Roman"/>
                <w:sz w:val="24"/>
                <w:szCs w:val="24"/>
              </w:rPr>
              <w:t>Nefelejcs u. 21. 1/19.</w:t>
            </w:r>
          </w:p>
        </w:tc>
      </w:tr>
    </w:tbl>
    <w:p w:rsidR="002B0B28" w:rsidRDefault="002B0B28" w:rsidP="00CA2E1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B0B28" w:rsidRDefault="002B0B28" w:rsidP="00CA2E1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B0B28" w:rsidRDefault="002B0B28" w:rsidP="00CA2E1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A2E13" w:rsidRPr="00BE405C" w:rsidRDefault="00CA2E13" w:rsidP="00CA2E1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BE405C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A2E13" w:rsidRPr="00BE405C" w:rsidRDefault="00CA2E13" w:rsidP="00CA2E1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E13" w:rsidRPr="00BE405C" w:rsidRDefault="00CA2E13" w:rsidP="00CA2E1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745C9" w:rsidRPr="00BE405C" w:rsidRDefault="002612B1" w:rsidP="00C422BF">
      <w:pPr>
        <w:widowControl w:val="0"/>
        <w:tabs>
          <w:tab w:val="center" w:pos="1418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E405C">
        <w:rPr>
          <w:rFonts w:ascii="Times New Roman" w:hAnsi="Times New Roman"/>
          <w:sz w:val="24"/>
          <w:szCs w:val="24"/>
        </w:rPr>
        <w:t xml:space="preserve">                      </w:t>
      </w:r>
      <w:r w:rsidR="00026401">
        <w:rPr>
          <w:rFonts w:ascii="Times New Roman" w:hAnsi="Times New Roman"/>
          <w:sz w:val="24"/>
          <w:szCs w:val="24"/>
        </w:rPr>
        <w:t>Dr. Dankó Edina</w:t>
      </w:r>
    </w:p>
    <w:p w:rsidR="00B7479D" w:rsidRPr="00BE405C" w:rsidRDefault="00026401" w:rsidP="00C422BF">
      <w:pPr>
        <w:widowControl w:val="0"/>
        <w:tabs>
          <w:tab w:val="center" w:pos="1418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irodavezető</w:t>
      </w:r>
    </w:p>
    <w:p w:rsidR="00CA2E13" w:rsidRPr="00BE405C" w:rsidRDefault="002612B1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405C">
        <w:rPr>
          <w:rFonts w:ascii="Times New Roman" w:hAnsi="Times New Roman"/>
          <w:sz w:val="24"/>
          <w:szCs w:val="24"/>
        </w:rPr>
        <w:t xml:space="preserve">                               </w:t>
      </w:r>
    </w:p>
    <w:p w:rsidR="00F745C9" w:rsidRPr="00BE405C" w:rsidRDefault="00F745C9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38CE" w:rsidRDefault="005A38CE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A2E13" w:rsidRPr="00BE405C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BE405C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A2E13" w:rsidRPr="00BE405C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E13" w:rsidRPr="00BE405C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E13" w:rsidRPr="00BE405C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E13" w:rsidRPr="00BE405C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E405C">
        <w:rPr>
          <w:rFonts w:ascii="Times New Roman" w:hAnsi="Times New Roman"/>
          <w:sz w:val="24"/>
          <w:szCs w:val="24"/>
        </w:rPr>
        <w:t>Dr. Mészáros Zoltán</w:t>
      </w:r>
    </w:p>
    <w:p w:rsidR="00CA2E13" w:rsidRPr="00BE405C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E405C">
        <w:rPr>
          <w:rFonts w:ascii="Times New Roman" w:hAnsi="Times New Roman"/>
          <w:sz w:val="24"/>
          <w:szCs w:val="24"/>
        </w:rPr>
        <w:t>Jegyzői Iroda vezetője</w:t>
      </w:r>
    </w:p>
    <w:p w:rsidR="00CA2E13" w:rsidRPr="00BE405C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E13" w:rsidRPr="00BE405C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E13" w:rsidRPr="00BE405C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E13" w:rsidRPr="00BE405C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E13" w:rsidRPr="00BE405C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BE405C"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1"/>
    </w:p>
    <w:p w:rsidR="00CA2E13" w:rsidRPr="00BE405C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E405C">
        <w:rPr>
          <w:rFonts w:ascii="Times New Roman" w:hAnsi="Times New Roman"/>
          <w:b/>
          <w:bCs/>
          <w:sz w:val="24"/>
          <w:szCs w:val="24"/>
        </w:rPr>
        <w:t>A határozat</w:t>
      </w:r>
      <w:bookmarkStart w:id="2" w:name="_GoBack"/>
      <w:bookmarkEnd w:id="2"/>
      <w:r w:rsidRPr="00BE405C">
        <w:rPr>
          <w:rFonts w:ascii="Times New Roman" w:hAnsi="Times New Roman"/>
          <w:b/>
          <w:bCs/>
          <w:sz w:val="24"/>
          <w:szCs w:val="24"/>
        </w:rPr>
        <w:t xml:space="preserve"> elfogadásához egyszerű szavazattöbbség szükséges.</w:t>
      </w:r>
    </w:p>
    <w:p w:rsidR="00CA2E13" w:rsidRPr="00BE405C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E405C">
        <w:rPr>
          <w:rFonts w:ascii="Times New Roman" w:hAnsi="Times New Roman"/>
          <w:b/>
          <w:bCs/>
          <w:sz w:val="24"/>
          <w:szCs w:val="24"/>
        </w:rPr>
        <w:br w:type="page"/>
      </w:r>
    </w:p>
    <w:tbl>
      <w:tblPr>
        <w:tblW w:w="0" w:type="auto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CA2E13" w:rsidRPr="00BE405C" w:rsidTr="00C2404A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A2E13" w:rsidRPr="00BE405C" w:rsidRDefault="00CA2E13" w:rsidP="00C2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405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Budapest Főváros VII. kerület Erzsébetváros Önkormányzata</w:t>
            </w:r>
          </w:p>
          <w:p w:rsidR="00CA2E13" w:rsidRPr="00BE405C" w:rsidRDefault="005A4570" w:rsidP="00C2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Dankó Edina Vagyongazdálkodási Iroda irodavezető</w:t>
            </w:r>
          </w:p>
        </w:tc>
      </w:tr>
    </w:tbl>
    <w:p w:rsidR="00003C7A" w:rsidRDefault="00003C7A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Cs w:val="24"/>
        </w:rPr>
      </w:pPr>
    </w:p>
    <w:p w:rsidR="00CA2E13" w:rsidRPr="007234AE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234AE">
        <w:rPr>
          <w:rFonts w:ascii="Times New Roman" w:hAnsi="Times New Roman"/>
          <w:b/>
          <w:bCs/>
          <w:sz w:val="24"/>
          <w:szCs w:val="24"/>
        </w:rPr>
        <w:t>Tisztelt Bizottság!</w:t>
      </w:r>
    </w:p>
    <w:p w:rsidR="00003C7A" w:rsidRPr="007234AE" w:rsidRDefault="00003C7A" w:rsidP="00FB75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FC0EDF" w:rsidRPr="007234AE" w:rsidRDefault="00562214" w:rsidP="007234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7234AE">
        <w:rPr>
          <w:rFonts w:ascii="Times New Roman" w:hAnsi="Times New Roman"/>
          <w:sz w:val="24"/>
          <w:szCs w:val="24"/>
          <w:lang w:val="x-none" w:eastAsia="zh-CN"/>
        </w:rPr>
        <w:t xml:space="preserve">Budapest Főváros VII. Kerület Erzsébetváros Önkormányzata </w:t>
      </w:r>
      <w:r w:rsidR="00676E02" w:rsidRPr="007234AE">
        <w:rPr>
          <w:rFonts w:ascii="Times New Roman" w:hAnsi="Times New Roman"/>
          <w:sz w:val="24"/>
          <w:szCs w:val="24"/>
          <w:lang w:eastAsia="zh-CN"/>
        </w:rPr>
        <w:t xml:space="preserve">szerződést kíván kötni </w:t>
      </w:r>
      <w:r w:rsidR="00FC0EDF" w:rsidRPr="007234AE">
        <w:rPr>
          <w:rFonts w:ascii="Times New Roman" w:hAnsi="Times New Roman"/>
          <w:sz w:val="24"/>
          <w:szCs w:val="24"/>
          <w:lang w:eastAsia="zh-CN"/>
        </w:rPr>
        <w:t>az 1-7. számú melléklet</w:t>
      </w:r>
      <w:r w:rsidR="000409C3" w:rsidRPr="007234AE">
        <w:rPr>
          <w:rFonts w:ascii="Times New Roman" w:hAnsi="Times New Roman"/>
          <w:sz w:val="24"/>
          <w:szCs w:val="24"/>
          <w:lang w:eastAsia="zh-CN"/>
        </w:rPr>
        <w:t>ben szereplő 6 db üres ingatlan</w:t>
      </w:r>
      <w:r w:rsidR="00FC0EDF" w:rsidRPr="007234AE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="00CD14B6" w:rsidRPr="007234AE">
        <w:rPr>
          <w:rFonts w:ascii="Times New Roman" w:hAnsi="Times New Roman"/>
          <w:sz w:val="24"/>
          <w:szCs w:val="24"/>
          <w:lang w:eastAsia="zh-CN"/>
        </w:rPr>
        <w:t xml:space="preserve">felújítására, </w:t>
      </w:r>
      <w:r w:rsidR="00FC0EDF" w:rsidRPr="007234AE">
        <w:rPr>
          <w:rFonts w:ascii="Times New Roman" w:hAnsi="Times New Roman"/>
          <w:sz w:val="24"/>
          <w:szCs w:val="24"/>
          <w:lang w:eastAsia="zh-CN"/>
        </w:rPr>
        <w:t>átalakítására az Erzsébetvárosi Üzemeltetési és Ingatlanfejlesztési Kft.-vel.</w:t>
      </w:r>
    </w:p>
    <w:p w:rsidR="00FC0EDF" w:rsidRPr="007234AE" w:rsidRDefault="00FC0EDF" w:rsidP="007234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FC0EDF" w:rsidRPr="007234AE" w:rsidRDefault="00FC0EDF" w:rsidP="007234AE">
      <w:pPr>
        <w:tabs>
          <w:tab w:val="left" w:pos="5954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234AE">
        <w:rPr>
          <w:rFonts w:ascii="Times New Roman" w:hAnsi="Times New Roman"/>
          <w:sz w:val="24"/>
          <w:szCs w:val="24"/>
        </w:rPr>
        <w:t>Ehhez szükséges Budapest Főváros VII. kerület Erzsébetváros Önkormányzata és az Erzsébetvárosi Üzemeltetési és Ingatlanfejlesztési Kft. között bonyolítói szerződés kötése, a szerződés értéke bruttó 30.215.882,-Ft összeg.</w:t>
      </w:r>
    </w:p>
    <w:p w:rsidR="00FC0EDF" w:rsidRPr="007234AE" w:rsidRDefault="00FC0EDF" w:rsidP="007234AE">
      <w:pPr>
        <w:tabs>
          <w:tab w:val="left" w:pos="5954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234AE">
        <w:rPr>
          <w:rFonts w:ascii="Times New Roman" w:hAnsi="Times New Roman"/>
          <w:sz w:val="24"/>
          <w:szCs w:val="24"/>
        </w:rPr>
        <w:t xml:space="preserve">A Budapest Főváros VII. kerület Erzsébetváros Önkormányzata Közbeszerzési és Beszerzési Szabályzatának IX. fejezet 1.3. pontja értelmében az </w:t>
      </w:r>
      <w:r w:rsidR="00BB78C5" w:rsidRPr="007234AE">
        <w:rPr>
          <w:rFonts w:ascii="Times New Roman" w:hAnsi="Times New Roman"/>
          <w:sz w:val="24"/>
          <w:szCs w:val="24"/>
        </w:rPr>
        <w:t>Ö</w:t>
      </w:r>
      <w:r w:rsidRPr="007234AE">
        <w:rPr>
          <w:rFonts w:ascii="Times New Roman" w:hAnsi="Times New Roman"/>
          <w:sz w:val="24"/>
          <w:szCs w:val="24"/>
        </w:rPr>
        <w:t>nkormányzat többségi tulajdonában álló gazdasági társasággal kötendő szerződés esetén három árajánlat bekérésének mellőzésével valósítható meg a beszerzés.</w:t>
      </w:r>
    </w:p>
    <w:p w:rsidR="00FC0EDF" w:rsidRPr="007234AE" w:rsidRDefault="00FC0EDF" w:rsidP="007234AE">
      <w:pPr>
        <w:tabs>
          <w:tab w:val="left" w:pos="5954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234AE">
        <w:rPr>
          <w:rFonts w:ascii="Times New Roman" w:hAnsi="Times New Roman"/>
          <w:sz w:val="24"/>
          <w:szCs w:val="24"/>
        </w:rPr>
        <w:t>Budapest Főváros VII. kerület Erzsébetváros Önkormányzata Közbeszerzési és Beszerzési Szabályzatának IX. fejezet 1.1. pontja alapján a nettó 1.000.000 forint értékhatárt elérő, vagy meghaladó, de Kbt. tárgyi hatálya alá nem tartozó beszerzési eljárásokban az ajánlattételi felhívás tar</w:t>
      </w:r>
      <w:r w:rsidR="00CD14B6" w:rsidRPr="007234AE">
        <w:rPr>
          <w:rFonts w:ascii="Times New Roman" w:hAnsi="Times New Roman"/>
          <w:sz w:val="24"/>
          <w:szCs w:val="24"/>
        </w:rPr>
        <w:t>t</w:t>
      </w:r>
      <w:r w:rsidRPr="007234AE">
        <w:rPr>
          <w:rFonts w:ascii="Times New Roman" w:hAnsi="Times New Roman"/>
          <w:sz w:val="24"/>
          <w:szCs w:val="24"/>
        </w:rPr>
        <w:t>almáról, az ajánlattételre felhívásra kerülő ajánlattevők köréből a beszerzés tárgya szerinti szakiroda indokolt javaslata alapján a Polgármester dönt.</w:t>
      </w:r>
    </w:p>
    <w:p w:rsidR="00FC0EDF" w:rsidRPr="007234AE" w:rsidRDefault="00FC0EDF" w:rsidP="007234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34AE">
        <w:rPr>
          <w:rFonts w:ascii="Times New Roman" w:hAnsi="Times New Roman"/>
          <w:sz w:val="24"/>
          <w:szCs w:val="24"/>
        </w:rPr>
        <w:t>Polgármester Úr engedélye alapján az árajánlat bekérés kiküldésre került az Erzsébetvárosi Üzemeltetési és Ingatlanfejlesztési Kft.-nek</w:t>
      </w:r>
      <w:r w:rsidR="000409C3" w:rsidRPr="007234AE">
        <w:rPr>
          <w:rFonts w:ascii="Times New Roman" w:hAnsi="Times New Roman"/>
          <w:sz w:val="24"/>
          <w:szCs w:val="24"/>
        </w:rPr>
        <w:t>,</w:t>
      </w:r>
      <w:r w:rsidRPr="007234AE">
        <w:rPr>
          <w:rFonts w:ascii="Times New Roman" w:hAnsi="Times New Roman"/>
          <w:sz w:val="24"/>
          <w:szCs w:val="24"/>
        </w:rPr>
        <w:t xml:space="preserve"> az árajánlat az előterjesztés </w:t>
      </w:r>
      <w:r w:rsidR="00C34AA0" w:rsidRPr="007234AE">
        <w:rPr>
          <w:rFonts w:ascii="Times New Roman" w:hAnsi="Times New Roman"/>
          <w:sz w:val="24"/>
          <w:szCs w:val="24"/>
        </w:rPr>
        <w:t xml:space="preserve">1-7. számú </w:t>
      </w:r>
      <w:r w:rsidRPr="007234AE">
        <w:rPr>
          <w:rFonts w:ascii="Times New Roman" w:hAnsi="Times New Roman"/>
          <w:sz w:val="24"/>
          <w:szCs w:val="24"/>
        </w:rPr>
        <w:t>mellékletét képezi. Az árajánlat értéke alapján a szerződéskötésről a Pénzügyi és Kerületfejlesztési Bizottság hozza meg döntését.</w:t>
      </w:r>
    </w:p>
    <w:p w:rsidR="00FC0EDF" w:rsidRPr="007234AE" w:rsidRDefault="00FC0EDF" w:rsidP="007234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0EDF" w:rsidRPr="007234AE" w:rsidRDefault="00FC0EDF" w:rsidP="007234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34AE">
        <w:rPr>
          <w:rFonts w:ascii="Times New Roman" w:hAnsi="Times New Roman"/>
          <w:sz w:val="24"/>
          <w:szCs w:val="24"/>
        </w:rPr>
        <w:t>Budapest Főváros VII. kerület Erzsébetváros Önkormányzata Közbeszerzé</w:t>
      </w:r>
      <w:r w:rsidR="000409C3" w:rsidRPr="007234AE">
        <w:rPr>
          <w:rFonts w:ascii="Times New Roman" w:hAnsi="Times New Roman"/>
          <w:sz w:val="24"/>
          <w:szCs w:val="24"/>
        </w:rPr>
        <w:t>si és Beszerzési Szabályzatának</w:t>
      </w:r>
      <w:r w:rsidRPr="007234AE">
        <w:rPr>
          <w:rFonts w:ascii="Times New Roman" w:hAnsi="Times New Roman"/>
          <w:sz w:val="24"/>
          <w:szCs w:val="24"/>
        </w:rPr>
        <w:t xml:space="preserve"> IX. fejezet 1.1. pontja értelmében: </w:t>
      </w:r>
    </w:p>
    <w:p w:rsidR="00FC0EDF" w:rsidRPr="007234AE" w:rsidRDefault="00FC0EDF" w:rsidP="007234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0EDF" w:rsidRPr="007234AE" w:rsidRDefault="00FC0EDF" w:rsidP="007234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234AE">
        <w:rPr>
          <w:rFonts w:ascii="Times New Roman" w:hAnsi="Times New Roman"/>
          <w:sz w:val="24"/>
          <w:szCs w:val="24"/>
        </w:rPr>
        <w:t>„A beszerzési eljárást lezáró érdemi döntés meghozatala a közbeszerzési értékhatárt el nem érő beszerzési eljárásokban, továbbá a Kbt. tárgyi hatálya alá nem tartozó, nettó 10 millió forint érték alatti beszerzési eljárásokban a Polgármester, a Kbt. tárgyi hatálya alá nem tartozó, nettó 10 millió forintértéket elérő, vagy meghaladó beszerzési eljárásokban a Bizottság hatáskörébe tar</w:t>
      </w:r>
      <w:r w:rsidR="000409C3" w:rsidRPr="007234AE">
        <w:rPr>
          <w:rFonts w:ascii="Times New Roman" w:hAnsi="Times New Roman"/>
          <w:sz w:val="24"/>
          <w:szCs w:val="24"/>
        </w:rPr>
        <w:t>t</w:t>
      </w:r>
      <w:r w:rsidRPr="007234AE">
        <w:rPr>
          <w:rFonts w:ascii="Times New Roman" w:hAnsi="Times New Roman"/>
          <w:sz w:val="24"/>
          <w:szCs w:val="24"/>
        </w:rPr>
        <w:t>ozik.”</w:t>
      </w:r>
    </w:p>
    <w:p w:rsidR="00760646" w:rsidRPr="007234AE" w:rsidRDefault="00760646" w:rsidP="007234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562214" w:rsidRPr="007234AE" w:rsidRDefault="005B7D26" w:rsidP="007234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234AE">
        <w:rPr>
          <w:rFonts w:ascii="Times New Roman" w:hAnsi="Times New Roman"/>
          <w:bCs/>
          <w:sz w:val="24"/>
          <w:szCs w:val="24"/>
        </w:rPr>
        <w:t>A lakásokra vonatkozó átalakítási munkálatok költségei:</w:t>
      </w:r>
    </w:p>
    <w:p w:rsidR="00760646" w:rsidRPr="007234AE" w:rsidRDefault="00760646" w:rsidP="007234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3"/>
        <w:gridCol w:w="4529"/>
      </w:tblGrid>
      <w:tr w:rsidR="00760646" w:rsidTr="00003C7A">
        <w:trPr>
          <w:trHeight w:val="340"/>
        </w:trPr>
        <w:tc>
          <w:tcPr>
            <w:tcW w:w="4606" w:type="dxa"/>
            <w:shd w:val="clear" w:color="auto" w:fill="BFBFBF" w:themeFill="background1" w:themeFillShade="BF"/>
            <w:vAlign w:val="center"/>
          </w:tcPr>
          <w:p w:rsidR="00760646" w:rsidRPr="00003C7A" w:rsidRDefault="00003C7A" w:rsidP="00003C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Cs w:val="24"/>
              </w:rPr>
            </w:pPr>
            <w:r w:rsidRPr="00003C7A">
              <w:rPr>
                <w:rFonts w:asciiTheme="minorHAnsi" w:hAnsiTheme="minorHAnsi"/>
                <w:b/>
                <w:bCs/>
                <w:szCs w:val="24"/>
              </w:rPr>
              <w:t>Átalakítandó lakások</w:t>
            </w:r>
          </w:p>
        </w:tc>
        <w:tc>
          <w:tcPr>
            <w:tcW w:w="4606" w:type="dxa"/>
            <w:shd w:val="clear" w:color="auto" w:fill="BFBFBF" w:themeFill="background1" w:themeFillShade="BF"/>
            <w:vAlign w:val="center"/>
          </w:tcPr>
          <w:p w:rsidR="00760646" w:rsidRPr="00003C7A" w:rsidRDefault="00003C7A" w:rsidP="00003C7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Cs w:val="24"/>
              </w:rPr>
            </w:pPr>
            <w:r w:rsidRPr="00003C7A">
              <w:rPr>
                <w:rFonts w:asciiTheme="minorHAnsi" w:hAnsiTheme="minorHAnsi"/>
                <w:b/>
                <w:bCs/>
                <w:szCs w:val="24"/>
              </w:rPr>
              <w:t>Bruttó költség</w:t>
            </w:r>
          </w:p>
        </w:tc>
      </w:tr>
      <w:tr w:rsidR="00760646" w:rsidTr="00003C7A">
        <w:trPr>
          <w:trHeight w:val="340"/>
        </w:trPr>
        <w:tc>
          <w:tcPr>
            <w:tcW w:w="4606" w:type="dxa"/>
            <w:vAlign w:val="center"/>
          </w:tcPr>
          <w:p w:rsidR="00760646" w:rsidRPr="00003C7A" w:rsidRDefault="00760646" w:rsidP="00003C7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bCs/>
                <w:szCs w:val="24"/>
              </w:rPr>
            </w:pPr>
            <w:r w:rsidRPr="00003C7A">
              <w:rPr>
                <w:rFonts w:asciiTheme="minorHAnsi" w:hAnsiTheme="minorHAnsi"/>
                <w:szCs w:val="24"/>
              </w:rPr>
              <w:t>Dob u. 4. I/10.</w:t>
            </w:r>
          </w:p>
        </w:tc>
        <w:tc>
          <w:tcPr>
            <w:tcW w:w="4606" w:type="dxa"/>
            <w:vAlign w:val="center"/>
          </w:tcPr>
          <w:p w:rsidR="00760646" w:rsidRPr="00003C7A" w:rsidRDefault="00003C7A" w:rsidP="00003C7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Cs/>
                <w:szCs w:val="24"/>
              </w:rPr>
            </w:pPr>
            <w:r w:rsidRPr="00003C7A">
              <w:rPr>
                <w:rFonts w:asciiTheme="minorHAnsi" w:hAnsiTheme="minorHAnsi"/>
                <w:bCs/>
                <w:szCs w:val="24"/>
              </w:rPr>
              <w:t>2 409 317 Ft</w:t>
            </w:r>
          </w:p>
        </w:tc>
      </w:tr>
      <w:tr w:rsidR="00760646" w:rsidTr="00003C7A">
        <w:trPr>
          <w:trHeight w:val="340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:rsidR="00760646" w:rsidRPr="00003C7A" w:rsidRDefault="00267C91" w:rsidP="00003C7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bCs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Kazinczy u. 51. II/5A.</w:t>
            </w:r>
          </w:p>
        </w:tc>
        <w:tc>
          <w:tcPr>
            <w:tcW w:w="4606" w:type="dxa"/>
            <w:shd w:val="clear" w:color="auto" w:fill="F2F2F2" w:themeFill="background1" w:themeFillShade="F2"/>
            <w:vAlign w:val="center"/>
          </w:tcPr>
          <w:p w:rsidR="00760646" w:rsidRPr="00003C7A" w:rsidRDefault="00003C7A" w:rsidP="00003C7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Cs/>
                <w:szCs w:val="24"/>
              </w:rPr>
            </w:pPr>
            <w:r w:rsidRPr="00003C7A">
              <w:rPr>
                <w:rFonts w:asciiTheme="minorHAnsi" w:hAnsiTheme="minorHAnsi"/>
                <w:bCs/>
                <w:szCs w:val="24"/>
              </w:rPr>
              <w:t>7 332 250 Ft</w:t>
            </w:r>
          </w:p>
        </w:tc>
      </w:tr>
      <w:tr w:rsidR="00760646" w:rsidTr="00003C7A">
        <w:trPr>
          <w:trHeight w:val="340"/>
        </w:trPr>
        <w:tc>
          <w:tcPr>
            <w:tcW w:w="4606" w:type="dxa"/>
            <w:vAlign w:val="center"/>
          </w:tcPr>
          <w:p w:rsidR="00760646" w:rsidRPr="00003C7A" w:rsidRDefault="00760646" w:rsidP="00003C7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bCs/>
                <w:szCs w:val="24"/>
              </w:rPr>
            </w:pPr>
            <w:r w:rsidRPr="00003C7A">
              <w:rPr>
                <w:rFonts w:asciiTheme="minorHAnsi" w:hAnsiTheme="minorHAnsi"/>
                <w:szCs w:val="24"/>
              </w:rPr>
              <w:t>Kazinczy u. 51. II/5</w:t>
            </w:r>
            <w:r w:rsidR="00267C91">
              <w:rPr>
                <w:rFonts w:asciiTheme="minorHAnsi" w:hAnsiTheme="minorHAnsi"/>
                <w:szCs w:val="24"/>
              </w:rPr>
              <w:t>.</w:t>
            </w:r>
          </w:p>
        </w:tc>
        <w:tc>
          <w:tcPr>
            <w:tcW w:w="4606" w:type="dxa"/>
            <w:vAlign w:val="center"/>
          </w:tcPr>
          <w:p w:rsidR="00760646" w:rsidRPr="00003C7A" w:rsidRDefault="00003C7A" w:rsidP="00003C7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Cs/>
                <w:szCs w:val="24"/>
              </w:rPr>
            </w:pPr>
            <w:r w:rsidRPr="00003C7A">
              <w:rPr>
                <w:rFonts w:asciiTheme="minorHAnsi" w:hAnsiTheme="minorHAnsi"/>
                <w:bCs/>
                <w:szCs w:val="24"/>
              </w:rPr>
              <w:t>5 798 000 Ft</w:t>
            </w:r>
          </w:p>
        </w:tc>
      </w:tr>
      <w:tr w:rsidR="00760646" w:rsidTr="00003C7A">
        <w:trPr>
          <w:trHeight w:val="340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:rsidR="00760646" w:rsidRPr="00003C7A" w:rsidRDefault="00760646" w:rsidP="00003C7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bCs/>
                <w:szCs w:val="24"/>
              </w:rPr>
            </w:pPr>
            <w:r w:rsidRPr="00003C7A">
              <w:rPr>
                <w:rFonts w:asciiTheme="minorHAnsi" w:hAnsiTheme="minorHAnsi"/>
                <w:szCs w:val="24"/>
              </w:rPr>
              <w:t>Király u. 31. II/1A.</w:t>
            </w:r>
          </w:p>
        </w:tc>
        <w:tc>
          <w:tcPr>
            <w:tcW w:w="4606" w:type="dxa"/>
            <w:shd w:val="clear" w:color="auto" w:fill="F2F2F2" w:themeFill="background1" w:themeFillShade="F2"/>
            <w:vAlign w:val="center"/>
          </w:tcPr>
          <w:p w:rsidR="00760646" w:rsidRPr="00003C7A" w:rsidRDefault="00003C7A" w:rsidP="00003C7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Cs/>
                <w:szCs w:val="24"/>
              </w:rPr>
            </w:pPr>
            <w:r w:rsidRPr="00003C7A">
              <w:rPr>
                <w:rFonts w:asciiTheme="minorHAnsi" w:hAnsiTheme="minorHAnsi"/>
                <w:bCs/>
                <w:szCs w:val="24"/>
              </w:rPr>
              <w:t>4 753 612 Ft</w:t>
            </w:r>
          </w:p>
        </w:tc>
      </w:tr>
      <w:tr w:rsidR="00760646" w:rsidTr="00003C7A">
        <w:trPr>
          <w:trHeight w:val="340"/>
        </w:trPr>
        <w:tc>
          <w:tcPr>
            <w:tcW w:w="4606" w:type="dxa"/>
            <w:vAlign w:val="center"/>
          </w:tcPr>
          <w:p w:rsidR="00760646" w:rsidRPr="00003C7A" w:rsidRDefault="00003C7A" w:rsidP="00003C7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bCs/>
                <w:szCs w:val="24"/>
              </w:rPr>
            </w:pPr>
            <w:r w:rsidRPr="00003C7A">
              <w:rPr>
                <w:rFonts w:asciiTheme="minorHAnsi" w:hAnsiTheme="minorHAnsi"/>
                <w:szCs w:val="24"/>
              </w:rPr>
              <w:t>Király u. 49. 2/18.</w:t>
            </w:r>
          </w:p>
        </w:tc>
        <w:tc>
          <w:tcPr>
            <w:tcW w:w="4606" w:type="dxa"/>
            <w:vAlign w:val="center"/>
          </w:tcPr>
          <w:p w:rsidR="00760646" w:rsidRPr="00003C7A" w:rsidRDefault="00003C7A" w:rsidP="00003C7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Cs/>
                <w:szCs w:val="24"/>
              </w:rPr>
            </w:pPr>
            <w:r w:rsidRPr="00003C7A">
              <w:rPr>
                <w:rFonts w:asciiTheme="minorHAnsi" w:hAnsiTheme="minorHAnsi"/>
                <w:bCs/>
                <w:szCs w:val="24"/>
              </w:rPr>
              <w:t>5 010 757 Ft</w:t>
            </w:r>
          </w:p>
        </w:tc>
      </w:tr>
      <w:tr w:rsidR="00760646" w:rsidTr="00003C7A">
        <w:trPr>
          <w:trHeight w:val="340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:rsidR="00760646" w:rsidRPr="00003C7A" w:rsidRDefault="00003C7A" w:rsidP="00003C7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bCs/>
                <w:szCs w:val="24"/>
              </w:rPr>
            </w:pPr>
            <w:r w:rsidRPr="00003C7A">
              <w:rPr>
                <w:rFonts w:asciiTheme="minorHAnsi" w:hAnsiTheme="minorHAnsi"/>
                <w:szCs w:val="24"/>
              </w:rPr>
              <w:t>Nefelejcs u. 21. 1/19.</w:t>
            </w:r>
          </w:p>
        </w:tc>
        <w:tc>
          <w:tcPr>
            <w:tcW w:w="4606" w:type="dxa"/>
            <w:shd w:val="clear" w:color="auto" w:fill="F2F2F2" w:themeFill="background1" w:themeFillShade="F2"/>
            <w:vAlign w:val="center"/>
          </w:tcPr>
          <w:p w:rsidR="00760646" w:rsidRPr="00003C7A" w:rsidRDefault="00003C7A" w:rsidP="00003C7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Cs/>
                <w:szCs w:val="24"/>
              </w:rPr>
            </w:pPr>
            <w:r w:rsidRPr="00003C7A">
              <w:rPr>
                <w:rFonts w:asciiTheme="minorHAnsi" w:hAnsiTheme="minorHAnsi"/>
                <w:bCs/>
                <w:szCs w:val="24"/>
              </w:rPr>
              <w:t>4 911 946 Ft</w:t>
            </w:r>
          </w:p>
        </w:tc>
      </w:tr>
      <w:tr w:rsidR="00760646" w:rsidTr="00003C7A">
        <w:trPr>
          <w:trHeight w:val="340"/>
        </w:trPr>
        <w:tc>
          <w:tcPr>
            <w:tcW w:w="4606" w:type="dxa"/>
            <w:vAlign w:val="center"/>
          </w:tcPr>
          <w:p w:rsidR="00760646" w:rsidRPr="00003C7A" w:rsidRDefault="00003C7A" w:rsidP="00003C7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bCs/>
                <w:szCs w:val="24"/>
              </w:rPr>
            </w:pPr>
            <w:r w:rsidRPr="00003C7A">
              <w:rPr>
                <w:rFonts w:asciiTheme="minorHAnsi" w:hAnsiTheme="minorHAnsi"/>
                <w:bCs/>
                <w:szCs w:val="24"/>
              </w:rPr>
              <w:t>Összesen</w:t>
            </w:r>
          </w:p>
        </w:tc>
        <w:tc>
          <w:tcPr>
            <w:tcW w:w="4606" w:type="dxa"/>
            <w:vAlign w:val="center"/>
          </w:tcPr>
          <w:p w:rsidR="00760646" w:rsidRPr="00003C7A" w:rsidRDefault="00003C7A" w:rsidP="00003C7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/>
                <w:bCs/>
                <w:szCs w:val="24"/>
              </w:rPr>
            </w:pPr>
            <w:r w:rsidRPr="00003C7A">
              <w:rPr>
                <w:rFonts w:asciiTheme="minorHAnsi" w:hAnsiTheme="minorHAnsi"/>
                <w:bCs/>
                <w:szCs w:val="24"/>
              </w:rPr>
              <w:t>30 215 882 Ft</w:t>
            </w:r>
          </w:p>
        </w:tc>
      </w:tr>
    </w:tbl>
    <w:p w:rsidR="00E4047A" w:rsidRDefault="00E4047A" w:rsidP="005B7D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</w:p>
    <w:p w:rsidR="005B7D26" w:rsidRPr="007234AE" w:rsidRDefault="005B7D26" w:rsidP="005B7D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234AE">
        <w:rPr>
          <w:rFonts w:ascii="Times New Roman" w:hAnsi="Times New Roman"/>
          <w:bCs/>
          <w:sz w:val="24"/>
          <w:szCs w:val="24"/>
        </w:rPr>
        <w:t>Az előte</w:t>
      </w:r>
      <w:r w:rsidR="00923BAF" w:rsidRPr="007234AE">
        <w:rPr>
          <w:rFonts w:ascii="Times New Roman" w:hAnsi="Times New Roman"/>
          <w:bCs/>
          <w:sz w:val="24"/>
          <w:szCs w:val="24"/>
        </w:rPr>
        <w:t>rjesztés 1-</w:t>
      </w:r>
      <w:r w:rsidR="00953589" w:rsidRPr="007234AE">
        <w:rPr>
          <w:rFonts w:ascii="Times New Roman" w:hAnsi="Times New Roman"/>
          <w:bCs/>
          <w:sz w:val="24"/>
          <w:szCs w:val="24"/>
        </w:rPr>
        <w:t>7</w:t>
      </w:r>
      <w:r w:rsidRPr="007234AE">
        <w:rPr>
          <w:rFonts w:ascii="Times New Roman" w:hAnsi="Times New Roman"/>
          <w:bCs/>
          <w:sz w:val="24"/>
          <w:szCs w:val="24"/>
        </w:rPr>
        <w:t>. melléklete tartalmazza ezen összegek tételes</w:t>
      </w:r>
      <w:r w:rsidR="00CD14B6" w:rsidRPr="007234AE">
        <w:rPr>
          <w:rFonts w:ascii="Times New Roman" w:hAnsi="Times New Roman"/>
          <w:bCs/>
          <w:sz w:val="24"/>
          <w:szCs w:val="24"/>
        </w:rPr>
        <w:t xml:space="preserve"> és összesített költségvetését</w:t>
      </w:r>
      <w:r w:rsidRPr="007234AE">
        <w:rPr>
          <w:rFonts w:ascii="Times New Roman" w:hAnsi="Times New Roman"/>
          <w:bCs/>
          <w:sz w:val="24"/>
          <w:szCs w:val="24"/>
        </w:rPr>
        <w:t>.</w:t>
      </w:r>
    </w:p>
    <w:p w:rsidR="000409C3" w:rsidRPr="007234AE" w:rsidRDefault="005A4570" w:rsidP="000409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234AE">
        <w:rPr>
          <w:rFonts w:ascii="Times New Roman" w:hAnsi="Times New Roman"/>
          <w:bCs/>
          <w:sz w:val="24"/>
          <w:szCs w:val="24"/>
        </w:rPr>
        <w:t>Kérem a Tisztelt</w:t>
      </w:r>
      <w:r w:rsidR="000409C3" w:rsidRPr="007234AE">
        <w:rPr>
          <w:rFonts w:ascii="Times New Roman" w:hAnsi="Times New Roman"/>
          <w:bCs/>
          <w:sz w:val="24"/>
          <w:szCs w:val="24"/>
        </w:rPr>
        <w:t xml:space="preserve"> Bizottságot, hogy az előterjesztett határozati javaslatot szíveskedjen elfogadni.</w:t>
      </w:r>
    </w:p>
    <w:p w:rsidR="00760646" w:rsidRPr="007234AE" w:rsidRDefault="00760646" w:rsidP="00CA2E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409C3" w:rsidRDefault="000409C3" w:rsidP="007234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CA2E13" w:rsidRPr="005A4570" w:rsidRDefault="00760646" w:rsidP="00CA2E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A4570">
        <w:rPr>
          <w:rFonts w:ascii="Times New Roman" w:hAnsi="Times New Roman"/>
          <w:b/>
          <w:bCs/>
          <w:sz w:val="24"/>
          <w:szCs w:val="24"/>
        </w:rPr>
        <w:t>H</w:t>
      </w:r>
      <w:r w:rsidR="00CA2E13" w:rsidRPr="005A4570">
        <w:rPr>
          <w:rFonts w:ascii="Times New Roman" w:hAnsi="Times New Roman"/>
          <w:b/>
          <w:bCs/>
          <w:sz w:val="24"/>
          <w:szCs w:val="24"/>
          <w:lang w:val="x-none"/>
        </w:rPr>
        <w:t>atározati javaslat</w:t>
      </w:r>
    </w:p>
    <w:p w:rsidR="00CA2E13" w:rsidRPr="005A4570" w:rsidRDefault="00CA2E13" w:rsidP="008C34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409C3" w:rsidRPr="005A4570" w:rsidRDefault="000409C3" w:rsidP="000409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570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hogy Budapest Főváros VII. kerület Erzsébetváros Önkormányzata szerződést köt az Erzsébetvárosi Üzemeltetési és Ingatlanfejlesztési Kft.-vel a mellékletben szereplő 6 db lakóingatlan </w:t>
      </w:r>
      <w:r w:rsidR="0025469F" w:rsidRPr="005A4570">
        <w:rPr>
          <w:rFonts w:ascii="Times New Roman" w:hAnsi="Times New Roman"/>
          <w:sz w:val="24"/>
          <w:szCs w:val="24"/>
        </w:rPr>
        <w:t xml:space="preserve">felújítására, </w:t>
      </w:r>
      <w:r w:rsidRPr="005A4570">
        <w:rPr>
          <w:rFonts w:ascii="Times New Roman" w:hAnsi="Times New Roman"/>
          <w:sz w:val="24"/>
          <w:szCs w:val="24"/>
        </w:rPr>
        <w:t>átalakítására bruttó 30.215.882,-Ft összeg értékben. Ezzel egyidejűleg a Bizottság felkéri és felhatalmazza a Polgármester</w:t>
      </w:r>
      <w:r w:rsidR="00AA43F2" w:rsidRPr="005A4570">
        <w:rPr>
          <w:rFonts w:ascii="Times New Roman" w:hAnsi="Times New Roman"/>
          <w:sz w:val="24"/>
          <w:szCs w:val="24"/>
        </w:rPr>
        <w:t>t</w:t>
      </w:r>
      <w:r w:rsidRPr="005A4570">
        <w:rPr>
          <w:rFonts w:ascii="Times New Roman" w:hAnsi="Times New Roman"/>
          <w:sz w:val="24"/>
          <w:szCs w:val="24"/>
        </w:rPr>
        <w:t xml:space="preserve"> a szerződés aláírására.</w:t>
      </w:r>
    </w:p>
    <w:p w:rsidR="000409C3" w:rsidRPr="005A4570" w:rsidRDefault="000409C3" w:rsidP="000409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E13" w:rsidRPr="005A4570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5A457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5A4570">
        <w:rPr>
          <w:rFonts w:ascii="Times New Roman" w:hAnsi="Times New Roman"/>
          <w:sz w:val="24"/>
          <w:szCs w:val="24"/>
          <w:lang w:val="x-none"/>
        </w:rPr>
        <w:tab/>
        <w:t>Vattamány Zsolt polgármester</w:t>
      </w:r>
    </w:p>
    <w:p w:rsidR="00CA2E13" w:rsidRPr="005A4570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57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5A4570">
        <w:rPr>
          <w:rFonts w:ascii="Times New Roman" w:hAnsi="Times New Roman"/>
          <w:sz w:val="24"/>
          <w:szCs w:val="24"/>
          <w:lang w:val="x-none"/>
        </w:rPr>
        <w:tab/>
      </w:r>
      <w:r w:rsidRPr="005A4570">
        <w:rPr>
          <w:rFonts w:ascii="Times New Roman" w:hAnsi="Times New Roman"/>
          <w:sz w:val="24"/>
          <w:szCs w:val="24"/>
        </w:rPr>
        <w:t>azonnal</w:t>
      </w:r>
    </w:p>
    <w:p w:rsidR="00CA2E13" w:rsidRPr="005A4570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570">
        <w:rPr>
          <w:rFonts w:ascii="Times New Roman" w:hAnsi="Times New Roman"/>
          <w:sz w:val="24"/>
          <w:szCs w:val="24"/>
        </w:rPr>
        <w:t xml:space="preserve"> </w:t>
      </w:r>
    </w:p>
    <w:p w:rsidR="00CA2E13" w:rsidRPr="005A4570" w:rsidRDefault="00CA2E13" w:rsidP="00CA2E1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A2E13" w:rsidRPr="005A4570" w:rsidRDefault="00CA2E13" w:rsidP="006903C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A4570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Pr="005A4570">
        <w:rPr>
          <w:rFonts w:ascii="Times New Roman" w:hAnsi="Times New Roman"/>
          <w:bCs/>
          <w:sz w:val="24"/>
          <w:szCs w:val="24"/>
        </w:rPr>
        <w:t>2017.</w:t>
      </w:r>
      <w:r w:rsidR="006903CF" w:rsidRPr="005A4570">
        <w:rPr>
          <w:rFonts w:ascii="Times New Roman" w:hAnsi="Times New Roman"/>
          <w:bCs/>
          <w:sz w:val="24"/>
          <w:szCs w:val="24"/>
        </w:rPr>
        <w:t xml:space="preserve"> </w:t>
      </w:r>
      <w:r w:rsidR="00E4047A" w:rsidRPr="005A4570">
        <w:rPr>
          <w:rFonts w:ascii="Times New Roman" w:hAnsi="Times New Roman"/>
          <w:bCs/>
          <w:sz w:val="24"/>
          <w:szCs w:val="24"/>
        </w:rPr>
        <w:t>november 6.</w:t>
      </w:r>
      <w:r w:rsidR="005041D2" w:rsidRPr="005A4570">
        <w:rPr>
          <w:rFonts w:ascii="Times New Roman" w:hAnsi="Times New Roman"/>
          <w:bCs/>
          <w:sz w:val="24"/>
          <w:szCs w:val="24"/>
        </w:rPr>
        <w:tab/>
      </w:r>
    </w:p>
    <w:p w:rsidR="00CA2E13" w:rsidRPr="005A4570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ind w:left="5895" w:right="1184"/>
        <w:jc w:val="both"/>
        <w:rPr>
          <w:rFonts w:ascii="Times New Roman" w:hAnsi="Times New Roman"/>
          <w:b/>
          <w:bCs/>
          <w:sz w:val="24"/>
          <w:szCs w:val="24"/>
        </w:rPr>
      </w:pPr>
      <w:r w:rsidRPr="005A457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A4570">
        <w:rPr>
          <w:rFonts w:ascii="Times New Roman" w:hAnsi="Times New Roman"/>
          <w:b/>
          <w:bCs/>
          <w:sz w:val="24"/>
          <w:szCs w:val="24"/>
        </w:rPr>
        <w:tab/>
      </w:r>
      <w:r w:rsidRPr="005A4570">
        <w:rPr>
          <w:rFonts w:ascii="Times New Roman" w:hAnsi="Times New Roman"/>
          <w:b/>
          <w:bCs/>
          <w:sz w:val="24"/>
          <w:szCs w:val="24"/>
        </w:rPr>
        <w:tab/>
      </w:r>
      <w:r w:rsidRPr="005A4570">
        <w:rPr>
          <w:rFonts w:ascii="Times New Roman" w:hAnsi="Times New Roman"/>
          <w:b/>
          <w:bCs/>
          <w:sz w:val="24"/>
          <w:szCs w:val="24"/>
        </w:rPr>
        <w:tab/>
      </w:r>
      <w:r w:rsidRPr="005A4570">
        <w:rPr>
          <w:rFonts w:ascii="Times New Roman" w:hAnsi="Times New Roman"/>
          <w:b/>
          <w:bCs/>
          <w:sz w:val="24"/>
          <w:szCs w:val="24"/>
        </w:rPr>
        <w:tab/>
      </w:r>
      <w:r w:rsidRPr="005A4570">
        <w:rPr>
          <w:rFonts w:ascii="Times New Roman" w:hAnsi="Times New Roman"/>
          <w:b/>
          <w:bCs/>
          <w:sz w:val="24"/>
          <w:szCs w:val="24"/>
        </w:rPr>
        <w:tab/>
      </w:r>
    </w:p>
    <w:p w:rsidR="006954BE" w:rsidRPr="005A4570" w:rsidRDefault="005503FA" w:rsidP="006162F7">
      <w:pPr>
        <w:widowControl w:val="0"/>
        <w:tabs>
          <w:tab w:val="center" w:pos="637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570">
        <w:rPr>
          <w:rFonts w:ascii="Times New Roman" w:hAnsi="Times New Roman"/>
          <w:sz w:val="24"/>
          <w:szCs w:val="24"/>
        </w:rPr>
        <w:tab/>
      </w:r>
      <w:r w:rsidR="005A4570" w:rsidRPr="005A4570">
        <w:rPr>
          <w:rFonts w:ascii="Times New Roman" w:hAnsi="Times New Roman"/>
          <w:sz w:val="24"/>
          <w:szCs w:val="24"/>
        </w:rPr>
        <w:t>Dr. Dankó Edina</w:t>
      </w:r>
    </w:p>
    <w:p w:rsidR="00CA2E13" w:rsidRPr="005A4570" w:rsidRDefault="006954BE" w:rsidP="006162F7">
      <w:pPr>
        <w:widowControl w:val="0"/>
        <w:tabs>
          <w:tab w:val="center" w:pos="637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4570">
        <w:rPr>
          <w:rFonts w:ascii="Times New Roman" w:hAnsi="Times New Roman"/>
          <w:sz w:val="24"/>
          <w:szCs w:val="24"/>
        </w:rPr>
        <w:tab/>
      </w:r>
      <w:r w:rsidR="005A4570" w:rsidRPr="005A4570">
        <w:rPr>
          <w:rFonts w:ascii="Times New Roman" w:hAnsi="Times New Roman"/>
          <w:sz w:val="24"/>
          <w:szCs w:val="24"/>
        </w:rPr>
        <w:t>Vagyongazdálkodási Iroda</w:t>
      </w:r>
      <w:r w:rsidR="006903CF" w:rsidRPr="005A4570">
        <w:rPr>
          <w:rFonts w:ascii="Times New Roman" w:hAnsi="Times New Roman"/>
          <w:sz w:val="24"/>
          <w:szCs w:val="24"/>
        </w:rPr>
        <w:t xml:space="preserve">                         </w:t>
      </w:r>
    </w:p>
    <w:p w:rsidR="007F1E13" w:rsidRPr="005A4570" w:rsidRDefault="005A4570" w:rsidP="00CB784E">
      <w:pPr>
        <w:tabs>
          <w:tab w:val="center" w:pos="6804"/>
        </w:tabs>
        <w:rPr>
          <w:rFonts w:ascii="Times New Roman" w:hAnsi="Times New Roman"/>
          <w:sz w:val="24"/>
          <w:szCs w:val="24"/>
        </w:rPr>
      </w:pPr>
      <w:r w:rsidRPr="005A457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irodavezető</w:t>
      </w:r>
      <w:r w:rsidR="006903CF" w:rsidRPr="005A4570">
        <w:rPr>
          <w:rFonts w:ascii="Times New Roman" w:hAnsi="Times New Roman"/>
          <w:sz w:val="24"/>
          <w:szCs w:val="24"/>
        </w:rPr>
        <w:t xml:space="preserve"> </w:t>
      </w:r>
    </w:p>
    <w:sectPr w:rsidR="007F1E13" w:rsidRPr="005A4570" w:rsidSect="005041D2">
      <w:pgSz w:w="11906" w:h="16838"/>
      <w:pgMar w:top="1417" w:right="1417" w:bottom="426" w:left="1417" w:header="708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4BD5" w:rsidRDefault="002E4BD5" w:rsidP="005041D2">
      <w:pPr>
        <w:spacing w:after="0" w:line="240" w:lineRule="auto"/>
      </w:pPr>
      <w:r>
        <w:separator/>
      </w:r>
    </w:p>
  </w:endnote>
  <w:endnote w:type="continuationSeparator" w:id="0">
    <w:p w:rsidR="002E4BD5" w:rsidRDefault="002E4BD5" w:rsidP="00504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4BD5" w:rsidRDefault="002E4BD5" w:rsidP="005041D2">
      <w:pPr>
        <w:spacing w:after="0" w:line="240" w:lineRule="auto"/>
      </w:pPr>
      <w:r>
        <w:separator/>
      </w:r>
    </w:p>
  </w:footnote>
  <w:footnote w:type="continuationSeparator" w:id="0">
    <w:p w:rsidR="002E4BD5" w:rsidRDefault="002E4BD5" w:rsidP="005041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13657D"/>
    <w:multiLevelType w:val="hybridMultilevel"/>
    <w:tmpl w:val="F7F070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7372A"/>
    <w:multiLevelType w:val="hybridMultilevel"/>
    <w:tmpl w:val="8508F994"/>
    <w:lvl w:ilvl="0" w:tplc="41B417B2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A9F616B"/>
    <w:multiLevelType w:val="hybridMultilevel"/>
    <w:tmpl w:val="9AFAD3D2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4D323E"/>
    <w:multiLevelType w:val="hybridMultilevel"/>
    <w:tmpl w:val="32880C4C"/>
    <w:lvl w:ilvl="0" w:tplc="E02458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B36815"/>
    <w:multiLevelType w:val="hybridMultilevel"/>
    <w:tmpl w:val="B8B81EDA"/>
    <w:lvl w:ilvl="0" w:tplc="F6D296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9D3716"/>
    <w:multiLevelType w:val="hybridMultilevel"/>
    <w:tmpl w:val="06147D34"/>
    <w:lvl w:ilvl="0" w:tplc="BEB835C4">
      <w:start w:val="6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0B06393"/>
    <w:multiLevelType w:val="hybridMultilevel"/>
    <w:tmpl w:val="8BBADC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771"/>
    <w:rsid w:val="00003C7A"/>
    <w:rsid w:val="00026401"/>
    <w:rsid w:val="000271AF"/>
    <w:rsid w:val="000409C3"/>
    <w:rsid w:val="00043EDA"/>
    <w:rsid w:val="00046543"/>
    <w:rsid w:val="0008061D"/>
    <w:rsid w:val="000E28E5"/>
    <w:rsid w:val="00105FE2"/>
    <w:rsid w:val="00106F48"/>
    <w:rsid w:val="00110C20"/>
    <w:rsid w:val="001904E9"/>
    <w:rsid w:val="001B13FA"/>
    <w:rsid w:val="001C3DBF"/>
    <w:rsid w:val="001C5057"/>
    <w:rsid w:val="001F2C6C"/>
    <w:rsid w:val="00212AE9"/>
    <w:rsid w:val="00243136"/>
    <w:rsid w:val="0025469F"/>
    <w:rsid w:val="002612B1"/>
    <w:rsid w:val="00267C91"/>
    <w:rsid w:val="002B0B28"/>
    <w:rsid w:val="002B4229"/>
    <w:rsid w:val="002C0769"/>
    <w:rsid w:val="002C71AE"/>
    <w:rsid w:val="002D282C"/>
    <w:rsid w:val="002E4BD5"/>
    <w:rsid w:val="003365E0"/>
    <w:rsid w:val="003B38DD"/>
    <w:rsid w:val="00414E18"/>
    <w:rsid w:val="00423E6B"/>
    <w:rsid w:val="0043207D"/>
    <w:rsid w:val="00436292"/>
    <w:rsid w:val="00486036"/>
    <w:rsid w:val="004E2A29"/>
    <w:rsid w:val="005041D2"/>
    <w:rsid w:val="00530761"/>
    <w:rsid w:val="005503FA"/>
    <w:rsid w:val="005613E0"/>
    <w:rsid w:val="00562214"/>
    <w:rsid w:val="00564409"/>
    <w:rsid w:val="005A25B1"/>
    <w:rsid w:val="005A38CE"/>
    <w:rsid w:val="005A4570"/>
    <w:rsid w:val="005B7D26"/>
    <w:rsid w:val="00610A65"/>
    <w:rsid w:val="006162F7"/>
    <w:rsid w:val="00621C14"/>
    <w:rsid w:val="00633813"/>
    <w:rsid w:val="006563D2"/>
    <w:rsid w:val="006654C9"/>
    <w:rsid w:val="00676E02"/>
    <w:rsid w:val="006903CF"/>
    <w:rsid w:val="006952DE"/>
    <w:rsid w:val="006954BE"/>
    <w:rsid w:val="006A3E00"/>
    <w:rsid w:val="006A5EA7"/>
    <w:rsid w:val="006B7B47"/>
    <w:rsid w:val="006C7615"/>
    <w:rsid w:val="006D78E9"/>
    <w:rsid w:val="00705816"/>
    <w:rsid w:val="007234AE"/>
    <w:rsid w:val="00760646"/>
    <w:rsid w:val="00763454"/>
    <w:rsid w:val="00795A95"/>
    <w:rsid w:val="007A0D2F"/>
    <w:rsid w:val="007D1B41"/>
    <w:rsid w:val="007D2ABD"/>
    <w:rsid w:val="007F1E13"/>
    <w:rsid w:val="008060BE"/>
    <w:rsid w:val="008178C9"/>
    <w:rsid w:val="008A561B"/>
    <w:rsid w:val="008C344D"/>
    <w:rsid w:val="00916C25"/>
    <w:rsid w:val="00923BAF"/>
    <w:rsid w:val="00940237"/>
    <w:rsid w:val="00953589"/>
    <w:rsid w:val="00966347"/>
    <w:rsid w:val="00994771"/>
    <w:rsid w:val="00A2397C"/>
    <w:rsid w:val="00A30AF8"/>
    <w:rsid w:val="00A4671D"/>
    <w:rsid w:val="00A76063"/>
    <w:rsid w:val="00AA43F2"/>
    <w:rsid w:val="00AA52CE"/>
    <w:rsid w:val="00AA53AB"/>
    <w:rsid w:val="00AA6E0C"/>
    <w:rsid w:val="00AB65EF"/>
    <w:rsid w:val="00AB7930"/>
    <w:rsid w:val="00AD129B"/>
    <w:rsid w:val="00B0481D"/>
    <w:rsid w:val="00B579F1"/>
    <w:rsid w:val="00B7479D"/>
    <w:rsid w:val="00B75410"/>
    <w:rsid w:val="00B930FB"/>
    <w:rsid w:val="00BB78C5"/>
    <w:rsid w:val="00BD2D1E"/>
    <w:rsid w:val="00BE405C"/>
    <w:rsid w:val="00C34AA0"/>
    <w:rsid w:val="00C422BF"/>
    <w:rsid w:val="00C9695C"/>
    <w:rsid w:val="00CA2E13"/>
    <w:rsid w:val="00CB784E"/>
    <w:rsid w:val="00CD14B6"/>
    <w:rsid w:val="00CE16D9"/>
    <w:rsid w:val="00D4188E"/>
    <w:rsid w:val="00D43FCD"/>
    <w:rsid w:val="00D71C95"/>
    <w:rsid w:val="00D728B0"/>
    <w:rsid w:val="00DA1330"/>
    <w:rsid w:val="00DA679D"/>
    <w:rsid w:val="00E04EA2"/>
    <w:rsid w:val="00E4047A"/>
    <w:rsid w:val="00E51B84"/>
    <w:rsid w:val="00E56E50"/>
    <w:rsid w:val="00E62509"/>
    <w:rsid w:val="00EB0AAC"/>
    <w:rsid w:val="00EB13A9"/>
    <w:rsid w:val="00F22E92"/>
    <w:rsid w:val="00F27387"/>
    <w:rsid w:val="00F610D2"/>
    <w:rsid w:val="00F745C9"/>
    <w:rsid w:val="00FB4A5D"/>
    <w:rsid w:val="00FB7585"/>
    <w:rsid w:val="00FC0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237603-864F-48D7-992A-E80FE4F78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A2E13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041D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5041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041D2"/>
    <w:rPr>
      <w:rFonts w:ascii="Calibri" w:eastAsia="Times New Roman" w:hAnsi="Calibri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5041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041D2"/>
    <w:rPr>
      <w:rFonts w:ascii="Calibri" w:eastAsia="Times New Roman" w:hAnsi="Calibri" w:cs="Times New Roman"/>
      <w:lang w:eastAsia="hu-HU"/>
    </w:rPr>
  </w:style>
  <w:style w:type="table" w:customStyle="1" w:styleId="Rcsostblzat1">
    <w:name w:val="Rácsos táblázat1"/>
    <w:basedOn w:val="Normltblzat"/>
    <w:next w:val="Rcsostblzat"/>
    <w:uiPriority w:val="59"/>
    <w:rsid w:val="00BE4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59"/>
    <w:rsid w:val="00BE4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5B7D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B7D26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61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543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Tavas Bernadett</dc:creator>
  <cp:lastModifiedBy>Mészáros Zoltán</cp:lastModifiedBy>
  <cp:revision>6</cp:revision>
  <cp:lastPrinted>2017-11-15T14:08:00Z</cp:lastPrinted>
  <dcterms:created xsi:type="dcterms:W3CDTF">2017-11-15T14:09:00Z</dcterms:created>
  <dcterms:modified xsi:type="dcterms:W3CDTF">2017-11-17T07:00:00Z</dcterms:modified>
</cp:coreProperties>
</file>