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06"/>
        <w:gridCol w:w="479"/>
        <w:gridCol w:w="479"/>
        <w:gridCol w:w="479"/>
        <w:gridCol w:w="479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C219A7" w:rsidRPr="00C219A7" w:rsidTr="00C219A7">
        <w:trPr>
          <w:trHeight w:val="1020"/>
        </w:trPr>
        <w:tc>
          <w:tcPr>
            <w:tcW w:w="5820" w:type="dxa"/>
            <w:noWrap/>
            <w:hideMark/>
          </w:tcPr>
          <w:p w:rsid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i/>
                <w:iCs/>
              </w:rPr>
              <w:t> </w:t>
            </w:r>
            <w:r w:rsidRPr="00C219A7">
              <w:rPr>
                <w:b/>
                <w:bCs/>
                <w:i/>
                <w:iCs/>
              </w:rPr>
              <w:t xml:space="preserve">IV.1.3. sz. táblázat </w:t>
            </w:r>
          </w:p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Parkgondnoki alkalmazottak létszáma havi bontásban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január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február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március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április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május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június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július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augusztus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szeptember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október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november</w:t>
            </w:r>
          </w:p>
        </w:tc>
        <w:tc>
          <w:tcPr>
            <w:tcW w:w="420" w:type="dxa"/>
            <w:vMerge w:val="restart"/>
            <w:noWrap/>
            <w:textDirection w:val="tbRl"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jc w:val="center"/>
              <w:rPr>
                <w:i/>
                <w:iCs/>
              </w:rPr>
            </w:pPr>
            <w:r w:rsidRPr="00C219A7">
              <w:rPr>
                <w:i/>
                <w:iCs/>
              </w:rPr>
              <w:t>december</w:t>
            </w:r>
          </w:p>
        </w:tc>
      </w:tr>
      <w:tr w:rsidR="00C219A7" w:rsidRPr="00C219A7" w:rsidTr="000E7555">
        <w:trPr>
          <w:trHeight w:val="1380"/>
        </w:trPr>
        <w:tc>
          <w:tcPr>
            <w:tcW w:w="5820" w:type="dxa"/>
            <w:noWrap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  <w:tc>
          <w:tcPr>
            <w:tcW w:w="420" w:type="dxa"/>
            <w:vMerge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</w:p>
        </w:tc>
      </w:tr>
      <w:tr w:rsidR="00C219A7" w:rsidRPr="00C219A7" w:rsidTr="00C219A7">
        <w:trPr>
          <w:trHeight w:val="1410"/>
        </w:trPr>
        <w:tc>
          <w:tcPr>
            <w:tcW w:w="58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Alkalmazottak létszáma havonta összesen (fő)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b/>
                <w:bCs/>
                <w:i/>
                <w:iCs/>
              </w:rPr>
            </w:pPr>
            <w:r w:rsidRPr="00C219A7">
              <w:rPr>
                <w:b/>
                <w:bCs/>
                <w:i/>
                <w:iCs/>
              </w:rPr>
              <w:t>12</w:t>
            </w:r>
          </w:p>
        </w:tc>
      </w:tr>
      <w:tr w:rsidR="00C219A7" w:rsidRPr="00C219A7" w:rsidTr="00C219A7">
        <w:trPr>
          <w:trHeight w:val="1200"/>
        </w:trPr>
        <w:tc>
          <w:tcPr>
            <w:tcW w:w="58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Segédmunkás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9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9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8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8</w:t>
            </w:r>
          </w:p>
        </w:tc>
      </w:tr>
      <w:tr w:rsidR="00C219A7" w:rsidRPr="00C219A7" w:rsidTr="00C219A7">
        <w:trPr>
          <w:trHeight w:val="1230"/>
        </w:trPr>
        <w:tc>
          <w:tcPr>
            <w:tcW w:w="58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Kertész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6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3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3</w:t>
            </w:r>
          </w:p>
        </w:tc>
      </w:tr>
      <w:tr w:rsidR="00C219A7" w:rsidRPr="00C219A7" w:rsidTr="00C219A7">
        <w:trPr>
          <w:trHeight w:val="1260"/>
        </w:trPr>
        <w:tc>
          <w:tcPr>
            <w:tcW w:w="58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Brigádvezető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  <w:tc>
          <w:tcPr>
            <w:tcW w:w="420" w:type="dxa"/>
            <w:noWrap/>
            <w:hideMark/>
          </w:tcPr>
          <w:p w:rsidR="00C219A7" w:rsidRPr="00C219A7" w:rsidRDefault="00C219A7" w:rsidP="00C219A7">
            <w:pPr>
              <w:widowControl/>
              <w:autoSpaceDE/>
              <w:autoSpaceDN/>
              <w:spacing w:after="200" w:line="276" w:lineRule="auto"/>
              <w:rPr>
                <w:i/>
                <w:iCs/>
              </w:rPr>
            </w:pPr>
            <w:r w:rsidRPr="00C219A7">
              <w:rPr>
                <w:i/>
                <w:iCs/>
              </w:rPr>
              <w:t>1</w:t>
            </w:r>
          </w:p>
        </w:tc>
      </w:tr>
    </w:tbl>
    <w:p w:rsidR="00C219A7" w:rsidRDefault="00C219A7" w:rsidP="00C219A7">
      <w:pPr>
        <w:widowControl/>
        <w:autoSpaceDE/>
        <w:autoSpaceDN/>
        <w:spacing w:after="200" w:line="276" w:lineRule="auto"/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5582"/>
      </w:tblGrid>
      <w:tr w:rsidR="00C219A7" w:rsidRPr="00213105" w:rsidTr="006F538E">
        <w:trPr>
          <w:trHeight w:val="668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9A7" w:rsidRDefault="00C219A7" w:rsidP="006F538E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08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IV.1.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00608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sz. táblázat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C219A7" w:rsidRPr="009E3DED" w:rsidRDefault="00C219A7" w:rsidP="006F538E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Parkgond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</w:t>
            </w: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oki alkalmazottak havi munkabére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(bruttó Ft, járulé</w:t>
            </w: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kokkal együtt)</w:t>
            </w:r>
          </w:p>
        </w:tc>
      </w:tr>
      <w:tr w:rsidR="00C219A7" w:rsidRPr="00213105" w:rsidTr="006F538E">
        <w:trPr>
          <w:trHeight w:val="315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C219A7" w:rsidP="006F538E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Segédmunkás</w:t>
            </w:r>
          </w:p>
        </w:tc>
        <w:tc>
          <w:tcPr>
            <w:tcW w:w="55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C219A7" w:rsidP="00E824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254 73</w:t>
            </w:r>
            <w:r w:rsidR="00E8249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Ft</w:t>
            </w:r>
            <w:bookmarkStart w:id="0" w:name="_GoBack"/>
            <w:bookmarkEnd w:id="0"/>
          </w:p>
        </w:tc>
      </w:tr>
      <w:tr w:rsidR="00C219A7" w:rsidRPr="00213105" w:rsidTr="006F538E">
        <w:trPr>
          <w:trHeight w:val="315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C219A7" w:rsidP="006F538E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Kertész</w:t>
            </w:r>
          </w:p>
        </w:tc>
        <w:tc>
          <w:tcPr>
            <w:tcW w:w="5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C219A7" w:rsidP="00E824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327 519</w:t>
            </w: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Ft</w:t>
            </w:r>
          </w:p>
        </w:tc>
      </w:tr>
      <w:tr w:rsidR="00C219A7" w:rsidRPr="00213105" w:rsidTr="006F538E">
        <w:trPr>
          <w:trHeight w:val="315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C219A7" w:rsidP="006F538E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Brigádvezető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19A7" w:rsidRPr="009E3DED" w:rsidRDefault="00E8249C" w:rsidP="00E824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454 887</w:t>
            </w:r>
            <w:r w:rsidR="00C219A7"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Ft</w:t>
            </w:r>
          </w:p>
        </w:tc>
      </w:tr>
    </w:tbl>
    <w:p w:rsidR="001D4C00" w:rsidRDefault="00E8249C"/>
    <w:sectPr w:rsidR="001D4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A7"/>
    <w:rsid w:val="000E7555"/>
    <w:rsid w:val="001F067F"/>
    <w:rsid w:val="004E2938"/>
    <w:rsid w:val="00BC3FF8"/>
    <w:rsid w:val="00C219A7"/>
    <w:rsid w:val="00D622E0"/>
    <w:rsid w:val="00E8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A005A-402A-4213-A624-F9616EAC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19A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Bordás Ágnes</dc:creator>
  <cp:keywords/>
  <dc:description/>
  <cp:lastModifiedBy>Bordás Ágnes</cp:lastModifiedBy>
  <cp:revision>3</cp:revision>
  <dcterms:created xsi:type="dcterms:W3CDTF">2019-01-23T12:41:00Z</dcterms:created>
  <dcterms:modified xsi:type="dcterms:W3CDTF">2019-01-23T12:42:00Z</dcterms:modified>
</cp:coreProperties>
</file>