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95CE9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PÓT</w:t>
      </w:r>
      <w:r w:rsidR="0004371E"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04371E"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963671">
        <w:rPr>
          <w:rFonts w:ascii="Times New Roman" w:hAnsi="Times New Roman"/>
          <w:b/>
          <w:sz w:val="24"/>
          <w:szCs w:val="24"/>
        </w:rPr>
        <w:t>9.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ben foglaltak alapján </w:t>
      </w:r>
      <w:r w:rsidR="0048249B">
        <w:rPr>
          <w:rFonts w:ascii="Times New Roman" w:hAnsi="Times New Roman"/>
          <w:sz w:val="24"/>
          <w:szCs w:val="24"/>
        </w:rPr>
        <w:t>pót</w:t>
      </w:r>
      <w:r>
        <w:rPr>
          <w:rFonts w:ascii="Times New Roman" w:hAnsi="Times New Roman"/>
          <w:sz w:val="24"/>
          <w:szCs w:val="24"/>
        </w:rPr>
        <w:t xml:space="preserve">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113A4" w:rsidRPr="00B0753B">
        <w:rPr>
          <w:rFonts w:ascii="Times New Roman" w:hAnsi="Times New Roman"/>
          <w:b/>
          <w:sz w:val="24"/>
          <w:szCs w:val="24"/>
        </w:rPr>
        <w:t>3.574 ezer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113A4" w:rsidRPr="00B0753B">
        <w:rPr>
          <w:rFonts w:ascii="Times New Roman" w:hAnsi="Times New Roman"/>
          <w:sz w:val="24"/>
          <w:szCs w:val="24"/>
        </w:rPr>
        <w:t>hárommillió-</w:t>
      </w:r>
      <w:r w:rsidR="0088214E" w:rsidRPr="00B0753B">
        <w:rPr>
          <w:rFonts w:ascii="Times New Roman" w:hAnsi="Times New Roman"/>
          <w:sz w:val="24"/>
          <w:szCs w:val="24"/>
        </w:rPr>
        <w:t>öt</w:t>
      </w:r>
      <w:r w:rsidR="00F113A4" w:rsidRPr="00B0753B">
        <w:rPr>
          <w:rFonts w:ascii="Times New Roman" w:hAnsi="Times New Roman"/>
          <w:sz w:val="24"/>
          <w:szCs w:val="24"/>
        </w:rPr>
        <w:t xml:space="preserve">százhetvennégyezer </w:t>
      </w:r>
      <w:r w:rsidR="0004371E" w:rsidRPr="00B0753B">
        <w:rPr>
          <w:rFonts w:ascii="Times New Roman" w:hAnsi="Times New Roman"/>
          <w:sz w:val="24"/>
          <w:szCs w:val="24"/>
        </w:rPr>
        <w:t>forint</w:t>
      </w:r>
      <w:r w:rsidR="002C6BA6" w:rsidRPr="00B0753B">
        <w:rPr>
          <w:rFonts w:ascii="Times New Roman" w:hAnsi="Times New Roman"/>
          <w:sz w:val="24"/>
          <w:szCs w:val="24"/>
        </w:rPr>
        <w:t xml:space="preserve"> áll rendelkezésre a jelen </w:t>
      </w:r>
      <w:r w:rsidR="001F129E">
        <w:rPr>
          <w:rFonts w:ascii="Times New Roman" w:hAnsi="Times New Roman"/>
          <w:sz w:val="24"/>
          <w:szCs w:val="24"/>
        </w:rPr>
        <w:t>pót</w:t>
      </w:r>
      <w:r w:rsidR="002C6BA6" w:rsidRPr="00B0753B">
        <w:rPr>
          <w:rFonts w:ascii="Times New Roman" w:hAnsi="Times New Roman"/>
          <w:sz w:val="24"/>
          <w:szCs w:val="24"/>
        </w:rPr>
        <w:t>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2019. </w:t>
      </w:r>
      <w:r w:rsidR="00F113A4" w:rsidRPr="00B0753B">
        <w:rPr>
          <w:rFonts w:ascii="Times New Roman" w:hAnsi="Times New Roman"/>
          <w:sz w:val="24"/>
          <w:szCs w:val="24"/>
        </w:rPr>
        <w:t>november 11.</w:t>
      </w:r>
      <w:r w:rsidR="002C6BA6" w:rsidRPr="00B0753B">
        <w:rPr>
          <w:rFonts w:ascii="Times New Roman" w:hAnsi="Times New Roman"/>
          <w:sz w:val="24"/>
          <w:szCs w:val="24"/>
        </w:rPr>
        <w:t xml:space="preserve"> napjáig.</w:t>
      </w: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Pr="00693657">
        <w:rPr>
          <w:rFonts w:ascii="Times New Roman" w:hAnsi="Times New Roman"/>
          <w:sz w:val="24"/>
          <w:szCs w:val="24"/>
        </w:rPr>
        <w:t>70 %</w:t>
      </w:r>
      <w:r w:rsidR="00354048">
        <w:rPr>
          <w:rFonts w:ascii="Times New Roman" w:hAnsi="Times New Roman"/>
          <w:sz w:val="24"/>
          <w:szCs w:val="24"/>
        </w:rPr>
        <w:t>-a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Pr="00693657">
        <w:rPr>
          <w:rFonts w:ascii="Times New Roman" w:hAnsi="Times New Roman"/>
          <w:sz w:val="24"/>
          <w:szCs w:val="24"/>
        </w:rPr>
        <w:t xml:space="preserve">250.000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F129E" w:rsidRPr="001F129E">
        <w:rPr>
          <w:rFonts w:ascii="Times New Roman" w:hAnsi="Times New Roman"/>
          <w:b/>
          <w:sz w:val="24"/>
          <w:szCs w:val="24"/>
        </w:rPr>
        <w:t>Pótp</w:t>
      </w:r>
      <w:r w:rsidRPr="001F129E">
        <w:rPr>
          <w:rFonts w:ascii="Times New Roman" w:hAnsi="Times New Roman"/>
          <w:b/>
          <w:sz w:val="24"/>
          <w:szCs w:val="24"/>
        </w:rPr>
        <w:t>á</w:t>
      </w:r>
      <w:r w:rsidRPr="009C3AFC">
        <w:rPr>
          <w:rFonts w:ascii="Times New Roman" w:hAnsi="Times New Roman"/>
          <w:b/>
          <w:sz w:val="24"/>
          <w:szCs w:val="24"/>
        </w:rPr>
        <w:t>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442F51">
        <w:rPr>
          <w:rFonts w:ascii="Times New Roman" w:hAnsi="Times New Roman"/>
          <w:sz w:val="24"/>
          <w:szCs w:val="24"/>
        </w:rPr>
        <w:t xml:space="preserve">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 vagy Budapest VII. Akácfa u. 42-48</w:t>
      </w:r>
      <w:r w:rsidR="00C873F3">
        <w:rPr>
          <w:rFonts w:ascii="Times New Roman" w:hAnsi="Times New Roman"/>
          <w:sz w:val="24"/>
          <w:szCs w:val="24"/>
        </w:rPr>
        <w:t xml:space="preserve">.)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 w:rsidR="00C873F3">
        <w:rPr>
          <w:rFonts w:ascii="Times New Roman" w:hAnsi="Times New Roman"/>
          <w:noProof/>
          <w:sz w:val="24"/>
          <w:szCs w:val="24"/>
        </w:rPr>
        <w:t>.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lastRenderedPageBreak/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  <w:u w:val="single"/>
        </w:rPr>
        <w:t>201</w:t>
      </w:r>
      <w:r w:rsidR="009C7D73" w:rsidRPr="00B0753B">
        <w:rPr>
          <w:rFonts w:ascii="Times New Roman" w:hAnsi="Times New Roman"/>
          <w:b/>
          <w:sz w:val="24"/>
          <w:szCs w:val="24"/>
          <w:u w:val="single"/>
        </w:rPr>
        <w:t>9</w:t>
      </w:r>
      <w:r w:rsidR="0004371E" w:rsidRPr="00B0753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276B0" w:rsidRPr="00B0753B">
        <w:rPr>
          <w:rFonts w:ascii="Times New Roman" w:hAnsi="Times New Roman"/>
          <w:b/>
          <w:sz w:val="24"/>
          <w:szCs w:val="24"/>
          <w:u w:val="single"/>
        </w:rPr>
        <w:t>november 11.</w:t>
      </w:r>
      <w:r w:rsidR="00CA4C3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8249B">
        <w:rPr>
          <w:rFonts w:ascii="Times New Roman" w:hAnsi="Times New Roman"/>
          <w:b/>
          <w:sz w:val="24"/>
          <w:szCs w:val="24"/>
        </w:rPr>
        <w:t>napja 24:00.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Pr="00B0753B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04371E" w:rsidRPr="00724EB2" w:rsidRDefault="006E0BF8" w:rsidP="00FB3F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249B">
        <w:rPr>
          <w:rFonts w:ascii="Times New Roman" w:hAnsi="Times New Roman"/>
          <w:b/>
          <w:sz w:val="24"/>
          <w:szCs w:val="24"/>
        </w:rPr>
        <w:t>A</w:t>
      </w:r>
      <w:r w:rsidR="0004371E" w:rsidRPr="0048249B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48249B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 w:rsidRPr="0048249B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04371E" w:rsidRPr="0048249B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48249B">
        <w:rPr>
          <w:rFonts w:ascii="Times New Roman" w:hAnsi="Times New Roman"/>
          <w:b/>
          <w:sz w:val="24"/>
          <w:szCs w:val="24"/>
        </w:rPr>
        <w:t>személyesen</w:t>
      </w:r>
      <w:r w:rsidR="0004371E" w:rsidRPr="0048249B">
        <w:rPr>
          <w:rFonts w:ascii="Times New Roman" w:hAnsi="Times New Roman"/>
          <w:sz w:val="24"/>
          <w:szCs w:val="24"/>
        </w:rPr>
        <w:t xml:space="preserve">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48249B">
        <w:rPr>
          <w:rFonts w:ascii="Times New Roman" w:hAnsi="Times New Roman"/>
          <w:sz w:val="24"/>
          <w:szCs w:val="24"/>
        </w:rPr>
        <w:t xml:space="preserve">Hivatal </w:t>
      </w:r>
      <w:r w:rsidR="007D7F1E" w:rsidRPr="0048249B">
        <w:rPr>
          <w:rFonts w:ascii="Times New Roman" w:hAnsi="Times New Roman"/>
          <w:sz w:val="24"/>
          <w:szCs w:val="24"/>
        </w:rPr>
        <w:t>Ügyfélszolgálatain</w:t>
      </w:r>
      <w:r w:rsidR="0004371E" w:rsidRPr="0048249B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vagy Budapest VII. Akácfa u. 42-48.) hivatali időben </w:t>
      </w:r>
      <w:r w:rsidR="0004371E" w:rsidRPr="0048249B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48249B">
        <w:rPr>
          <w:rFonts w:ascii="Times New Roman" w:hAnsi="Times New Roman"/>
          <w:sz w:val="24"/>
          <w:szCs w:val="24"/>
        </w:rPr>
        <w:t xml:space="preserve"> </w:t>
      </w:r>
      <w:r w:rsidR="00380D87" w:rsidRPr="0048249B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48249B">
        <w:rPr>
          <w:rFonts w:ascii="Times New Roman" w:hAnsi="Times New Roman"/>
          <w:b/>
          <w:sz w:val="24"/>
          <w:szCs w:val="24"/>
        </w:rPr>
        <w:t>ajánlott küldeményként</w:t>
      </w:r>
      <w:r w:rsidR="00830F80" w:rsidRPr="0048249B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48249B" w:rsidRPr="0048249B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48249B">
        <w:rPr>
          <w:rStyle w:val="lista1"/>
          <w:rFonts w:ascii="Times New Roman" w:hAnsi="Times New Roman"/>
          <w:b/>
        </w:rPr>
        <w:t>elek</w:t>
      </w:r>
      <w:r w:rsidR="0048249B" w:rsidRPr="0048249B">
        <w:rPr>
          <w:rStyle w:val="lista1"/>
          <w:rFonts w:ascii="Times New Roman" w:hAnsi="Times New Roman"/>
          <w:b/>
        </w:rPr>
        <w:t xml:space="preserve">tronikusan, </w:t>
      </w:r>
      <w:r w:rsidR="00B0753B" w:rsidRPr="0048249B">
        <w:rPr>
          <w:rStyle w:val="lista1"/>
          <w:rFonts w:ascii="Times New Roman" w:hAnsi="Times New Roman"/>
          <w:b/>
        </w:rPr>
        <w:t xml:space="preserve">azaz </w:t>
      </w:r>
      <w:r w:rsidR="00315DD9" w:rsidRPr="0048249B">
        <w:rPr>
          <w:rStyle w:val="lista1"/>
          <w:rFonts w:ascii="Times New Roman" w:hAnsi="Times New Roman"/>
          <w:b/>
          <w:i/>
        </w:rPr>
        <w:t>ügyfélkapun/cégkapun</w:t>
      </w:r>
      <w:r w:rsidR="0048249B">
        <w:rPr>
          <w:rStyle w:val="lista1"/>
          <w:rFonts w:ascii="Times New Roman" w:hAnsi="Times New Roman"/>
          <w:b/>
          <w:i/>
        </w:rPr>
        <w:t xml:space="preserve"> </w:t>
      </w:r>
      <w:r w:rsidR="00315DD9" w:rsidRPr="0048249B">
        <w:rPr>
          <w:rStyle w:val="lista1"/>
          <w:rFonts w:ascii="Times New Roman" w:hAnsi="Times New Roman"/>
          <w:b/>
          <w:i/>
        </w:rPr>
        <w:t>keresztül</w:t>
      </w:r>
      <w:r w:rsidR="00315DD9" w:rsidRPr="0048249B">
        <w:rPr>
          <w:rStyle w:val="lista1"/>
          <w:rFonts w:ascii="Times New Roman" w:hAnsi="Times New Roman"/>
          <w:b/>
        </w:rPr>
        <w:t>.</w:t>
      </w:r>
      <w:r w:rsidR="0004371E" w:rsidRPr="0048249B">
        <w:rPr>
          <w:rFonts w:ascii="Times New Roman" w:hAnsi="Times New Roman"/>
          <w:sz w:val="24"/>
          <w:szCs w:val="24"/>
        </w:rPr>
        <w:t xml:space="preserve"> </w:t>
      </w:r>
      <w:r w:rsidR="0004371E" w:rsidRPr="0048249B">
        <w:rPr>
          <w:rFonts w:ascii="Times New Roman" w:hAnsi="Times New Roman"/>
          <w:b/>
          <w:sz w:val="24"/>
          <w:szCs w:val="24"/>
        </w:rPr>
        <w:t>A borítékra kérjük ráírni</w:t>
      </w:r>
      <w:r w:rsidR="00830F80" w:rsidRPr="0048249B">
        <w:rPr>
          <w:rFonts w:ascii="Times New Roman" w:hAnsi="Times New Roman"/>
          <w:b/>
          <w:sz w:val="24"/>
          <w:szCs w:val="24"/>
        </w:rPr>
        <w:t>:</w:t>
      </w:r>
      <w:r w:rsidR="0004371E" w:rsidRPr="0048249B">
        <w:rPr>
          <w:rFonts w:ascii="Times New Roman" w:hAnsi="Times New Roman"/>
          <w:b/>
          <w:sz w:val="24"/>
          <w:szCs w:val="24"/>
        </w:rPr>
        <w:t>„201</w:t>
      </w:r>
      <w:r w:rsidR="009C7D73" w:rsidRPr="0048249B">
        <w:rPr>
          <w:rFonts w:ascii="Times New Roman" w:hAnsi="Times New Roman"/>
          <w:b/>
          <w:sz w:val="24"/>
          <w:szCs w:val="24"/>
        </w:rPr>
        <w:t>9.</w:t>
      </w:r>
      <w:r w:rsidR="0004371E" w:rsidRPr="0048249B">
        <w:rPr>
          <w:rFonts w:ascii="Times New Roman" w:hAnsi="Times New Roman"/>
          <w:b/>
          <w:sz w:val="24"/>
          <w:szCs w:val="24"/>
        </w:rPr>
        <w:t xml:space="preserve"> évi növényesítési </w:t>
      </w:r>
      <w:r w:rsidR="0049047D" w:rsidRPr="0048249B">
        <w:rPr>
          <w:rFonts w:ascii="Times New Roman" w:hAnsi="Times New Roman"/>
          <w:b/>
          <w:sz w:val="24"/>
          <w:szCs w:val="24"/>
        </w:rPr>
        <w:t>pót</w:t>
      </w:r>
      <w:r w:rsidR="0004371E" w:rsidRPr="0048249B">
        <w:rPr>
          <w:rFonts w:ascii="Times New Roman" w:hAnsi="Times New Roman"/>
          <w:b/>
          <w:sz w:val="24"/>
          <w:szCs w:val="24"/>
        </w:rPr>
        <w:t>pályázat</w:t>
      </w:r>
      <w:r w:rsidR="0004371E" w:rsidRPr="0048249B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083ABF" w:rsidRPr="00724EB2">
        <w:rPr>
          <w:rFonts w:ascii="Times New Roman" w:hAnsi="Times New Roman"/>
          <w:sz w:val="24"/>
          <w:szCs w:val="24"/>
        </w:rPr>
        <w:t>.</w:t>
      </w:r>
      <w:r w:rsidR="00830F80" w:rsidRPr="00724EB2">
        <w:rPr>
          <w:rFonts w:ascii="Times New Roman" w:hAnsi="Times New Roman"/>
          <w:sz w:val="24"/>
          <w:szCs w:val="24"/>
        </w:rPr>
        <w:t xml:space="preserve"> </w:t>
      </w:r>
      <w:r w:rsidR="00CA4C3E" w:rsidRPr="00724EB2">
        <w:rPr>
          <w:rFonts w:ascii="Times New Roman" w:hAnsi="Times New Roman"/>
          <w:sz w:val="24"/>
          <w:szCs w:val="24"/>
        </w:rPr>
        <w:t xml:space="preserve">Elektronikus úton </w:t>
      </w:r>
      <w:r w:rsidR="00CA4C3E" w:rsidRPr="001E1917">
        <w:rPr>
          <w:rFonts w:ascii="Times New Roman" w:hAnsi="Times New Roman"/>
          <w:sz w:val="24"/>
          <w:szCs w:val="24"/>
        </w:rPr>
        <w:t xml:space="preserve">(ügyfélkapun, cégkapun keresztül) </w:t>
      </w:r>
      <w:r w:rsidR="00724EB2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1E1917">
        <w:rPr>
          <w:rFonts w:ascii="Times New Roman" w:hAnsi="Times New Roman"/>
          <w:sz w:val="24"/>
          <w:szCs w:val="24"/>
        </w:rPr>
        <w:t>történő feladás esetén az elküldés időpontja számít a</w:t>
      </w:r>
      <w:r w:rsidR="00CA4C3E" w:rsidRPr="00724EB2">
        <w:rPr>
          <w:rFonts w:ascii="Times New Roman" w:hAnsi="Times New Roman"/>
          <w:sz w:val="24"/>
          <w:szCs w:val="24"/>
        </w:rPr>
        <w:t xml:space="preserve">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4371E" w:rsidRPr="00B0753B">
        <w:rPr>
          <w:rFonts w:ascii="Times New Roman" w:hAnsi="Times New Roman"/>
          <w:b/>
          <w:sz w:val="24"/>
          <w:szCs w:val="24"/>
        </w:rPr>
        <w:t>201</w:t>
      </w:r>
      <w:r w:rsidR="009C7D73" w:rsidRPr="00B0753B">
        <w:rPr>
          <w:rFonts w:ascii="Times New Roman" w:hAnsi="Times New Roman"/>
          <w:b/>
          <w:sz w:val="24"/>
          <w:szCs w:val="24"/>
        </w:rPr>
        <w:t>9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. </w:t>
      </w:r>
      <w:r w:rsidR="00E276B0" w:rsidRPr="00B0753B">
        <w:rPr>
          <w:rFonts w:ascii="Times New Roman" w:hAnsi="Times New Roman"/>
          <w:b/>
          <w:sz w:val="24"/>
          <w:szCs w:val="24"/>
        </w:rPr>
        <w:t>december</w:t>
      </w:r>
      <w:r w:rsidR="002B558D" w:rsidRPr="00B0753B">
        <w:rPr>
          <w:rFonts w:ascii="Times New Roman" w:hAnsi="Times New Roman"/>
          <w:b/>
          <w:sz w:val="24"/>
          <w:szCs w:val="24"/>
        </w:rPr>
        <w:t xml:space="preserve"> 31.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3C0664" w:rsidRPr="0048249B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CA4C3E">
        <w:rPr>
          <w:rFonts w:ascii="Times New Roman" w:hAnsi="Times New Roman"/>
          <w:sz w:val="24"/>
          <w:szCs w:val="24"/>
        </w:rPr>
        <w:t xml:space="preserve"> (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CA4C3E">
        <w:rPr>
          <w:rFonts w:ascii="Times New Roman" w:hAnsi="Times New Roman"/>
          <w:sz w:val="24"/>
          <w:szCs w:val="24"/>
        </w:rPr>
        <w:t>)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</w:t>
      </w:r>
      <w:r w:rsidR="00FC1993">
        <w:rPr>
          <w:rFonts w:ascii="Times New Roman" w:hAnsi="Times New Roman"/>
          <w:sz w:val="24"/>
          <w:szCs w:val="24"/>
        </w:rPr>
        <w:lastRenderedPageBreak/>
        <w:t xml:space="preserve">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időpontot követő 5. munkanapon kézbesítettnek kell tekintetni (kézbesítési vélelem). </w:t>
      </w:r>
      <w:r w:rsidR="00FC1993">
        <w:rPr>
          <w:rFonts w:ascii="Times New Roman" w:hAnsi="Times New Roman"/>
          <w:sz w:val="24"/>
          <w:szCs w:val="24"/>
        </w:rPr>
        <w:t xml:space="preserve">A </w:t>
      </w:r>
      <w:r w:rsidR="00FC1993" w:rsidRPr="009C3AFC">
        <w:rPr>
          <w:rFonts w:ascii="Times New Roman" w:hAnsi="Times New Roman"/>
          <w:b/>
          <w:sz w:val="24"/>
          <w:szCs w:val="24"/>
        </w:rPr>
        <w:t>hiánypótlás</w:t>
      </w:r>
      <w:r w:rsidR="00D430F6">
        <w:rPr>
          <w:rFonts w:ascii="Times New Roman" w:hAnsi="Times New Roman"/>
          <w:b/>
          <w:sz w:val="24"/>
          <w:szCs w:val="24"/>
        </w:rPr>
        <w:t>t</w:t>
      </w:r>
      <w:r w:rsidR="00FC1993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>
        <w:rPr>
          <w:rFonts w:ascii="Times New Roman" w:hAnsi="Times New Roman"/>
          <w:sz w:val="24"/>
          <w:szCs w:val="24"/>
        </w:rPr>
        <w:t xml:space="preserve">zárt borítékban </w:t>
      </w:r>
      <w:r w:rsidR="00FC1993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3C0664" w:rsidRPr="0048249B">
        <w:rPr>
          <w:rFonts w:ascii="Times New Roman" w:hAnsi="Times New Roman"/>
          <w:sz w:val="24"/>
          <w:szCs w:val="24"/>
        </w:rPr>
        <w:t>(Budapest VII. kerület Erzsébet krt. 6. vagy Budapest VII. kerület Garay utca 5. vagy Budapest VII. Akácfa u. 42-48.)</w:t>
      </w:r>
      <w:r w:rsidR="003C0664">
        <w:rPr>
          <w:rFonts w:ascii="Times New Roman" w:hAnsi="Times New Roman"/>
          <w:sz w:val="24"/>
          <w:szCs w:val="24"/>
        </w:rPr>
        <w:t xml:space="preserve">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>postai ajánlott küldeményként</w:t>
      </w:r>
      <w:r w:rsidR="00CA4C3E">
        <w:rPr>
          <w:rFonts w:ascii="Times New Roman" w:hAnsi="Times New Roman"/>
          <w:sz w:val="24"/>
          <w:szCs w:val="24"/>
        </w:rPr>
        <w:t xml:space="preserve"> történő feladással</w:t>
      </w:r>
      <w:r w:rsidR="00315DD9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196AF0">
        <w:rPr>
          <w:rStyle w:val="lista1"/>
          <w:rFonts w:ascii="Times New Roman" w:hAnsi="Times New Roman"/>
          <w:b/>
        </w:rPr>
        <w:t>elek</w:t>
      </w:r>
      <w:r w:rsidR="00315DD9">
        <w:rPr>
          <w:rStyle w:val="lista1"/>
          <w:rFonts w:ascii="Times New Roman" w:hAnsi="Times New Roman"/>
          <w:b/>
        </w:rPr>
        <w:t xml:space="preserve">tronikus </w:t>
      </w:r>
      <w:r w:rsidR="00315DD9" w:rsidRPr="001E1917">
        <w:rPr>
          <w:rStyle w:val="lista1"/>
          <w:rFonts w:ascii="Times New Roman" w:hAnsi="Times New Roman"/>
          <w:b/>
        </w:rPr>
        <w:t>úton (</w:t>
      </w:r>
      <w:r w:rsidR="00315DD9" w:rsidRPr="001E1917">
        <w:rPr>
          <w:rStyle w:val="lista1"/>
          <w:rFonts w:ascii="Times New Roman" w:hAnsi="Times New Roman"/>
          <w:b/>
          <w:i/>
        </w:rPr>
        <w:t>ügyfélkapun/cégkapun keresztül</w:t>
      </w:r>
      <w:r w:rsidR="00315DD9" w:rsidRPr="001E1917">
        <w:rPr>
          <w:rStyle w:val="lista1"/>
          <w:rFonts w:ascii="Times New Roman" w:hAnsi="Times New Roman"/>
          <w:b/>
        </w:rPr>
        <w:t>)</w:t>
      </w:r>
      <w:r w:rsidR="00FC1993" w:rsidRPr="001E1917">
        <w:rPr>
          <w:rFonts w:ascii="Times New Roman" w:hAnsi="Times New Roman"/>
          <w:sz w:val="24"/>
          <w:szCs w:val="24"/>
        </w:rPr>
        <w:t xml:space="preserve"> </w:t>
      </w:r>
      <w:r w:rsidR="00891786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FC1993" w:rsidRPr="001E1917">
        <w:rPr>
          <w:rFonts w:ascii="Times New Roman" w:hAnsi="Times New Roman"/>
          <w:sz w:val="24"/>
          <w:szCs w:val="24"/>
        </w:rPr>
        <w:t xml:space="preserve">történő </w:t>
      </w:r>
      <w:r w:rsidR="00CA4C3E" w:rsidRPr="001E1917">
        <w:rPr>
          <w:rFonts w:ascii="Times New Roman" w:hAnsi="Times New Roman"/>
          <w:sz w:val="24"/>
          <w:szCs w:val="24"/>
        </w:rPr>
        <w:t>elküldéssel</w:t>
      </w:r>
      <w:r w:rsidR="00CA4C3E">
        <w:rPr>
          <w:rFonts w:ascii="Times New Roman" w:hAnsi="Times New Roman"/>
          <w:sz w:val="24"/>
          <w:szCs w:val="24"/>
        </w:rPr>
        <w:t>.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201</w:t>
      </w:r>
      <w:r w:rsidR="009C7D73" w:rsidRPr="009C3AFC">
        <w:rPr>
          <w:rFonts w:ascii="Times New Roman" w:hAnsi="Times New Roman"/>
          <w:b/>
          <w:sz w:val="24"/>
          <w:szCs w:val="24"/>
        </w:rPr>
        <w:t>9</w:t>
      </w:r>
      <w:r w:rsidR="00836A49" w:rsidRPr="009C3AFC">
        <w:rPr>
          <w:rFonts w:ascii="Times New Roman" w:hAnsi="Times New Roman"/>
          <w:b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sz w:val="24"/>
          <w:szCs w:val="24"/>
        </w:rPr>
        <w:t>pót</w:t>
      </w:r>
      <w:r w:rsidR="00836A49" w:rsidRPr="009C3AFC">
        <w:rPr>
          <w:rFonts w:ascii="Times New Roman" w:hAnsi="Times New Roman"/>
          <w:b/>
          <w:sz w:val="24"/>
          <w:szCs w:val="24"/>
        </w:rPr>
        <w:t>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 (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1E7A4A">
        <w:rPr>
          <w:rFonts w:ascii="Times New Roman" w:hAnsi="Times New Roman"/>
          <w:sz w:val="24"/>
          <w:szCs w:val="24"/>
        </w:rPr>
        <w:t>)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</w:t>
      </w:r>
      <w:r w:rsidRPr="003E35E1">
        <w:rPr>
          <w:rFonts w:ascii="Times New Roman" w:hAnsi="Times New Roman"/>
          <w:sz w:val="24"/>
          <w:szCs w:val="24"/>
        </w:rPr>
        <w:lastRenderedPageBreak/>
        <w:t>létesít, köteles e jogviszonnyal összefüggő közérdekből nyilvános adatra vonatkozóan - erre irányuló igény esetén - bárki számára tájékoztatást adni.</w:t>
      </w:r>
    </w:p>
    <w:p w:rsidR="003E35E1" w:rsidRPr="00F812B8" w:rsidRDefault="003E35E1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Kerületfejlesztési</w:t>
      </w:r>
      <w:r w:rsidRPr="00F812B8">
        <w:rPr>
          <w:rFonts w:ascii="Times New Roman" w:hAnsi="Times New Roman"/>
          <w:sz w:val="24"/>
          <w:szCs w:val="24"/>
        </w:rPr>
        <w:t xml:space="preserve"> Irod</w:t>
      </w:r>
      <w:r>
        <w:rPr>
          <w:rFonts w:ascii="Times New Roman" w:hAnsi="Times New Roman"/>
          <w:sz w:val="24"/>
          <w:szCs w:val="24"/>
        </w:rPr>
        <w:t xml:space="preserve">ája </w:t>
      </w:r>
      <w:r w:rsidRPr="00F812B8">
        <w:rPr>
          <w:rFonts w:ascii="Times New Roman" w:hAnsi="Times New Roman"/>
          <w:sz w:val="24"/>
          <w:szCs w:val="24"/>
        </w:rPr>
        <w:t>munkatársa</w:t>
      </w:r>
      <w:r>
        <w:rPr>
          <w:rFonts w:ascii="Times New Roman" w:hAnsi="Times New Roman"/>
          <w:sz w:val="24"/>
          <w:szCs w:val="24"/>
        </w:rPr>
        <w:t xml:space="preserve">, Rutkai </w:t>
      </w:r>
      <w:r w:rsidRPr="0030618D">
        <w:rPr>
          <w:rFonts w:ascii="Times New Roman" w:hAnsi="Times New Roman"/>
          <w:sz w:val="24"/>
          <w:szCs w:val="24"/>
        </w:rPr>
        <w:t>Noémi</w:t>
      </w:r>
      <w:r w:rsidRPr="00553D24">
        <w:rPr>
          <w:rFonts w:ascii="Times New Roman" w:hAnsi="Times New Roman"/>
          <w:sz w:val="24"/>
          <w:szCs w:val="24"/>
        </w:rPr>
        <w:t xml:space="preserve"> a </w:t>
      </w:r>
      <w:r w:rsidRPr="009C3AFC">
        <w:rPr>
          <w:rFonts w:ascii="Times New Roman" w:hAnsi="Times New Roman"/>
          <w:sz w:val="24"/>
          <w:szCs w:val="24"/>
        </w:rPr>
        <w:t>06-1-</w:t>
      </w:r>
      <w:r w:rsidRPr="0030618D">
        <w:rPr>
          <w:rFonts w:ascii="Times New Roman" w:hAnsi="Times New Roman"/>
          <w:sz w:val="24"/>
          <w:szCs w:val="24"/>
        </w:rPr>
        <w:t>462-31</w:t>
      </w:r>
      <w:r w:rsidRPr="009C3AFC">
        <w:rPr>
          <w:rFonts w:ascii="Times New Roman" w:hAnsi="Times New Roman"/>
          <w:sz w:val="24"/>
          <w:szCs w:val="24"/>
        </w:rPr>
        <w:t>22</w:t>
      </w:r>
      <w:r w:rsidRPr="0030618D">
        <w:rPr>
          <w:rFonts w:ascii="Times New Roman" w:hAnsi="Times New Roman"/>
          <w:sz w:val="24"/>
          <w:szCs w:val="24"/>
        </w:rPr>
        <w:t>-</w:t>
      </w:r>
      <w:r w:rsidRPr="009C3AFC">
        <w:rPr>
          <w:rFonts w:ascii="Times New Roman" w:hAnsi="Times New Roman"/>
          <w:sz w:val="24"/>
          <w:szCs w:val="24"/>
        </w:rPr>
        <w:t>e</w:t>
      </w:r>
      <w:r w:rsidRPr="0030618D">
        <w:rPr>
          <w:rFonts w:ascii="Times New Roman" w:hAnsi="Times New Roman"/>
          <w:sz w:val="24"/>
          <w:szCs w:val="24"/>
        </w:rPr>
        <w:t>s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201</w:t>
      </w:r>
      <w:r w:rsidR="00925C20">
        <w:rPr>
          <w:rFonts w:ascii="Times New Roman" w:hAnsi="Times New Roman"/>
          <w:sz w:val="24"/>
          <w:szCs w:val="24"/>
        </w:rPr>
        <w:t>9</w:t>
      </w:r>
      <w:r w:rsidRPr="0030618D">
        <w:rPr>
          <w:rFonts w:ascii="Times New Roman" w:hAnsi="Times New Roman"/>
          <w:sz w:val="24"/>
          <w:szCs w:val="24"/>
        </w:rPr>
        <w:t xml:space="preserve">. </w:t>
      </w:r>
      <w:r w:rsidR="0049047D">
        <w:rPr>
          <w:rFonts w:ascii="Times New Roman" w:hAnsi="Times New Roman"/>
          <w:sz w:val="24"/>
          <w:szCs w:val="24"/>
        </w:rPr>
        <w:t>szeptember</w:t>
      </w:r>
      <w:r w:rsidR="00B652D4">
        <w:rPr>
          <w:rFonts w:ascii="Times New Roman" w:hAnsi="Times New Roman"/>
          <w:sz w:val="24"/>
          <w:szCs w:val="24"/>
        </w:rPr>
        <w:t xml:space="preserve"> 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Ujvári-Kövér Mónika </w:t>
      </w: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Városüzemeltetési Bizottság</w:t>
      </w:r>
    </w:p>
    <w:p w:rsidR="001E7A4A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elnöke</w:t>
      </w:r>
    </w:p>
    <w:p w:rsidR="001E7A4A" w:rsidRPr="00F812B8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1E7A4A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201</w:t>
      </w:r>
      <w:r w:rsidR="008D64BC">
        <w:rPr>
          <w:rFonts w:ascii="Times New Roman" w:hAnsi="Times New Roman"/>
          <w:b/>
          <w:bCs/>
          <w:spacing w:val="15"/>
          <w:sz w:val="24"/>
          <w:szCs w:val="24"/>
        </w:rPr>
        <w:t>9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pótpályázati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</w:t>
      </w:r>
      <w:r>
        <w:rPr>
          <w:rFonts w:ascii="Times New Roman" w:hAnsi="Times New Roman"/>
          <w:sz w:val="20"/>
          <w:szCs w:val="20"/>
        </w:rPr>
        <w:t>pót</w:t>
      </w:r>
      <w:r w:rsidRPr="00F812B8">
        <w:rPr>
          <w:rFonts w:ascii="Times New Roman" w:hAnsi="Times New Roman"/>
          <w:sz w:val="20"/>
          <w:szCs w:val="20"/>
        </w:rPr>
        <w:t xml:space="preserve">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C7328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Pr="0030618D">
        <w:rPr>
          <w:rFonts w:ascii="Times New Roman" w:hAnsi="Times New Roman"/>
          <w:sz w:val="20"/>
          <w:szCs w:val="20"/>
        </w:rPr>
        <w:t xml:space="preserve"> </w:t>
      </w:r>
      <w:r w:rsidRPr="00C73286">
        <w:rPr>
          <w:rFonts w:ascii="Times New Roman" w:hAnsi="Times New Roman"/>
          <w:sz w:val="20"/>
          <w:szCs w:val="20"/>
        </w:rPr>
        <w:t xml:space="preserve">Városüzemeltetési Bizottsága 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hivatal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</w:t>
      </w:r>
      <w:r w:rsidR="00BD60C2">
        <w:rPr>
          <w:rFonts w:ascii="Times New Roman" w:hAnsi="Times New Roman"/>
          <w:sz w:val="20"/>
          <w:szCs w:val="20"/>
        </w:rPr>
        <w:t>pót</w:t>
      </w:r>
      <w:r w:rsidRPr="00AE6D54">
        <w:rPr>
          <w:rFonts w:ascii="Times New Roman" w:hAnsi="Times New Roman"/>
          <w:sz w:val="20"/>
          <w:szCs w:val="20"/>
        </w:rPr>
        <w:t xml:space="preserve">pályázati </w:t>
      </w:r>
      <w:r w:rsidR="00BD60C2">
        <w:rPr>
          <w:rFonts w:ascii="Times New Roman" w:hAnsi="Times New Roman"/>
          <w:sz w:val="20"/>
          <w:szCs w:val="20"/>
        </w:rPr>
        <w:t xml:space="preserve">felhívás és mellékletei </w:t>
      </w:r>
      <w:r w:rsidRPr="00AE6D54">
        <w:rPr>
          <w:rFonts w:ascii="Times New Roman" w:hAnsi="Times New Roman"/>
          <w:sz w:val="20"/>
          <w:szCs w:val="20"/>
        </w:rPr>
        <w:t>beszerezhető</w:t>
      </w:r>
      <w:r w:rsidR="00BD60C2">
        <w:rPr>
          <w:rFonts w:ascii="Times New Roman" w:hAnsi="Times New Roman"/>
          <w:sz w:val="20"/>
          <w:szCs w:val="20"/>
        </w:rPr>
        <w:t>ek</w:t>
      </w:r>
      <w:r w:rsidRPr="00AE6D54">
        <w:rPr>
          <w:rFonts w:ascii="Times New Roman" w:hAnsi="Times New Roman"/>
          <w:sz w:val="20"/>
          <w:szCs w:val="20"/>
        </w:rPr>
        <w:t xml:space="preserve"> a Polgármesteri Hivatal Ügyfélszolgálatain (lásd Felhívás), vagy letölthető az Önkormányzat honlapjáról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Pr="00AE6D54">
        <w:rPr>
          <w:rFonts w:ascii="Times New Roman" w:hAnsi="Times New Roman"/>
          <w:sz w:val="20"/>
          <w:szCs w:val="20"/>
        </w:rPr>
        <w:t>. A pályázatot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benyújtani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="00DF034F">
        <w:rPr>
          <w:rFonts w:ascii="Times New Roman" w:hAnsi="Times New Roman"/>
          <w:sz w:val="20"/>
          <w:szCs w:val="20"/>
        </w:rPr>
        <w:t xml:space="preserve"> vagy 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 xml:space="preserve">2019. évi növényesítési </w:t>
      </w:r>
      <w:r w:rsidR="00EA1314">
        <w:rPr>
          <w:rFonts w:ascii="Times New Roman" w:hAnsi="Times New Roman"/>
          <w:b/>
          <w:sz w:val="20"/>
          <w:szCs w:val="20"/>
        </w:rPr>
        <w:t>pót</w:t>
      </w:r>
      <w:r w:rsidRPr="00AE6D54">
        <w:rPr>
          <w:rFonts w:ascii="Times New Roman" w:hAnsi="Times New Roman"/>
          <w:b/>
          <w:sz w:val="20"/>
          <w:szCs w:val="20"/>
        </w:rPr>
        <w:t>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30-50%-ával,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hiányosságokat nem pótolják a hiánypótlási felhívásban meghatározott határidőn belül,</w:t>
      </w:r>
    </w:p>
    <w:p w:rsidR="007A5435" w:rsidRPr="009C3AFC" w:rsidRDefault="007A5435" w:rsidP="007A5435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>hibás, hiányos a hiánypótlás.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 xml:space="preserve">vissza nem térítendő </w:t>
      </w:r>
      <w:r w:rsidRPr="00F812B8">
        <w:rPr>
          <w:rFonts w:ascii="Times New Roman" w:hAnsi="Times New Roman"/>
          <w:sz w:val="20"/>
          <w:szCs w:val="20"/>
        </w:rPr>
        <w:t xml:space="preserve">támogatás 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250.000 Ft</w:t>
      </w:r>
      <w:r>
        <w:rPr>
          <w:rFonts w:ascii="Times New Roman" w:hAnsi="Times New Roman"/>
          <w:sz w:val="20"/>
          <w:szCs w:val="20"/>
        </w:rPr>
        <w:t xml:space="preserve"> lehet.</w:t>
      </w:r>
    </w:p>
    <w:p w:rsidR="007A5435" w:rsidRPr="00B1325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 xml:space="preserve">A támogatás </w:t>
      </w:r>
      <w:r>
        <w:rPr>
          <w:rFonts w:ascii="Times New Roman" w:hAnsi="Times New Roman"/>
          <w:sz w:val="20"/>
          <w:szCs w:val="20"/>
        </w:rPr>
        <w:t xml:space="preserve">intenzitása maximum </w:t>
      </w:r>
      <w:r w:rsidRPr="00B1325B">
        <w:rPr>
          <w:rFonts w:ascii="Times New Roman" w:hAnsi="Times New Roman"/>
          <w:sz w:val="20"/>
          <w:szCs w:val="20"/>
        </w:rPr>
        <w:t>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</w:t>
      </w:r>
      <w:r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 xml:space="preserve">. pontokban megjelölt tevékenységek esetében, </w:t>
      </w:r>
      <w:r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>. pontban megjelölt tevékenységek esetében</w:t>
      </w:r>
      <w:r>
        <w:rPr>
          <w:rFonts w:ascii="Times New Roman" w:hAnsi="Times New Roman"/>
          <w:sz w:val="20"/>
          <w:szCs w:val="20"/>
        </w:rPr>
        <w:t>, de legfeljebb 250.000 Ft</w:t>
      </w:r>
      <w:r w:rsidRPr="00B1325B">
        <w:rPr>
          <w:rFonts w:ascii="Times New Roman" w:hAnsi="Times New Roman"/>
          <w:sz w:val="20"/>
          <w:szCs w:val="20"/>
        </w:rPr>
        <w:t xml:space="preserve">. </w:t>
      </w:r>
    </w:p>
    <w:p w:rsidR="007A5435" w:rsidRPr="008E485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8E485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 xml:space="preserve">támogatás felhasználásának megtörténte a lakóközösség vagy az önkormányzati intézmény írásos készre jelentése esetén fogadható el, melyhez </w:t>
      </w:r>
      <w:r w:rsidR="00C220E5">
        <w:rPr>
          <w:rFonts w:ascii="Times New Roman" w:hAnsi="Times New Roman"/>
          <w:sz w:val="20"/>
          <w:szCs w:val="20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0"/>
          <w:szCs w:val="20"/>
        </w:rPr>
        <w:t xml:space="preserve">összesítőt, </w:t>
      </w:r>
      <w:r w:rsidRPr="00F812B8">
        <w:rPr>
          <w:rFonts w:ascii="Times New Roman" w:hAnsi="Times New Roman"/>
          <w:sz w:val="20"/>
          <w:szCs w:val="20"/>
        </w:rPr>
        <w:t>a számlák</w:t>
      </w:r>
      <w:r>
        <w:rPr>
          <w:rFonts w:ascii="Times New Roman" w:hAnsi="Times New Roman"/>
          <w:sz w:val="20"/>
          <w:szCs w:val="20"/>
        </w:rPr>
        <w:t xml:space="preserve">at, </w:t>
      </w:r>
      <w:r w:rsidR="00E15083">
        <w:rPr>
          <w:rFonts w:ascii="Times New Roman" w:hAnsi="Times New Roman"/>
          <w:sz w:val="20"/>
          <w:szCs w:val="20"/>
        </w:rPr>
        <w:t>az elszámolt költségek kifizetéseit igazoló dokumentumokat (</w:t>
      </w:r>
      <w:r>
        <w:rPr>
          <w:rFonts w:ascii="Times New Roman" w:hAnsi="Times New Roman"/>
          <w:sz w:val="20"/>
          <w:szCs w:val="20"/>
        </w:rPr>
        <w:t>bankszámlakivonato</w:t>
      </w:r>
      <w:r w:rsidR="00E15083">
        <w:rPr>
          <w:rFonts w:ascii="Times New Roman" w:hAnsi="Times New Roman"/>
          <w:sz w:val="20"/>
          <w:szCs w:val="20"/>
        </w:rPr>
        <w:t xml:space="preserve">t, </w:t>
      </w:r>
      <w:r>
        <w:rPr>
          <w:rFonts w:ascii="Times New Roman" w:hAnsi="Times New Roman"/>
          <w:sz w:val="20"/>
          <w:szCs w:val="20"/>
        </w:rPr>
        <w:t>pénztár</w:t>
      </w:r>
      <w:r w:rsidR="00E15083">
        <w:rPr>
          <w:rFonts w:ascii="Times New Roman" w:hAnsi="Times New Roman"/>
          <w:sz w:val="20"/>
          <w:szCs w:val="20"/>
        </w:rPr>
        <w:t xml:space="preserve">i kiadási </w:t>
      </w:r>
      <w:r>
        <w:rPr>
          <w:rFonts w:ascii="Times New Roman" w:hAnsi="Times New Roman"/>
          <w:sz w:val="20"/>
          <w:szCs w:val="20"/>
        </w:rPr>
        <w:t>bizonylatot),  200.000 Ft értéket</w:t>
      </w:r>
      <w:r w:rsidR="00717BFF">
        <w:rPr>
          <w:rFonts w:ascii="Times New Roman" w:hAnsi="Times New Roman"/>
          <w:sz w:val="20"/>
          <w:szCs w:val="20"/>
        </w:rPr>
        <w:t xml:space="preserve"> </w:t>
      </w:r>
      <w:r w:rsidR="00007F2C">
        <w:rPr>
          <w:rFonts w:ascii="Times New Roman" w:hAnsi="Times New Roman"/>
          <w:sz w:val="20"/>
          <w:szCs w:val="20"/>
        </w:rPr>
        <w:t>meghaladó értékű</w:t>
      </w:r>
      <w:r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>
        <w:rPr>
          <w:rFonts w:ascii="Times New Roman" w:hAnsi="Times New Roman"/>
          <w:sz w:val="20"/>
          <w:szCs w:val="20"/>
        </w:rPr>
        <w:t xml:space="preserve">esetén szerződést vagy elküldött és visszaigazolt </w:t>
      </w:r>
      <w:r>
        <w:rPr>
          <w:rFonts w:ascii="Times New Roman" w:hAnsi="Times New Roman"/>
          <w:sz w:val="20"/>
          <w:szCs w:val="20"/>
        </w:rPr>
        <w:t>megrendelést, fotódokumentációt (az elvégzett növényesítési tevékenységet bemutató legalább 3db fénykép, a nyilvánossággal kapcsolatos előírások teljesítését alátámasztó legalább 1 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201</w:t>
      </w:r>
      <w:r>
        <w:rPr>
          <w:rFonts w:ascii="Times New Roman" w:hAnsi="Times New Roman"/>
          <w:sz w:val="20"/>
          <w:szCs w:val="20"/>
        </w:rPr>
        <w:t>9</w:t>
      </w:r>
      <w:r w:rsidRPr="009C3AFC">
        <w:rPr>
          <w:rFonts w:ascii="Times New Roman" w:hAnsi="Times New Roman"/>
          <w:sz w:val="20"/>
          <w:szCs w:val="20"/>
        </w:rPr>
        <w:t xml:space="preserve">. évi növényesítési </w:t>
      </w:r>
      <w:r w:rsidR="00787E52">
        <w:rPr>
          <w:rFonts w:ascii="Times New Roman" w:hAnsi="Times New Roman"/>
          <w:sz w:val="20"/>
          <w:szCs w:val="20"/>
        </w:rPr>
        <w:t>pót</w:t>
      </w:r>
      <w:r w:rsidRPr="009C3AFC">
        <w:rPr>
          <w:rFonts w:ascii="Times New Roman" w:hAnsi="Times New Roman"/>
          <w:sz w:val="20"/>
          <w:szCs w:val="20"/>
        </w:rPr>
        <w:t>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</w:t>
      </w:r>
      <w:r w:rsidRPr="00B23ECE">
        <w:rPr>
          <w:rFonts w:ascii="Times New Roman" w:hAnsi="Times New Roman"/>
          <w:sz w:val="20"/>
          <w:szCs w:val="20"/>
        </w:rPr>
        <w:lastRenderedPageBreak/>
        <w:t>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megvalósultakor 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201</w:t>
      </w:r>
      <w:r>
        <w:rPr>
          <w:rFonts w:ascii="Times New Roman" w:hAnsi="Times New Roman"/>
          <w:sz w:val="20"/>
          <w:szCs w:val="20"/>
        </w:rPr>
        <w:t>9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 xml:space="preserve"> 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 xml:space="preserve">A kifogást indoklással írásban 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637A80" w:rsidRDefault="007A5435" w:rsidP="007A5435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7A5435" w:rsidRPr="00DF076E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164308">
        <w:rPr>
          <w:rFonts w:ascii="Times New Roman" w:hAnsi="Times New Roman"/>
          <w:b/>
          <w:bCs/>
          <w:spacing w:val="15"/>
          <w:sz w:val="24"/>
          <w:szCs w:val="24"/>
        </w:rPr>
        <w:t>9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növényesítési </w:t>
      </w:r>
      <w:r w:rsidR="00164308">
        <w:rPr>
          <w:rFonts w:ascii="Times New Roman" w:hAnsi="Times New Roman"/>
          <w:b/>
          <w:bCs/>
          <w:spacing w:val="15"/>
          <w:sz w:val="24"/>
          <w:szCs w:val="24"/>
        </w:rPr>
        <w:t>pót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</w:p>
    <w:p w:rsidR="007A5435" w:rsidRPr="00442200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442200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442200" w:rsidRDefault="007A5435" w:rsidP="007A543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7A5435" w:rsidRPr="00442200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7A5435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7A5435" w:rsidRPr="00442200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7A5435" w:rsidRPr="00442200" w:rsidRDefault="007A5435" w:rsidP="007A543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7A5435" w:rsidRPr="00442200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7A5435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7A5435" w:rsidRPr="00442200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7A5435" w:rsidRPr="00442200" w:rsidRDefault="007A5435" w:rsidP="007A543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7A5435" w:rsidRPr="00D368D4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7A5435" w:rsidRPr="00D368D4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7A5435" w:rsidRPr="00D368D4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7A5435" w:rsidRPr="00424078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7A5435" w:rsidRPr="00424078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7A5435" w:rsidRPr="00424078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7A5435" w:rsidRPr="00424078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burkolat feltörése és eltávolítása, talajcsere 50-100 cm vastagságban, vagy hasonló </w:t>
      </w:r>
      <w:r w:rsidRPr="00424078">
        <w:rPr>
          <w:rFonts w:ascii="Times New Roman" w:hAnsi="Times New Roman"/>
        </w:rPr>
        <w:lastRenderedPageBreak/>
        <w:t>mélységben átkeverés komposzttal/szerves trágyával, növényágyás kialakítása, beültetése cserjékkel és/vagy évelőkkel</w:t>
      </w:r>
    </w:p>
    <w:p w:rsidR="007A5435" w:rsidRPr="00424078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A5435" w:rsidRPr="00424078" w:rsidRDefault="007A5435" w:rsidP="007A543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</w:rPr>
      </w:pPr>
    </w:p>
    <w:p w:rsidR="007A5435" w:rsidRPr="00702BA9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702BA9">
        <w:rPr>
          <w:rFonts w:ascii="Times New Roman" w:hAnsi="Times New Roman"/>
        </w:rPr>
        <w:t>A megvalósulást követően a gondozást/ápolást a pályázónak kell biztosítania</w:t>
      </w:r>
      <w:r>
        <w:rPr>
          <w:rFonts w:ascii="Times New Roman" w:hAnsi="Times New Roman"/>
        </w:rPr>
        <w:t>.</w:t>
      </w:r>
    </w:p>
    <w:p w:rsidR="007A5435" w:rsidRPr="00702BA9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702BA9">
        <w:rPr>
          <w:rFonts w:ascii="Times New Roman" w:hAnsi="Times New Roman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</w:rPr>
        <w:t>.</w:t>
      </w:r>
    </w:p>
    <w:p w:rsidR="007A5435" w:rsidRPr="00424078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424078" w:rsidRDefault="007A5435" w:rsidP="007A543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7A5435" w:rsidRPr="00424078" w:rsidRDefault="007A5435" w:rsidP="007A5435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összesen:</w:t>
      </w:r>
      <w:r w:rsidRPr="00424078">
        <w:rPr>
          <w:rFonts w:ascii="Times New Roman" w:hAnsi="Times New Roman"/>
          <w:sz w:val="24"/>
          <w:szCs w:val="24"/>
        </w:rPr>
        <w:t xml:space="preserve"> .......................................%    ......................................................................Ft</w:t>
      </w:r>
    </w:p>
    <w:p w:rsidR="007A5435" w:rsidRPr="00424078" w:rsidRDefault="007A5435" w:rsidP="007A543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7A5435" w:rsidRPr="0042407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7A5435" w:rsidRPr="00424078" w:rsidRDefault="007A5435" w:rsidP="007A5435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5435" w:rsidRPr="00424078" w:rsidRDefault="007A5435" w:rsidP="007A543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max. 50%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esetében, max. 60%</w:t>
      </w:r>
    </w:p>
    <w:p w:rsidR="007A5435" w:rsidRPr="00424078" w:rsidRDefault="007A5435" w:rsidP="007A5435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lastRenderedPageBreak/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esetében, max. 70%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........................................%    ......................................................................Ft</w:t>
      </w:r>
    </w:p>
    <w:p w:rsidR="007A5435" w:rsidRPr="00424078" w:rsidRDefault="007A5435" w:rsidP="007A543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7A5435" w:rsidRPr="00424078" w:rsidRDefault="007A5435" w:rsidP="007A54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7A5435" w:rsidRPr="00424078" w:rsidRDefault="007A5435" w:rsidP="007A5435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.......................................................................................................................Ft</w:t>
      </w:r>
    </w:p>
    <w:p w:rsidR="007A5435" w:rsidRPr="00424078" w:rsidRDefault="007A5435" w:rsidP="007A543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7A5435" w:rsidRPr="00424078" w:rsidRDefault="007A5435" w:rsidP="007A5435">
      <w:pPr>
        <w:pStyle w:val="Nincstrkz"/>
      </w:pP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</w:p>
    <w:p w:rsidR="007A5435" w:rsidRPr="009C3AFC" w:rsidRDefault="007A5435" w:rsidP="007A5435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7A5435" w:rsidRPr="009C3AFC" w:rsidRDefault="007A5435" w:rsidP="007A5435">
      <w:pPr>
        <w:pStyle w:val="Nincstrkz"/>
        <w:rPr>
          <w:rFonts w:ascii="Times New Roman" w:hAnsi="Times New Roman"/>
          <w:bCs/>
        </w:rPr>
      </w:pPr>
    </w:p>
    <w:p w:rsidR="007A5435" w:rsidRDefault="007A5435" w:rsidP="007A5435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7A5435" w:rsidRDefault="007A5435" w:rsidP="007A5435">
      <w:pPr>
        <w:pStyle w:val="Nincstrkz"/>
        <w:rPr>
          <w:rFonts w:ascii="Times New Roman" w:hAnsi="Times New Roman"/>
          <w:bCs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5435" w:rsidRPr="00424078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Hozzájárulok ahhoz, hogy jelen adatlapon rögzített adatokat az információs önrendelkezési jogról és az információszabadságról szóló 2011. évi CXII. törvény (Infotv.) rendelkezéseit betartva, a </w:t>
      </w:r>
      <w:r>
        <w:rPr>
          <w:rFonts w:ascii="Times New Roman" w:hAnsi="Times New Roman"/>
          <w:bCs/>
          <w:sz w:val="24"/>
          <w:szCs w:val="24"/>
        </w:rPr>
        <w:t xml:space="preserve">támogató </w:t>
      </w:r>
      <w:r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Infotv. 1. számú melléklete alapján a pályázatok alapvető adatai és a pályázatok eredménye az Önkormányzat hivatalos honlapján </w:t>
      </w: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7A5435" w:rsidRDefault="007A5435" w:rsidP="007A543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8A7D55"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/>
          <w:bCs/>
          <w:sz w:val="24"/>
          <w:szCs w:val="24"/>
        </w:rPr>
        <w:t>pályázó képviselőjének aláírása</w:t>
      </w:r>
    </w:p>
    <w:p w:rsidR="008A7D55" w:rsidRDefault="008A7D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A5435" w:rsidRPr="00424078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EE242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EE242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EE242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EE242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EE242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EE242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637A80" w:rsidRDefault="007A5435" w:rsidP="007A5435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7330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7330A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435" w:rsidRPr="00D34B41" w:rsidRDefault="007A5435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t>5.sz. melléklet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7A5435" w:rsidRDefault="008A7D5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……………………</w:t>
      </w:r>
    </w:p>
    <w:p w:rsidR="008A7D55" w:rsidRPr="00D34B41" w:rsidRDefault="008A7D55" w:rsidP="007A5435">
      <w:pPr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A7D5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4B41">
        <w:rPr>
          <w:rFonts w:ascii="Times New Roman" w:hAnsi="Times New Roman"/>
          <w:sz w:val="24"/>
          <w:szCs w:val="24"/>
        </w:rPr>
        <w:t xml:space="preserve"> közös képviselő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2019. évi növényesítési </w:t>
      </w:r>
      <w:r w:rsidR="00382F55">
        <w:rPr>
          <w:rFonts w:ascii="Times New Roman" w:hAnsi="Times New Roman"/>
          <w:noProof/>
          <w:sz w:val="24"/>
          <w:szCs w:val="24"/>
        </w:rPr>
        <w:t>pót</w:t>
      </w:r>
      <w:r>
        <w:rPr>
          <w:rFonts w:ascii="Times New Roman" w:hAnsi="Times New Roman"/>
          <w:noProof/>
          <w:sz w:val="24"/>
          <w:szCs w:val="24"/>
        </w:rPr>
        <w:t xml:space="preserve">pályázaton a Városüzemeltetési Bizottság …../2019.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Ptk.,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2019. évi növényesítési pótpályázati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2019.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Vattamány Zsolt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EE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41" w:type="dxa"/>
            <w:gridSpan w:val="2"/>
          </w:tcPr>
          <w:p w:rsidR="007A5435" w:rsidRDefault="007A5435" w:rsidP="00EE242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EE2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EE242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EE242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EE242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A5435" w:rsidRDefault="007A5435" w:rsidP="00EE2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7A5435" w:rsidRDefault="007A5435" w:rsidP="00EE242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7A5435" w:rsidSect="007330AB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7A5435" w:rsidRPr="00F812B8" w:rsidRDefault="007A5435" w:rsidP="00BB5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7A5435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6B0" w:rsidRDefault="00E276B0" w:rsidP="00442200">
      <w:pPr>
        <w:spacing w:after="0" w:line="240" w:lineRule="auto"/>
      </w:pPr>
      <w:r>
        <w:separator/>
      </w:r>
    </w:p>
  </w:endnote>
  <w:endnote w:type="continuationSeparator" w:id="0">
    <w:p w:rsidR="00E276B0" w:rsidRDefault="00E276B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6B0" w:rsidRDefault="00E276B0" w:rsidP="00442200">
      <w:pPr>
        <w:spacing w:after="0" w:line="240" w:lineRule="auto"/>
      </w:pPr>
      <w:r>
        <w:separator/>
      </w:r>
    </w:p>
  </w:footnote>
  <w:footnote w:type="continuationSeparator" w:id="0">
    <w:p w:rsidR="00E276B0" w:rsidRDefault="00E276B0" w:rsidP="00442200">
      <w:pPr>
        <w:spacing w:after="0" w:line="240" w:lineRule="auto"/>
      </w:pPr>
      <w:r>
        <w:continuationSeparator/>
      </w:r>
    </w:p>
  </w:footnote>
  <w:footnote w:id="1">
    <w:p w:rsidR="007A5435" w:rsidRPr="00D9621B" w:rsidRDefault="007A5435" w:rsidP="007A5435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="00E13E92"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7A5435" w:rsidRPr="00D9621B" w:rsidRDefault="007A5435" w:rsidP="007A5435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7A5435" w:rsidRPr="007A78DB" w:rsidRDefault="007A5435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1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3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5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1"/>
  </w:num>
  <w:num w:numId="5">
    <w:abstractNumId w:val="18"/>
  </w:num>
  <w:num w:numId="6">
    <w:abstractNumId w:val="16"/>
  </w:num>
  <w:num w:numId="7">
    <w:abstractNumId w:val="9"/>
  </w:num>
  <w:num w:numId="8">
    <w:abstractNumId w:val="21"/>
  </w:num>
  <w:num w:numId="9">
    <w:abstractNumId w:val="25"/>
  </w:num>
  <w:num w:numId="10">
    <w:abstractNumId w:val="15"/>
  </w:num>
  <w:num w:numId="11">
    <w:abstractNumId w:val="24"/>
  </w:num>
  <w:num w:numId="12">
    <w:abstractNumId w:val="11"/>
  </w:num>
  <w:num w:numId="13">
    <w:abstractNumId w:val="28"/>
  </w:num>
  <w:num w:numId="14">
    <w:abstractNumId w:val="6"/>
  </w:num>
  <w:num w:numId="15">
    <w:abstractNumId w:val="7"/>
  </w:num>
  <w:num w:numId="16">
    <w:abstractNumId w:val="26"/>
  </w:num>
  <w:num w:numId="17">
    <w:abstractNumId w:val="4"/>
  </w:num>
  <w:num w:numId="18">
    <w:abstractNumId w:val="5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3"/>
  </w:num>
  <w:num w:numId="24">
    <w:abstractNumId w:val="27"/>
  </w:num>
  <w:num w:numId="25">
    <w:abstractNumId w:val="2"/>
  </w:num>
  <w:num w:numId="26">
    <w:abstractNumId w:val="10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07F2C"/>
    <w:rsid w:val="00010889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5CAA"/>
    <w:rsid w:val="00046E2D"/>
    <w:rsid w:val="000475EE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5CE9"/>
    <w:rsid w:val="00097D4D"/>
    <w:rsid w:val="000A3DFE"/>
    <w:rsid w:val="000B0C30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1737"/>
    <w:rsid w:val="000F2F05"/>
    <w:rsid w:val="000F48D6"/>
    <w:rsid w:val="000F496A"/>
    <w:rsid w:val="000F49D9"/>
    <w:rsid w:val="001024B6"/>
    <w:rsid w:val="001066AA"/>
    <w:rsid w:val="00116E97"/>
    <w:rsid w:val="001179CB"/>
    <w:rsid w:val="00117B14"/>
    <w:rsid w:val="001226AB"/>
    <w:rsid w:val="00123665"/>
    <w:rsid w:val="00123A12"/>
    <w:rsid w:val="00124CFE"/>
    <w:rsid w:val="00126E7F"/>
    <w:rsid w:val="001341CF"/>
    <w:rsid w:val="00134CC2"/>
    <w:rsid w:val="00137137"/>
    <w:rsid w:val="00137CD3"/>
    <w:rsid w:val="0014749F"/>
    <w:rsid w:val="00151465"/>
    <w:rsid w:val="001521C3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1917"/>
    <w:rsid w:val="001E4556"/>
    <w:rsid w:val="001E581F"/>
    <w:rsid w:val="001E5C3E"/>
    <w:rsid w:val="001E7A4A"/>
    <w:rsid w:val="001F129E"/>
    <w:rsid w:val="0020291F"/>
    <w:rsid w:val="002075CE"/>
    <w:rsid w:val="00211D2F"/>
    <w:rsid w:val="0021279B"/>
    <w:rsid w:val="0021341F"/>
    <w:rsid w:val="002149F9"/>
    <w:rsid w:val="00215CD0"/>
    <w:rsid w:val="00217E5A"/>
    <w:rsid w:val="00226A65"/>
    <w:rsid w:val="00227D07"/>
    <w:rsid w:val="0023713A"/>
    <w:rsid w:val="00247E04"/>
    <w:rsid w:val="00250719"/>
    <w:rsid w:val="00250DDA"/>
    <w:rsid w:val="00252570"/>
    <w:rsid w:val="002534D3"/>
    <w:rsid w:val="002623B8"/>
    <w:rsid w:val="00266692"/>
    <w:rsid w:val="00270DB8"/>
    <w:rsid w:val="0027722E"/>
    <w:rsid w:val="00277E7F"/>
    <w:rsid w:val="002841E3"/>
    <w:rsid w:val="00290CD3"/>
    <w:rsid w:val="00291306"/>
    <w:rsid w:val="00295DA2"/>
    <w:rsid w:val="002976C1"/>
    <w:rsid w:val="002A5609"/>
    <w:rsid w:val="002A583D"/>
    <w:rsid w:val="002A6FB3"/>
    <w:rsid w:val="002B0184"/>
    <w:rsid w:val="002B0B27"/>
    <w:rsid w:val="002B1C28"/>
    <w:rsid w:val="002B30AD"/>
    <w:rsid w:val="002B31C9"/>
    <w:rsid w:val="002B31CF"/>
    <w:rsid w:val="002B4865"/>
    <w:rsid w:val="002B558D"/>
    <w:rsid w:val="002B75C3"/>
    <w:rsid w:val="002C20B9"/>
    <w:rsid w:val="002C2207"/>
    <w:rsid w:val="002C6BA6"/>
    <w:rsid w:val="002C76B9"/>
    <w:rsid w:val="002D0581"/>
    <w:rsid w:val="002D321B"/>
    <w:rsid w:val="002D6334"/>
    <w:rsid w:val="002E7F24"/>
    <w:rsid w:val="002F0A06"/>
    <w:rsid w:val="002F6F72"/>
    <w:rsid w:val="00300ACF"/>
    <w:rsid w:val="0030618D"/>
    <w:rsid w:val="00315DD9"/>
    <w:rsid w:val="003164D4"/>
    <w:rsid w:val="003202D2"/>
    <w:rsid w:val="0033448B"/>
    <w:rsid w:val="00336D99"/>
    <w:rsid w:val="00350AD2"/>
    <w:rsid w:val="00351EB8"/>
    <w:rsid w:val="00351EF5"/>
    <w:rsid w:val="00352DD3"/>
    <w:rsid w:val="00354048"/>
    <w:rsid w:val="00363F07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A04FB"/>
    <w:rsid w:val="003A0DB7"/>
    <w:rsid w:val="003A290E"/>
    <w:rsid w:val="003A69DF"/>
    <w:rsid w:val="003B2222"/>
    <w:rsid w:val="003B5E1B"/>
    <w:rsid w:val="003B6171"/>
    <w:rsid w:val="003C0664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C2856"/>
    <w:rsid w:val="004C3BAF"/>
    <w:rsid w:val="004C72E8"/>
    <w:rsid w:val="004D1F6A"/>
    <w:rsid w:val="004E351E"/>
    <w:rsid w:val="004E59DE"/>
    <w:rsid w:val="004E7C68"/>
    <w:rsid w:val="004F3F66"/>
    <w:rsid w:val="0050299C"/>
    <w:rsid w:val="005031A6"/>
    <w:rsid w:val="005065BC"/>
    <w:rsid w:val="00507988"/>
    <w:rsid w:val="00510640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D24"/>
    <w:rsid w:val="00556871"/>
    <w:rsid w:val="00556B66"/>
    <w:rsid w:val="00572E4B"/>
    <w:rsid w:val="00574C3D"/>
    <w:rsid w:val="0057777C"/>
    <w:rsid w:val="00584F57"/>
    <w:rsid w:val="005871D1"/>
    <w:rsid w:val="00590954"/>
    <w:rsid w:val="00592D5D"/>
    <w:rsid w:val="0059318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2851"/>
    <w:rsid w:val="006167A6"/>
    <w:rsid w:val="006229AA"/>
    <w:rsid w:val="006260A6"/>
    <w:rsid w:val="00637A80"/>
    <w:rsid w:val="00647870"/>
    <w:rsid w:val="006509B6"/>
    <w:rsid w:val="006532CD"/>
    <w:rsid w:val="006573B7"/>
    <w:rsid w:val="00670D22"/>
    <w:rsid w:val="0067171F"/>
    <w:rsid w:val="00672974"/>
    <w:rsid w:val="00680989"/>
    <w:rsid w:val="00683440"/>
    <w:rsid w:val="00687C41"/>
    <w:rsid w:val="00693657"/>
    <w:rsid w:val="006956FE"/>
    <w:rsid w:val="006A00C5"/>
    <w:rsid w:val="006A15B5"/>
    <w:rsid w:val="006A2B98"/>
    <w:rsid w:val="006A2F83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4EB2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72CC5"/>
    <w:rsid w:val="00777A42"/>
    <w:rsid w:val="0078211C"/>
    <w:rsid w:val="007864AD"/>
    <w:rsid w:val="00786F1B"/>
    <w:rsid w:val="00787E52"/>
    <w:rsid w:val="00791206"/>
    <w:rsid w:val="007A2934"/>
    <w:rsid w:val="007A2D58"/>
    <w:rsid w:val="007A5435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7508"/>
    <w:rsid w:val="008156F9"/>
    <w:rsid w:val="008242CB"/>
    <w:rsid w:val="00830F80"/>
    <w:rsid w:val="00833B70"/>
    <w:rsid w:val="00836A49"/>
    <w:rsid w:val="00837386"/>
    <w:rsid w:val="00844EC9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920"/>
    <w:rsid w:val="008A6459"/>
    <w:rsid w:val="008A7D55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D2B6C"/>
    <w:rsid w:val="008D3CF3"/>
    <w:rsid w:val="008D62D4"/>
    <w:rsid w:val="008D64BC"/>
    <w:rsid w:val="008E3DCD"/>
    <w:rsid w:val="008E4858"/>
    <w:rsid w:val="008F23D2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820AE"/>
    <w:rsid w:val="00983458"/>
    <w:rsid w:val="00984600"/>
    <w:rsid w:val="00985713"/>
    <w:rsid w:val="00992E99"/>
    <w:rsid w:val="00995FCE"/>
    <w:rsid w:val="009961BC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43A3"/>
    <w:rsid w:val="009E555A"/>
    <w:rsid w:val="009E5F45"/>
    <w:rsid w:val="00A04DFC"/>
    <w:rsid w:val="00A10C98"/>
    <w:rsid w:val="00A137E3"/>
    <w:rsid w:val="00A14D60"/>
    <w:rsid w:val="00A161F3"/>
    <w:rsid w:val="00A25D01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176D"/>
    <w:rsid w:val="00A93F9B"/>
    <w:rsid w:val="00A97A75"/>
    <w:rsid w:val="00AA76C3"/>
    <w:rsid w:val="00AB11E6"/>
    <w:rsid w:val="00AB1D72"/>
    <w:rsid w:val="00AC43D6"/>
    <w:rsid w:val="00AC4700"/>
    <w:rsid w:val="00AC53A1"/>
    <w:rsid w:val="00AC660B"/>
    <w:rsid w:val="00AD0DD5"/>
    <w:rsid w:val="00AD1708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0753B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50FA9"/>
    <w:rsid w:val="00B563A5"/>
    <w:rsid w:val="00B63347"/>
    <w:rsid w:val="00B63834"/>
    <w:rsid w:val="00B652D4"/>
    <w:rsid w:val="00B70E5D"/>
    <w:rsid w:val="00B71C5E"/>
    <w:rsid w:val="00B74EDD"/>
    <w:rsid w:val="00B75AE9"/>
    <w:rsid w:val="00B76907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C04A6"/>
    <w:rsid w:val="00BC284C"/>
    <w:rsid w:val="00BD0F20"/>
    <w:rsid w:val="00BD1D78"/>
    <w:rsid w:val="00BD40AA"/>
    <w:rsid w:val="00BD60C2"/>
    <w:rsid w:val="00BE02CE"/>
    <w:rsid w:val="00BE1BA0"/>
    <w:rsid w:val="00BE2443"/>
    <w:rsid w:val="00BE2565"/>
    <w:rsid w:val="00BE5AE8"/>
    <w:rsid w:val="00BE7FF1"/>
    <w:rsid w:val="00BF1DF0"/>
    <w:rsid w:val="00C0223C"/>
    <w:rsid w:val="00C11A6D"/>
    <w:rsid w:val="00C12C5D"/>
    <w:rsid w:val="00C17232"/>
    <w:rsid w:val="00C21B09"/>
    <w:rsid w:val="00C220E5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0785"/>
    <w:rsid w:val="00D21CEA"/>
    <w:rsid w:val="00D249F2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450B"/>
    <w:rsid w:val="00D92E5B"/>
    <w:rsid w:val="00D9341F"/>
    <w:rsid w:val="00D94176"/>
    <w:rsid w:val="00D960E9"/>
    <w:rsid w:val="00DA0A73"/>
    <w:rsid w:val="00DA3EC3"/>
    <w:rsid w:val="00DB451E"/>
    <w:rsid w:val="00DB764B"/>
    <w:rsid w:val="00DC0BAC"/>
    <w:rsid w:val="00DC31B9"/>
    <w:rsid w:val="00DC5DE6"/>
    <w:rsid w:val="00DC606F"/>
    <w:rsid w:val="00DD0EC9"/>
    <w:rsid w:val="00DD2FDC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41E2"/>
    <w:rsid w:val="00E134BA"/>
    <w:rsid w:val="00E13E92"/>
    <w:rsid w:val="00E14A37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1314"/>
    <w:rsid w:val="00EA54FA"/>
    <w:rsid w:val="00EA6EB5"/>
    <w:rsid w:val="00EA7F16"/>
    <w:rsid w:val="00EB1205"/>
    <w:rsid w:val="00EB68D5"/>
    <w:rsid w:val="00EB7581"/>
    <w:rsid w:val="00EC12C8"/>
    <w:rsid w:val="00EC2052"/>
    <w:rsid w:val="00EC525A"/>
    <w:rsid w:val="00EC5A36"/>
    <w:rsid w:val="00ED27F6"/>
    <w:rsid w:val="00ED2F1F"/>
    <w:rsid w:val="00ED32CF"/>
    <w:rsid w:val="00ED4793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F00F49"/>
    <w:rsid w:val="00F010C2"/>
    <w:rsid w:val="00F0280C"/>
    <w:rsid w:val="00F113A4"/>
    <w:rsid w:val="00F11D15"/>
    <w:rsid w:val="00F13B69"/>
    <w:rsid w:val="00F151BA"/>
    <w:rsid w:val="00F24916"/>
    <w:rsid w:val="00F36DF8"/>
    <w:rsid w:val="00F40C3E"/>
    <w:rsid w:val="00F449E5"/>
    <w:rsid w:val="00F45DF7"/>
    <w:rsid w:val="00F63885"/>
    <w:rsid w:val="00F63CF1"/>
    <w:rsid w:val="00F712E2"/>
    <w:rsid w:val="00F73412"/>
    <w:rsid w:val="00F741A9"/>
    <w:rsid w:val="00F74F7A"/>
    <w:rsid w:val="00F760B3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54B2"/>
    <w:rsid w:val="00FB5F96"/>
    <w:rsid w:val="00FC1993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97DB-8D02-4F30-A14B-9A8CBB01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20</Pages>
  <Words>4898</Words>
  <Characters>38541</Characters>
  <Application>Microsoft Office Word</Application>
  <DocSecurity>0</DocSecurity>
  <Lines>321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48</cp:revision>
  <cp:lastPrinted>2019-02-14T19:37:00Z</cp:lastPrinted>
  <dcterms:created xsi:type="dcterms:W3CDTF">2019-09-17T15:27:00Z</dcterms:created>
  <dcterms:modified xsi:type="dcterms:W3CDTF">2019-09-19T06:37:00Z</dcterms:modified>
</cp:coreProperties>
</file>