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3439C" w14:textId="040821BE" w:rsidR="005807C5" w:rsidRPr="00662283" w:rsidRDefault="005807C5" w:rsidP="005807C5">
      <w:pPr>
        <w:pStyle w:val="Standard"/>
        <w:rPr>
          <w:sz w:val="20"/>
          <w:szCs w:val="20"/>
        </w:rPr>
      </w:pPr>
      <w:r w:rsidRPr="00662283">
        <w:rPr>
          <w:sz w:val="20"/>
          <w:szCs w:val="20"/>
        </w:rPr>
        <w:t>Iktatószám:</w:t>
      </w:r>
      <w:r>
        <w:rPr>
          <w:sz w:val="20"/>
          <w:szCs w:val="20"/>
        </w:rPr>
        <w:t xml:space="preserve"> </w:t>
      </w:r>
      <w:r w:rsidR="0022085F">
        <w:rPr>
          <w:sz w:val="20"/>
          <w:szCs w:val="20"/>
        </w:rPr>
        <w:t>______________</w:t>
      </w:r>
    </w:p>
    <w:p w14:paraId="166781EF" w14:textId="77777777" w:rsidR="0011017D" w:rsidRDefault="0011017D" w:rsidP="00823DFB">
      <w:pPr>
        <w:pStyle w:val="Standard"/>
        <w:jc w:val="center"/>
        <w:rPr>
          <w:b/>
        </w:rPr>
      </w:pPr>
    </w:p>
    <w:p w14:paraId="5E37215F" w14:textId="77777777" w:rsidR="0011017D" w:rsidRDefault="0011017D" w:rsidP="00823DFB">
      <w:pPr>
        <w:pStyle w:val="Standard"/>
        <w:jc w:val="center"/>
        <w:rPr>
          <w:b/>
        </w:rPr>
      </w:pPr>
    </w:p>
    <w:p w14:paraId="4D9B411B" w14:textId="77777777" w:rsidR="00823DFB" w:rsidRDefault="00F0439E" w:rsidP="00823DFB">
      <w:pPr>
        <w:pStyle w:val="Standard"/>
        <w:jc w:val="center"/>
        <w:rPr>
          <w:b/>
        </w:rPr>
      </w:pPr>
      <w:r>
        <w:rPr>
          <w:b/>
        </w:rPr>
        <w:t xml:space="preserve">KÖZSZOLGÁLTATÁSI </w:t>
      </w:r>
      <w:r w:rsidR="00861419">
        <w:rPr>
          <w:b/>
        </w:rPr>
        <w:t>KERET</w:t>
      </w:r>
      <w:r>
        <w:rPr>
          <w:b/>
        </w:rPr>
        <w:t>SZERZŐDÉS</w:t>
      </w:r>
    </w:p>
    <w:p w14:paraId="6FE33516" w14:textId="4D6D99A2" w:rsidR="00031F21" w:rsidRDefault="0022085F" w:rsidP="00FD4941">
      <w:pPr>
        <w:pStyle w:val="Standard"/>
        <w:jc w:val="center"/>
        <w:rPr>
          <w:b/>
        </w:rPr>
      </w:pPr>
      <w:r>
        <w:rPr>
          <w:b/>
        </w:rPr>
        <w:t>5</w:t>
      </w:r>
      <w:r w:rsidR="00FD4941">
        <w:rPr>
          <w:b/>
        </w:rPr>
        <w:t xml:space="preserve">. </w:t>
      </w:r>
      <w:r w:rsidR="00031F21">
        <w:rPr>
          <w:b/>
        </w:rPr>
        <w:t>számú módosítása</w:t>
      </w:r>
    </w:p>
    <w:p w14:paraId="581D821F" w14:textId="77777777"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14:paraId="7F15CCE1" w14:textId="77777777" w:rsidR="00C644D2" w:rsidRPr="00FD4941" w:rsidRDefault="00F0439E">
      <w:pPr>
        <w:pStyle w:val="Standard"/>
        <w:ind w:left="1418" w:hanging="1418"/>
        <w:jc w:val="both"/>
      </w:pPr>
      <w:proofErr w:type="gramStart"/>
      <w:r w:rsidRPr="00FD4941">
        <w:t>amely</w:t>
      </w:r>
      <w:proofErr w:type="gramEnd"/>
      <w:r w:rsidRPr="00FD4941">
        <w:t xml:space="preserve"> létrejött </w:t>
      </w:r>
    </w:p>
    <w:p w14:paraId="0261C9FB" w14:textId="77777777" w:rsidR="00C644D2" w:rsidRPr="00FD4941" w:rsidRDefault="00C644D2">
      <w:pPr>
        <w:pStyle w:val="Standard"/>
        <w:ind w:left="1418" w:hanging="1418"/>
        <w:jc w:val="both"/>
      </w:pPr>
    </w:p>
    <w:p w14:paraId="7C8E4792" w14:textId="77777777" w:rsidR="00C644D2" w:rsidRPr="00FD4941" w:rsidRDefault="00F0439E">
      <w:pPr>
        <w:pStyle w:val="Standard"/>
        <w:ind w:left="1418" w:hanging="1418"/>
        <w:jc w:val="both"/>
      </w:pPr>
      <w:proofErr w:type="gramStart"/>
      <w:r w:rsidRPr="00FD4941">
        <w:t>egyrészről</w:t>
      </w:r>
      <w:proofErr w:type="gramEnd"/>
      <w:r w:rsidRPr="00FD4941">
        <w:t xml:space="preserve"> </w:t>
      </w:r>
    </w:p>
    <w:p w14:paraId="795C9E61" w14:textId="464F16B1" w:rsidR="00C644D2" w:rsidRPr="00FD4941" w:rsidRDefault="00F0439E" w:rsidP="00823DFB">
      <w:pPr>
        <w:pStyle w:val="Standard"/>
        <w:ind w:left="1418"/>
        <w:jc w:val="both"/>
      </w:pPr>
      <w:r w:rsidRPr="00FD4941">
        <w:rPr>
          <w:b/>
        </w:rPr>
        <w:t>Budapest Főváros VII. kerület</w:t>
      </w:r>
      <w:r w:rsidRPr="00FD4941">
        <w:t xml:space="preserve"> </w:t>
      </w:r>
      <w:r w:rsidRPr="00FD4941">
        <w:rPr>
          <w:b/>
        </w:rPr>
        <w:t>Erzsébetváros Önkormányzata</w:t>
      </w:r>
      <w:r w:rsidRPr="00FD4941">
        <w:t xml:space="preserve"> (székhely: 1073 Budapest, Erzsébet krt. 6</w:t>
      </w:r>
      <w:proofErr w:type="gramStart"/>
      <w:r w:rsidRPr="00FD4941">
        <w:t>.,</w:t>
      </w:r>
      <w:proofErr w:type="gramEnd"/>
      <w:r w:rsidRPr="00FD4941">
        <w:t xml:space="preserve"> törzskönyvi azonosító szám: 735704, KSH statisztikai számjel: 15735708-8411-321-01, adóazonosító szám: 15735708-2-42, fizetési számlaszáma: 11784009-15507008, képviseli: </w:t>
      </w:r>
      <w:r w:rsidR="0022085F">
        <w:t>Niedermüller Péter polgármester</w:t>
      </w:r>
      <w:r w:rsidRPr="00FD4941">
        <w:t xml:space="preserve"> (továbbiakban: Önkormányzat),</w:t>
      </w:r>
    </w:p>
    <w:p w14:paraId="7134E732" w14:textId="77777777" w:rsidR="00C644D2" w:rsidRPr="00FD4941" w:rsidRDefault="00C644D2">
      <w:pPr>
        <w:pStyle w:val="Standard"/>
        <w:ind w:left="1418" w:hanging="1418"/>
        <w:jc w:val="both"/>
      </w:pPr>
    </w:p>
    <w:p w14:paraId="15966207" w14:textId="77777777" w:rsidR="00C644D2" w:rsidRPr="00FD4941" w:rsidRDefault="00F0439E">
      <w:pPr>
        <w:pStyle w:val="Standard"/>
        <w:ind w:left="1418" w:hanging="1418"/>
        <w:jc w:val="both"/>
      </w:pPr>
      <w:proofErr w:type="gramStart"/>
      <w:r w:rsidRPr="00FD4941">
        <w:t>másrészről</w:t>
      </w:r>
      <w:proofErr w:type="gramEnd"/>
      <w:r w:rsidRPr="00FD4941">
        <w:t xml:space="preserve"> </w:t>
      </w:r>
    </w:p>
    <w:p w14:paraId="453B5992" w14:textId="5CCF71B8" w:rsidR="00C644D2" w:rsidRPr="00FD4941" w:rsidRDefault="00F0439E" w:rsidP="00823DFB">
      <w:pPr>
        <w:pStyle w:val="Standard"/>
        <w:ind w:left="1418"/>
        <w:jc w:val="both"/>
      </w:pPr>
      <w:r w:rsidRPr="00FD4941">
        <w:rPr>
          <w:b/>
        </w:rPr>
        <w:t xml:space="preserve">ERöMŰVHÁZ Erzsébetvárosi Összevont Művelődési Központ Nonprofit Korlátolt Felelősségű Társaság </w:t>
      </w:r>
      <w:r w:rsidRPr="00FD4941">
        <w:t>(székhely: 1073 Budapest, Wesselényi utca 17</w:t>
      </w:r>
      <w:proofErr w:type="gramStart"/>
      <w:r w:rsidRPr="00FD4941">
        <w:t>.,</w:t>
      </w:r>
      <w:proofErr w:type="gramEnd"/>
      <w:r w:rsidRPr="00FD4941">
        <w:t xml:space="preserve"> Cg.: 01-09-989563, adószám: 24081203-2-42; bankszámlaszám: </w:t>
      </w:r>
      <w:r w:rsidR="00B53CFF" w:rsidRPr="00FD4941">
        <w:t>ERSTE</w:t>
      </w:r>
      <w:r w:rsidR="000323C5" w:rsidRPr="00FD4941">
        <w:t xml:space="preserve"> </w:t>
      </w:r>
      <w:r w:rsidRPr="00FD4941">
        <w:t>Bank</w:t>
      </w:r>
      <w:r w:rsidR="000323C5" w:rsidRPr="00FD4941">
        <w:t xml:space="preserve"> Hungary </w:t>
      </w:r>
      <w:proofErr w:type="spellStart"/>
      <w:r w:rsidR="000323C5" w:rsidRPr="00FD4941">
        <w:t>Zrt</w:t>
      </w:r>
      <w:proofErr w:type="spellEnd"/>
      <w:r w:rsidR="000323C5" w:rsidRPr="00FD4941">
        <w:t>.</w:t>
      </w:r>
      <w:r w:rsidRPr="00FD4941">
        <w:t xml:space="preserve"> </w:t>
      </w:r>
      <w:r w:rsidR="000323C5" w:rsidRPr="00FD4941">
        <w:t>11600006-00000000-79874382</w:t>
      </w:r>
      <w:r w:rsidRPr="00FD4941">
        <w:t xml:space="preserve">; képviseli: </w:t>
      </w:r>
      <w:r w:rsidR="00FD4941" w:rsidRPr="00FD4941">
        <w:t>Runda Margit</w:t>
      </w:r>
      <w:r w:rsidRPr="00FD4941">
        <w:t xml:space="preserve"> ügyvezető), mint Szolgáltató (a továbbiakban: ERöMŰVHÁZ Nonprofit Kft.) </w:t>
      </w:r>
    </w:p>
    <w:p w14:paraId="10E80444" w14:textId="77777777" w:rsidR="00C644D2" w:rsidRPr="00FD4941" w:rsidRDefault="00C644D2">
      <w:pPr>
        <w:pStyle w:val="Standard"/>
        <w:ind w:left="1418" w:hanging="1418"/>
        <w:jc w:val="both"/>
      </w:pPr>
    </w:p>
    <w:p w14:paraId="2FF87075" w14:textId="77777777" w:rsidR="00C644D2" w:rsidRPr="00FD4941" w:rsidRDefault="00F0439E">
      <w:pPr>
        <w:pStyle w:val="Standard"/>
        <w:jc w:val="both"/>
      </w:pPr>
      <w:r w:rsidRPr="00FD4941">
        <w:t xml:space="preserve">(Önkormányzat és az ERöMŰVHÁZ Nonprofit Kft. továbbiakban együttesen: </w:t>
      </w:r>
      <w:r w:rsidRPr="00FD4941">
        <w:rPr>
          <w:i/>
        </w:rPr>
        <w:t>Felek</w:t>
      </w:r>
      <w:r w:rsidRPr="00FD4941">
        <w:t>) között, alulírott helyen és napon, az alábbiak szerint:</w:t>
      </w:r>
    </w:p>
    <w:p w14:paraId="4ECBCD7E" w14:textId="77777777" w:rsidR="00FD4941" w:rsidRDefault="00FD4941" w:rsidP="00F54278">
      <w:pPr>
        <w:pStyle w:val="Textbody"/>
        <w:jc w:val="center"/>
        <w:rPr>
          <w:bCs/>
        </w:rPr>
      </w:pPr>
    </w:p>
    <w:p w14:paraId="131948DA" w14:textId="77777777" w:rsidR="00F54278" w:rsidRPr="00FD4941" w:rsidRDefault="00F54278" w:rsidP="00F54278">
      <w:pPr>
        <w:pStyle w:val="Textbody"/>
        <w:jc w:val="center"/>
      </w:pPr>
      <w:r w:rsidRPr="00FD4941">
        <w:rPr>
          <w:bCs/>
        </w:rPr>
        <w:t>I.</w:t>
      </w:r>
    </w:p>
    <w:p w14:paraId="4C0C8758" w14:textId="77777777" w:rsidR="00F54278" w:rsidRPr="00FD4941" w:rsidRDefault="00F54278" w:rsidP="00F54278">
      <w:pPr>
        <w:pStyle w:val="Standard"/>
        <w:jc w:val="center"/>
      </w:pPr>
      <w:r w:rsidRPr="00FD4941">
        <w:rPr>
          <w:b/>
        </w:rPr>
        <w:t>Előzmények</w:t>
      </w:r>
    </w:p>
    <w:p w14:paraId="17B124FF" w14:textId="77777777" w:rsidR="00F54278" w:rsidRPr="00FD4941" w:rsidRDefault="00F54278" w:rsidP="00F54278">
      <w:pPr>
        <w:pStyle w:val="Standard"/>
      </w:pPr>
    </w:p>
    <w:p w14:paraId="72E53535" w14:textId="35A829B1" w:rsidR="0011017D" w:rsidRDefault="00F54278" w:rsidP="0011017D">
      <w:pPr>
        <w:pStyle w:val="Standard"/>
        <w:jc w:val="both"/>
      </w:pPr>
      <w:r w:rsidRPr="00FD4941">
        <w:t xml:space="preserve">Az Önkormányzat Budapest Főváros VII. kerület Erzsébetváros polgárainak közösségi művelődését szolgáló, Magyarország helyi önkormányzatairól szóló 2011. évi CLXXXIX. törvény (a továbbiakban: </w:t>
      </w:r>
      <w:proofErr w:type="spellStart"/>
      <w:r w:rsidRPr="00FD4941">
        <w:t>Mötv</w:t>
      </w:r>
      <w:proofErr w:type="spellEnd"/>
      <w:r w:rsidRPr="00FD4941">
        <w:t>.) 13. §</w:t>
      </w:r>
      <w:proofErr w:type="spellStart"/>
      <w:r w:rsidRPr="00FD4941">
        <w:t>-ában</w:t>
      </w:r>
      <w:proofErr w:type="spellEnd"/>
      <w:r w:rsidRPr="00FD4941">
        <w:t xml:space="preserve"> önkormányzati feladatként megfogalmazott közfeladat, kulturális szolgáltatás ellátásával az </w:t>
      </w:r>
      <w:r w:rsidRPr="00FD4941">
        <w:rPr>
          <w:b/>
        </w:rPr>
        <w:t>ERöMŰVHÁZ Erzsébetvárosi Összevont Művelődési Központ Nonprofit K</w:t>
      </w:r>
      <w:r w:rsidR="00425E66">
        <w:rPr>
          <w:b/>
        </w:rPr>
        <w:t>orlátolt Felelősségű Társaságot</w:t>
      </w:r>
      <w:r w:rsidRPr="00FD4941">
        <w:t xml:space="preserve"> 2017. január 01-től 2025. december 31-ig tartó határozott időtartamra közösségi színtér biztosításával, továbbá közművelődési, kulturális, oktatási, szervezési, közvetítői, szórakoztató, információs tevékenységgel bízta meg, melynek kereteit a 2017. január 11-én megkötött közszolgáltatás</w:t>
      </w:r>
      <w:r w:rsidR="00163B1F" w:rsidRPr="00FD4941">
        <w:t>i keretszerződés határozza meg. A keretszerződés a Képviselő-te</w:t>
      </w:r>
      <w:r w:rsidR="00FD4941" w:rsidRPr="00FD4941">
        <w:t>stület 227/2017. (VI.16.) számú, 439/2017. (XII.17.) számú</w:t>
      </w:r>
      <w:r w:rsidR="00E42D05">
        <w:t xml:space="preserve">, valamint </w:t>
      </w:r>
      <w:r w:rsidR="00E42D05" w:rsidRPr="00FD4941">
        <w:t>274/2018. (IX.07.) számú</w:t>
      </w:r>
      <w:r w:rsidR="00EE5556">
        <w:t>, valamint 159/2019. (V.29.) számú</w:t>
      </w:r>
      <w:r w:rsidR="00E42D05" w:rsidRPr="00FD4941">
        <w:t xml:space="preserve"> </w:t>
      </w:r>
      <w:r w:rsidR="00163B1F" w:rsidRPr="00FD4941">
        <w:t>határozata alapján módosításra került (1</w:t>
      </w:r>
      <w:r w:rsidR="00FD4941" w:rsidRPr="00FD4941">
        <w:t>-</w:t>
      </w:r>
      <w:r w:rsidR="00EE5556">
        <w:t>4</w:t>
      </w:r>
      <w:r w:rsidR="00163B1F" w:rsidRPr="00FD4941">
        <w:t>. sz. módosítás).</w:t>
      </w:r>
    </w:p>
    <w:p w14:paraId="0F543B07" w14:textId="77777777" w:rsidR="0011017D" w:rsidRDefault="0011017D" w:rsidP="0011017D">
      <w:pPr>
        <w:pStyle w:val="Standard"/>
        <w:jc w:val="both"/>
        <w:rPr>
          <w:b/>
          <w:bCs/>
          <w:lang w:eastAsia="ar-SA"/>
        </w:rPr>
      </w:pPr>
    </w:p>
    <w:p w14:paraId="615C7643" w14:textId="1BF075D5" w:rsidR="00C644D2" w:rsidRPr="00FD4941" w:rsidRDefault="00F0439E">
      <w:pPr>
        <w:pStyle w:val="Textbody"/>
        <w:jc w:val="center"/>
        <w:rPr>
          <w:bCs/>
        </w:rPr>
      </w:pPr>
      <w:r w:rsidRPr="00FD4941">
        <w:rPr>
          <w:bCs/>
        </w:rPr>
        <w:t>II.</w:t>
      </w:r>
    </w:p>
    <w:p w14:paraId="528BE565" w14:textId="77777777" w:rsidR="00FD4941" w:rsidRPr="0011017D" w:rsidRDefault="00FD4941" w:rsidP="00F54278">
      <w:pPr>
        <w:pStyle w:val="Textbody"/>
        <w:rPr>
          <w:bCs/>
        </w:rPr>
      </w:pPr>
    </w:p>
    <w:p w14:paraId="49150EC9" w14:textId="7F8F9611" w:rsidR="00F54278" w:rsidRPr="00FD4941" w:rsidRDefault="00F54278" w:rsidP="00EE5556">
      <w:pPr>
        <w:pStyle w:val="Textbody"/>
        <w:numPr>
          <w:ilvl w:val="0"/>
          <w:numId w:val="28"/>
        </w:numPr>
        <w:ind w:left="426"/>
        <w:rPr>
          <w:b w:val="0"/>
        </w:rPr>
      </w:pPr>
      <w:r w:rsidRPr="0011017D">
        <w:rPr>
          <w:bCs/>
        </w:rPr>
        <w:t>Felek egyező akarattal a fent</w:t>
      </w:r>
      <w:r w:rsidRPr="0011017D">
        <w:t xml:space="preserve"> körülírt Közszolgáltatási Keretszerződést (a továbbiakban szerződés) a </w:t>
      </w:r>
      <w:proofErr w:type="gramStart"/>
      <w:r w:rsidRPr="0011017D">
        <w:t xml:space="preserve">Képviselő-testület </w:t>
      </w:r>
      <w:r w:rsidR="00EE5556" w:rsidRPr="0011017D">
        <w:t>….</w:t>
      </w:r>
      <w:proofErr w:type="gramEnd"/>
      <w:r w:rsidR="00FD4941" w:rsidRPr="0011017D">
        <w:t>/201</w:t>
      </w:r>
      <w:r w:rsidR="00E42D05" w:rsidRPr="0011017D">
        <w:t>9</w:t>
      </w:r>
      <w:r w:rsidRPr="0011017D">
        <w:t>. (</w:t>
      </w:r>
      <w:r w:rsidR="00EE5556" w:rsidRPr="0011017D">
        <w:t>…</w:t>
      </w:r>
      <w:r w:rsidRPr="0011017D">
        <w:t>) számú határozata alapján az alábbiak szerint</w:t>
      </w:r>
      <w:r w:rsidRPr="00FD4941">
        <w:rPr>
          <w:b w:val="0"/>
        </w:rPr>
        <w:t xml:space="preserve"> </w:t>
      </w:r>
      <w:r w:rsidRPr="0011017D">
        <w:t>módosítják:</w:t>
      </w:r>
    </w:p>
    <w:p w14:paraId="07752E7F" w14:textId="77777777" w:rsidR="00F54278" w:rsidRDefault="00F54278" w:rsidP="00F54278">
      <w:pPr>
        <w:pStyle w:val="Textbody"/>
        <w:rPr>
          <w:b w:val="0"/>
        </w:rPr>
      </w:pPr>
    </w:p>
    <w:p w14:paraId="532B891B" w14:textId="63834D4B" w:rsidR="00E42D05" w:rsidRPr="0011017D" w:rsidRDefault="00E42D05" w:rsidP="001B1458">
      <w:pPr>
        <w:pStyle w:val="Listaszerbekezds"/>
        <w:numPr>
          <w:ilvl w:val="1"/>
          <w:numId w:val="28"/>
        </w:numPr>
        <w:tabs>
          <w:tab w:val="left" w:pos="851"/>
        </w:tabs>
        <w:ind w:left="851" w:hanging="491"/>
        <w:jc w:val="both"/>
        <w:rPr>
          <w:b/>
        </w:rPr>
      </w:pPr>
      <w:r w:rsidRPr="0011017D">
        <w:rPr>
          <w:b/>
        </w:rPr>
        <w:t>A Közszolgálta</w:t>
      </w:r>
      <w:r w:rsidR="00EE5556" w:rsidRPr="0011017D">
        <w:rPr>
          <w:b/>
        </w:rPr>
        <w:t>tási keretszerződés IV. fejezet 6-9. pontja az alábbiak szerint módosul</w:t>
      </w:r>
      <w:r w:rsidRPr="0011017D">
        <w:rPr>
          <w:b/>
        </w:rPr>
        <w:t>:</w:t>
      </w:r>
    </w:p>
    <w:p w14:paraId="4837B1B1" w14:textId="77777777" w:rsidR="00E42D05" w:rsidRDefault="00E42D05" w:rsidP="00E42D05">
      <w:pPr>
        <w:pStyle w:val="Listaszerbekezds"/>
        <w:jc w:val="both"/>
      </w:pPr>
    </w:p>
    <w:p w14:paraId="1C153B7D" w14:textId="58832A38" w:rsidR="00EE5556" w:rsidRPr="00FC4571" w:rsidRDefault="00EE5556" w:rsidP="001B1458">
      <w:pPr>
        <w:pStyle w:val="Standard"/>
        <w:numPr>
          <w:ilvl w:val="0"/>
          <w:numId w:val="30"/>
        </w:numPr>
        <w:ind w:left="1276"/>
        <w:jc w:val="both"/>
        <w:rPr>
          <w:color w:val="auto"/>
        </w:rPr>
      </w:pPr>
      <w:r w:rsidRPr="00FC4571">
        <w:rPr>
          <w:color w:val="auto"/>
        </w:rPr>
        <w:lastRenderedPageBreak/>
        <w:t xml:space="preserve">A kompenzáció megfizetésére </w:t>
      </w:r>
      <w:r w:rsidRPr="00EE5556">
        <w:rPr>
          <w:i/>
          <w:color w:val="auto"/>
        </w:rPr>
        <w:t>havonta kerül sor</w:t>
      </w:r>
      <w:r w:rsidRPr="00FC4571">
        <w:rPr>
          <w:color w:val="auto"/>
        </w:rPr>
        <w:t>, számla és az azt alátámasztó elszámolás alapján</w:t>
      </w:r>
      <w:r w:rsidR="001B1458">
        <w:rPr>
          <w:color w:val="auto"/>
        </w:rPr>
        <w:t xml:space="preserve">. </w:t>
      </w:r>
    </w:p>
    <w:p w14:paraId="7597DE42" w14:textId="5437B35C" w:rsidR="00EE5556" w:rsidRPr="00557E81" w:rsidRDefault="00EE5556" w:rsidP="001B1458">
      <w:pPr>
        <w:pStyle w:val="Standard"/>
        <w:tabs>
          <w:tab w:val="left" w:pos="1560"/>
        </w:tabs>
        <w:spacing w:before="120"/>
        <w:ind w:left="1701" w:hanging="426"/>
        <w:jc w:val="both"/>
        <w:rPr>
          <w:bCs/>
          <w:color w:val="auto"/>
        </w:rPr>
      </w:pPr>
      <w:r>
        <w:rPr>
          <w:color w:val="auto"/>
        </w:rPr>
        <w:t xml:space="preserve">6.1. </w:t>
      </w:r>
      <w:r w:rsidRPr="00D45E68">
        <w:rPr>
          <w:bCs/>
          <w:color w:val="auto"/>
        </w:rPr>
        <w:t xml:space="preserve"> </w:t>
      </w:r>
      <w:r w:rsidRPr="00557E81">
        <w:rPr>
          <w:bCs/>
          <w:color w:val="auto"/>
        </w:rPr>
        <w:t xml:space="preserve">A Csányi utca 5. szám alatti telephely vonatkozásában felmerülő bevételeket és kiadásokat az ERÖMŰVHÁZ Nonprofit Kft. köteles elkülönítetten kezelni. </w:t>
      </w:r>
      <w:r w:rsidR="00F42E3D">
        <w:rPr>
          <w:bCs/>
          <w:color w:val="auto"/>
        </w:rPr>
        <w:t>E</w:t>
      </w:r>
      <w:r w:rsidRPr="00557E81">
        <w:rPr>
          <w:bCs/>
          <w:color w:val="auto"/>
        </w:rPr>
        <w:t xml:space="preserve"> telephelyre vonatkozó</w:t>
      </w:r>
      <w:r w:rsidR="00F42E3D">
        <w:rPr>
          <w:bCs/>
          <w:color w:val="auto"/>
        </w:rPr>
        <w:t xml:space="preserve">an </w:t>
      </w:r>
      <w:r w:rsidRPr="00557E81">
        <w:rPr>
          <w:bCs/>
          <w:color w:val="auto"/>
        </w:rPr>
        <w:t>külön</w:t>
      </w:r>
      <w:r w:rsidRPr="00557E81">
        <w:rPr>
          <w:bCs/>
          <w:color w:val="00B050"/>
        </w:rPr>
        <w:t xml:space="preserve"> </w:t>
      </w:r>
      <w:r w:rsidRPr="00EE5556">
        <w:rPr>
          <w:bCs/>
          <w:i/>
          <w:color w:val="auto"/>
        </w:rPr>
        <w:t>számlát</w:t>
      </w:r>
      <w:r w:rsidRPr="00557E81">
        <w:rPr>
          <w:bCs/>
          <w:color w:val="auto"/>
        </w:rPr>
        <w:t xml:space="preserve"> állít ki, illetve a többi telephelyen folytatott tevékenységtől elkülönítetten készít elszámolást jelen keretszerződés szabályai szerint. Az előleget és a </w:t>
      </w:r>
      <w:bookmarkStart w:id="0" w:name="_GoBack"/>
      <w:bookmarkEnd w:id="0"/>
      <w:r w:rsidRPr="00557E81">
        <w:rPr>
          <w:bCs/>
          <w:color w:val="auto"/>
        </w:rPr>
        <w:t xml:space="preserve">kompenzáció összegét, valamint a telephely működésével kapcsolatos bevételek és kiadások teljesítését az ERSTE Bank Hungary </w:t>
      </w:r>
      <w:proofErr w:type="spellStart"/>
      <w:r w:rsidRPr="00557E81">
        <w:rPr>
          <w:bCs/>
          <w:color w:val="auto"/>
        </w:rPr>
        <w:t>Zrt-nél</w:t>
      </w:r>
      <w:proofErr w:type="spellEnd"/>
      <w:r w:rsidRPr="00557E81">
        <w:rPr>
          <w:bCs/>
          <w:color w:val="auto"/>
        </w:rPr>
        <w:t xml:space="preserve"> e célra nyitott 11600006-00000000-79874447 számú </w:t>
      </w:r>
      <w:proofErr w:type="spellStart"/>
      <w:r w:rsidRPr="00557E81">
        <w:rPr>
          <w:bCs/>
          <w:color w:val="auto"/>
        </w:rPr>
        <w:t>alszámlán</w:t>
      </w:r>
      <w:proofErr w:type="spellEnd"/>
      <w:r w:rsidRPr="00557E81">
        <w:rPr>
          <w:bCs/>
          <w:color w:val="auto"/>
        </w:rPr>
        <w:t xml:space="preserve"> köteles bonyolítani.</w:t>
      </w:r>
    </w:p>
    <w:p w14:paraId="6B9F6CA1" w14:textId="0D892453" w:rsidR="00EE5556" w:rsidRPr="00EE5556" w:rsidRDefault="00EE5556" w:rsidP="001B1458">
      <w:pPr>
        <w:pStyle w:val="Standard"/>
        <w:numPr>
          <w:ilvl w:val="0"/>
          <w:numId w:val="30"/>
        </w:numPr>
        <w:spacing w:before="120"/>
        <w:ind w:left="1276"/>
        <w:jc w:val="both"/>
        <w:rPr>
          <w:color w:val="auto"/>
        </w:rPr>
      </w:pPr>
      <w:r w:rsidRPr="00EE5556">
        <w:rPr>
          <w:bCs/>
          <w:color w:val="auto"/>
        </w:rPr>
        <w:t xml:space="preserve">Az ERöMŰVHÁZ Nonprofit Kft. likviditásának biztosítására tárgyév január 31. napjáig </w:t>
      </w:r>
      <w:r w:rsidRPr="00EE5556">
        <w:rPr>
          <w:bCs/>
          <w:i/>
          <w:color w:val="auto"/>
        </w:rPr>
        <w:t xml:space="preserve">egyszeri előleg igénylésére jogosult az alábbiak szerint: </w:t>
      </w:r>
      <w:r w:rsidRPr="00EE5556">
        <w:rPr>
          <w:i/>
          <w:color w:val="auto"/>
        </w:rPr>
        <w:t>a Csányi utcai telephely vonatkozásában 10.000.000 Ft összegben, minden más telephely vonatkozásában együttesen 50.000.000 Ft összegben</w:t>
      </w:r>
      <w:r w:rsidRPr="00EE5556">
        <w:rPr>
          <w:bCs/>
          <w:color w:val="auto"/>
        </w:rPr>
        <w:t xml:space="preserve">, melyet a tárgyév december havi elszámolásánál kell bevételként figyelembe venni, s mellyel a tárgyévet követő év január 10. napjáig köteles elszámolni. </w:t>
      </w:r>
    </w:p>
    <w:p w14:paraId="5E1759EB" w14:textId="0E324C36" w:rsidR="00EE5556" w:rsidRPr="00AA4B93" w:rsidRDefault="00EE5556" w:rsidP="001B1458">
      <w:pPr>
        <w:pStyle w:val="Standard"/>
        <w:numPr>
          <w:ilvl w:val="0"/>
          <w:numId w:val="30"/>
        </w:numPr>
        <w:spacing w:before="120"/>
        <w:ind w:left="1276"/>
        <w:jc w:val="both"/>
        <w:rPr>
          <w:i/>
          <w:color w:val="auto"/>
        </w:rPr>
      </w:pPr>
      <w:r w:rsidRPr="00537075">
        <w:rPr>
          <w:bCs/>
          <w:color w:val="auto"/>
        </w:rPr>
        <w:t>A közszolgáltatásokkal kapcsolatos bevételeiről és kiadásairól az ERöMŰVHÁZ Nonprofit Kft. elszámolni köteles telephelyenkénti</w:t>
      </w:r>
      <w:r>
        <w:rPr>
          <w:bCs/>
          <w:color w:val="auto"/>
        </w:rPr>
        <w:t xml:space="preserve">, </w:t>
      </w:r>
      <w:r w:rsidRPr="00557E81">
        <w:rPr>
          <w:bCs/>
          <w:i/>
          <w:color w:val="auto"/>
        </w:rPr>
        <w:t xml:space="preserve">valamint működési és programköltség szerinti bontásban. </w:t>
      </w:r>
      <w:r w:rsidRPr="00E15D6E">
        <w:rPr>
          <w:bCs/>
          <w:i/>
          <w:color w:val="auto"/>
        </w:rPr>
        <w:t>Az elszámolás</w:t>
      </w:r>
      <w:r>
        <w:rPr>
          <w:bCs/>
          <w:i/>
          <w:color w:val="auto"/>
        </w:rPr>
        <w:t>t</w:t>
      </w:r>
      <w:r w:rsidRPr="00E15D6E">
        <w:rPr>
          <w:bCs/>
          <w:i/>
          <w:color w:val="auto"/>
        </w:rPr>
        <w:t xml:space="preserve"> a tárgyhónapot követő hónap 10. nap</w:t>
      </w:r>
      <w:r w:rsidRPr="00EE5556">
        <w:rPr>
          <w:bCs/>
          <w:i/>
          <w:color w:val="auto"/>
        </w:rPr>
        <w:t>jáig</w:t>
      </w:r>
      <w:r w:rsidRPr="00E15D6E">
        <w:rPr>
          <w:bCs/>
          <w:i/>
          <w:color w:val="auto"/>
        </w:rPr>
        <w:t xml:space="preserve"> </w:t>
      </w:r>
      <w:r>
        <w:rPr>
          <w:bCs/>
          <w:i/>
          <w:color w:val="auto"/>
        </w:rPr>
        <w:t>kell benyújtani</w:t>
      </w:r>
      <w:r w:rsidRPr="00E15D6E">
        <w:rPr>
          <w:bCs/>
          <w:i/>
          <w:color w:val="auto"/>
        </w:rPr>
        <w:t xml:space="preserve">. </w:t>
      </w:r>
      <w:r w:rsidRPr="00E15D6E">
        <w:rPr>
          <w:i/>
          <w:color w:val="auto"/>
        </w:rPr>
        <w:t xml:space="preserve"> Az elszámolás ellenőrzését a Polgármesteri Hivatal Humánszolgáltató Irodája végzi a benyújtást követő 5 napon belül. </w:t>
      </w:r>
      <w:r w:rsidRPr="00557E81">
        <w:rPr>
          <w:bCs/>
          <w:i/>
          <w:color w:val="auto"/>
        </w:rPr>
        <w:t>Az elszámolás eredményeként a bevételeket meghaladó kiadások ellentételezésére a „</w:t>
      </w:r>
      <w:proofErr w:type="gramStart"/>
      <w:r w:rsidRPr="00557E81">
        <w:rPr>
          <w:bCs/>
          <w:i/>
          <w:color w:val="auto"/>
        </w:rPr>
        <w:t>közszolgáltatás ….</w:t>
      </w:r>
      <w:proofErr w:type="gramEnd"/>
      <w:r w:rsidRPr="00557E81">
        <w:rPr>
          <w:bCs/>
          <w:i/>
          <w:color w:val="auto"/>
        </w:rPr>
        <w:t xml:space="preserve"> havi kompenzációja” címen az ERöMŰVHÁZ Nonprofit Kft. számla kibocsátására jogosult a tárgyhót követő hónap 15. napjáig.</w:t>
      </w:r>
    </w:p>
    <w:p w14:paraId="40E168E8" w14:textId="0F28675F" w:rsidR="00EE5556" w:rsidRPr="001B1458" w:rsidRDefault="00EE5556" w:rsidP="001B1458">
      <w:pPr>
        <w:pStyle w:val="Standard"/>
        <w:numPr>
          <w:ilvl w:val="0"/>
          <w:numId w:val="30"/>
        </w:numPr>
        <w:spacing w:before="120"/>
        <w:ind w:left="1276"/>
        <w:jc w:val="both"/>
        <w:rPr>
          <w:color w:val="auto"/>
        </w:rPr>
      </w:pPr>
      <w:r w:rsidRPr="00481568">
        <w:rPr>
          <w:bCs/>
          <w:color w:val="auto"/>
        </w:rPr>
        <w:t xml:space="preserve">A befogadott számla összegét az Önkormányzat </w:t>
      </w:r>
      <w:r w:rsidRPr="00557E81">
        <w:rPr>
          <w:bCs/>
          <w:i/>
          <w:color w:val="auto"/>
        </w:rPr>
        <w:t>15 napon belül</w:t>
      </w:r>
      <w:r w:rsidRPr="00481568">
        <w:rPr>
          <w:bCs/>
          <w:color w:val="auto"/>
        </w:rPr>
        <w:t xml:space="preserve"> átutalja </w:t>
      </w:r>
      <w:r w:rsidRPr="001C5252">
        <w:rPr>
          <w:bCs/>
          <w:i/>
          <w:color w:val="auto"/>
        </w:rPr>
        <w:t xml:space="preserve">az </w:t>
      </w:r>
      <w:r w:rsidRPr="00557E81">
        <w:rPr>
          <w:bCs/>
          <w:color w:val="auto"/>
        </w:rPr>
        <w:t>ERöMŰVHÁZ Nonprofit Kft. bankszámláira.</w:t>
      </w:r>
    </w:p>
    <w:p w14:paraId="38305621" w14:textId="3EACFCD4" w:rsidR="001B1458" w:rsidRPr="0011017D" w:rsidRDefault="001B1458" w:rsidP="001B1458">
      <w:pPr>
        <w:pStyle w:val="Standard"/>
        <w:numPr>
          <w:ilvl w:val="1"/>
          <w:numId w:val="28"/>
        </w:numPr>
        <w:tabs>
          <w:tab w:val="left" w:pos="851"/>
        </w:tabs>
        <w:spacing w:before="240"/>
        <w:ind w:left="851" w:hanging="491"/>
        <w:jc w:val="both"/>
        <w:rPr>
          <w:b/>
          <w:color w:val="auto"/>
        </w:rPr>
      </w:pPr>
      <w:r w:rsidRPr="0011017D">
        <w:rPr>
          <w:b/>
        </w:rPr>
        <w:t>A Közszolgáltatási keretszerződés IV. fejezet 13-14. pontja az alábbiak szerint módosul:</w:t>
      </w:r>
    </w:p>
    <w:p w14:paraId="744587BA" w14:textId="77777777" w:rsidR="00E42D05" w:rsidRDefault="00E42D05" w:rsidP="00FD4941">
      <w:pPr>
        <w:pStyle w:val="Standard"/>
        <w:tabs>
          <w:tab w:val="left" w:pos="426"/>
        </w:tabs>
        <w:jc w:val="both"/>
      </w:pPr>
    </w:p>
    <w:p w14:paraId="2CDDB10F" w14:textId="6E322083" w:rsidR="001B1458" w:rsidRDefault="001B1458" w:rsidP="0011017D">
      <w:pPr>
        <w:pStyle w:val="Standard"/>
        <w:numPr>
          <w:ilvl w:val="0"/>
          <w:numId w:val="31"/>
        </w:numPr>
        <w:ind w:left="1418" w:hanging="564"/>
        <w:jc w:val="both"/>
        <w:rPr>
          <w:color w:val="auto"/>
        </w:rPr>
      </w:pPr>
      <w:r w:rsidRPr="00751704">
        <w:rPr>
          <w:color w:val="auto"/>
        </w:rPr>
        <w:t>Ha az ERöMŰVHÁZ Nonprofit Kft.</w:t>
      </w:r>
      <w:r w:rsidRPr="00751704">
        <w:rPr>
          <w:b/>
          <w:color w:val="auto"/>
        </w:rPr>
        <w:t xml:space="preserve"> </w:t>
      </w:r>
      <w:r w:rsidRPr="00751704">
        <w:rPr>
          <w:color w:val="auto"/>
        </w:rPr>
        <w:t xml:space="preserve">a 2012/21/EU bizottsági határozat 5. cikkének megfelelően meghatározott összeget meghaladó kompenzációban részesül, az </w:t>
      </w:r>
      <w:proofErr w:type="spellStart"/>
      <w:r w:rsidRPr="00751704">
        <w:rPr>
          <w:color w:val="auto"/>
        </w:rPr>
        <w:t>túlkompenzációnak</w:t>
      </w:r>
      <w:proofErr w:type="spellEnd"/>
      <w:r w:rsidRPr="00751704">
        <w:rPr>
          <w:color w:val="auto"/>
        </w:rPr>
        <w:t xml:space="preserve"> minősül és a kedvezményezett</w:t>
      </w:r>
      <w:r w:rsidR="00F42E3D">
        <w:rPr>
          <w:color w:val="auto"/>
        </w:rPr>
        <w:t xml:space="preserve">nek ezt </w:t>
      </w:r>
      <w:r w:rsidRPr="00751704">
        <w:rPr>
          <w:color w:val="auto"/>
        </w:rPr>
        <w:t>vissza kell</w:t>
      </w:r>
      <w:r w:rsidR="00F42E3D">
        <w:rPr>
          <w:color w:val="auto"/>
        </w:rPr>
        <w:t xml:space="preserve"> fizetnie</w:t>
      </w:r>
      <w:r w:rsidRPr="00751704">
        <w:rPr>
          <w:color w:val="auto"/>
        </w:rPr>
        <w:t xml:space="preserve">, annak mértékétől függetlenül </w:t>
      </w:r>
      <w:r w:rsidRPr="001B1458">
        <w:rPr>
          <w:i/>
          <w:color w:val="auto"/>
        </w:rPr>
        <w:t>a tárgyév december havi elszámolásának</w:t>
      </w:r>
      <w:r w:rsidRPr="001B1458">
        <w:rPr>
          <w:color w:val="auto"/>
        </w:rPr>
        <w:t xml:space="preserve"> </w:t>
      </w:r>
      <w:r w:rsidRPr="00751704">
        <w:rPr>
          <w:color w:val="auto"/>
        </w:rPr>
        <w:t>elfogadását követő 5 napon belül.</w:t>
      </w:r>
    </w:p>
    <w:p w14:paraId="472278CE" w14:textId="6D9887B1" w:rsidR="001B1458" w:rsidRPr="001B1458" w:rsidRDefault="001B1458" w:rsidP="0011017D">
      <w:pPr>
        <w:pStyle w:val="Standard"/>
        <w:numPr>
          <w:ilvl w:val="0"/>
          <w:numId w:val="31"/>
        </w:numPr>
        <w:spacing w:before="120"/>
        <w:ind w:left="1418" w:hanging="564"/>
        <w:jc w:val="both"/>
        <w:rPr>
          <w:color w:val="auto"/>
        </w:rPr>
      </w:pPr>
      <w:r w:rsidRPr="001B1458">
        <w:rPr>
          <w:color w:val="auto"/>
        </w:rPr>
        <w:t xml:space="preserve">A visszafizetett </w:t>
      </w:r>
      <w:r w:rsidR="00F42E3D">
        <w:rPr>
          <w:color w:val="auto"/>
        </w:rPr>
        <w:t>összeg</w:t>
      </w:r>
      <w:r w:rsidRPr="001B1458">
        <w:rPr>
          <w:color w:val="auto"/>
        </w:rPr>
        <w:t xml:space="preserve"> nem érvényesíthető kiadásként a visszafizetés időszakában benyújtott </w:t>
      </w:r>
      <w:r w:rsidRPr="001B1458">
        <w:rPr>
          <w:i/>
          <w:color w:val="auto"/>
        </w:rPr>
        <w:t>elszámolásban.</w:t>
      </w:r>
    </w:p>
    <w:p w14:paraId="5843794E" w14:textId="4800CD08" w:rsidR="001B1458" w:rsidRPr="0011017D" w:rsidRDefault="001B1458" w:rsidP="0011017D">
      <w:pPr>
        <w:pStyle w:val="Standard"/>
        <w:numPr>
          <w:ilvl w:val="1"/>
          <w:numId w:val="28"/>
        </w:numPr>
        <w:tabs>
          <w:tab w:val="left" w:pos="851"/>
        </w:tabs>
        <w:spacing w:before="240"/>
        <w:ind w:left="851" w:hanging="491"/>
        <w:jc w:val="both"/>
        <w:rPr>
          <w:b/>
          <w:color w:val="auto"/>
        </w:rPr>
      </w:pPr>
      <w:r w:rsidRPr="0011017D">
        <w:rPr>
          <w:b/>
        </w:rPr>
        <w:t>A Közszolgáltatási keretszerződés V. fejezet 2. pontja az alábbiak szerint módosul:</w:t>
      </w:r>
    </w:p>
    <w:p w14:paraId="0DC64E46" w14:textId="77777777" w:rsidR="0011017D" w:rsidRDefault="0011017D" w:rsidP="0011017D">
      <w:pPr>
        <w:pStyle w:val="Standard"/>
        <w:tabs>
          <w:tab w:val="left" w:pos="426"/>
        </w:tabs>
        <w:ind w:left="1418"/>
        <w:jc w:val="both"/>
      </w:pPr>
    </w:p>
    <w:p w14:paraId="2AAA4C61" w14:textId="00305392" w:rsidR="00EE5556" w:rsidRDefault="001B1458" w:rsidP="001B1458">
      <w:pPr>
        <w:pStyle w:val="Standard"/>
        <w:numPr>
          <w:ilvl w:val="0"/>
          <w:numId w:val="28"/>
        </w:numPr>
        <w:tabs>
          <w:tab w:val="left" w:pos="426"/>
        </w:tabs>
        <w:ind w:left="1418" w:hanging="567"/>
        <w:jc w:val="both"/>
      </w:pPr>
      <w:r>
        <w:t xml:space="preserve">A közművelődési feladat megvalósításában közreműködők szakképzettségét illetően </w:t>
      </w:r>
      <w:r>
        <w:rPr>
          <w:bCs/>
        </w:rPr>
        <w:t>a</w:t>
      </w:r>
      <w:r>
        <w:rPr>
          <w:b/>
          <w:bCs/>
        </w:rPr>
        <w:t xml:space="preserve"> </w:t>
      </w:r>
      <w:r>
        <w:rPr>
          <w:bCs/>
        </w:rPr>
        <w:t>közalkalmazottak jogállásáról szóló 1992. évi XXXIII. törvény végrehajtásáról a művészeti, a közművelődési és a közgyűjteményi területen foglalkoztatott közalkalmazottak jogviszonyával összefüggő egyes kérdések rendezéséről szóló</w:t>
      </w:r>
      <w:r>
        <w:t xml:space="preserve"> 150/1992. (XI.20.) Korm. rendelet, illetve </w:t>
      </w:r>
      <w:r w:rsidRPr="00557E81">
        <w:rPr>
          <w:i/>
        </w:rPr>
        <w:t>a kulturális szakemberek továbbképzéséről szóló 32/2017. (XII. 12.) EMMI rendelet,</w:t>
      </w:r>
      <w:r>
        <w:t xml:space="preserve"> és a </w:t>
      </w:r>
      <w:r>
        <w:rPr>
          <w:bCs/>
        </w:rPr>
        <w:t xml:space="preserve">muzeális intézményekről, a nyilvános könyvtári ellátásról és a közművelődésről </w:t>
      </w:r>
      <w:r>
        <w:rPr>
          <w:bCs/>
        </w:rPr>
        <w:lastRenderedPageBreak/>
        <w:t>szóló</w:t>
      </w:r>
      <w:r>
        <w:t xml:space="preserve"> 1997. évi CXL. törvényben megfogalmazott követelmények az irányadóak.</w:t>
      </w:r>
    </w:p>
    <w:p w14:paraId="3554B1EC" w14:textId="6C533BF1" w:rsidR="001B1458" w:rsidRPr="001B1458" w:rsidRDefault="001B1458" w:rsidP="0011017D">
      <w:pPr>
        <w:pStyle w:val="Standard"/>
        <w:tabs>
          <w:tab w:val="left" w:pos="851"/>
        </w:tabs>
        <w:spacing w:before="240"/>
        <w:ind w:left="851" w:hanging="515"/>
        <w:jc w:val="both"/>
        <w:rPr>
          <w:color w:val="auto"/>
        </w:rPr>
      </w:pPr>
      <w:r w:rsidRPr="0011017D">
        <w:rPr>
          <w:b/>
        </w:rPr>
        <w:t>1.4.</w:t>
      </w:r>
      <w:r w:rsidR="0011017D">
        <w:rPr>
          <w:b/>
        </w:rPr>
        <w:tab/>
      </w:r>
      <w:r w:rsidRPr="0011017D">
        <w:rPr>
          <w:b/>
        </w:rPr>
        <w:t>A Közszolgáltatási keretszerződés VII. fejezet 2. pont d)</w:t>
      </w:r>
      <w:proofErr w:type="spellStart"/>
      <w:r w:rsidRPr="0011017D">
        <w:rPr>
          <w:b/>
        </w:rPr>
        <w:t>-f</w:t>
      </w:r>
      <w:proofErr w:type="spellEnd"/>
      <w:r w:rsidRPr="0011017D">
        <w:rPr>
          <w:b/>
        </w:rPr>
        <w:t>) alpontja az alábbiak szerint módosul</w:t>
      </w:r>
      <w:r w:rsidRPr="00E42D05">
        <w:t>:</w:t>
      </w:r>
    </w:p>
    <w:p w14:paraId="65048031" w14:textId="77777777" w:rsidR="001B1458" w:rsidRDefault="001B1458" w:rsidP="001B1458">
      <w:pPr>
        <w:pStyle w:val="Standard"/>
        <w:tabs>
          <w:tab w:val="left" w:pos="851"/>
        </w:tabs>
        <w:spacing w:before="240"/>
        <w:ind w:left="851"/>
        <w:jc w:val="both"/>
      </w:pPr>
      <w:r>
        <w:t>[2. A IV. 10. pont szerinti elszámolást a következők szerint kell elkészíteni:]</w:t>
      </w:r>
    </w:p>
    <w:p w14:paraId="5F2B6971" w14:textId="34112220" w:rsidR="0011017D" w:rsidRPr="0011017D" w:rsidRDefault="0011017D" w:rsidP="0011017D">
      <w:pPr>
        <w:pStyle w:val="Standard"/>
        <w:spacing w:before="120"/>
        <w:ind w:left="1276" w:hanging="425"/>
        <w:jc w:val="both"/>
        <w:rPr>
          <w:color w:val="auto"/>
        </w:rPr>
      </w:pPr>
      <w:r>
        <w:rPr>
          <w:color w:val="auto"/>
          <w:shd w:val="clear" w:color="auto" w:fill="FFFFFF"/>
        </w:rPr>
        <w:t>d)</w:t>
      </w:r>
      <w:r>
        <w:rPr>
          <w:color w:val="auto"/>
          <w:shd w:val="clear" w:color="auto" w:fill="FFFFFF"/>
        </w:rPr>
        <w:tab/>
      </w:r>
      <w:r w:rsidR="001B1458" w:rsidRPr="0011017D">
        <w:rPr>
          <w:color w:val="auto"/>
          <w:shd w:val="clear" w:color="auto" w:fill="FFFFFF"/>
        </w:rPr>
        <w:t xml:space="preserve">A közvetlen bevételeket meghaladó kiadásokat telephelyenként kell megállapítani és </w:t>
      </w:r>
      <w:r w:rsidR="001B1458" w:rsidRPr="0011017D">
        <w:rPr>
          <w:i/>
          <w:color w:val="auto"/>
          <w:shd w:val="clear" w:color="auto" w:fill="FFFFFF"/>
        </w:rPr>
        <w:t>az elszámoló lapra</w:t>
      </w:r>
      <w:r w:rsidR="001B1458" w:rsidRPr="0011017D">
        <w:rPr>
          <w:color w:val="auto"/>
          <w:shd w:val="clear" w:color="auto" w:fill="FFFFFF"/>
        </w:rPr>
        <w:t xml:space="preserve"> felvezetni.</w:t>
      </w:r>
    </w:p>
    <w:p w14:paraId="03436301" w14:textId="73D5926F" w:rsidR="001B1458" w:rsidRPr="0011017D" w:rsidRDefault="0011017D" w:rsidP="00902479">
      <w:pPr>
        <w:pStyle w:val="Standard"/>
        <w:ind w:left="1276" w:hanging="425"/>
        <w:jc w:val="both"/>
        <w:rPr>
          <w:color w:val="auto"/>
        </w:rPr>
      </w:pPr>
      <w:proofErr w:type="gramStart"/>
      <w:r>
        <w:rPr>
          <w:color w:val="auto"/>
          <w:shd w:val="clear" w:color="auto" w:fill="FFFFFF"/>
        </w:rPr>
        <w:t>e</w:t>
      </w:r>
      <w:proofErr w:type="gramEnd"/>
      <w:r>
        <w:rPr>
          <w:color w:val="auto"/>
          <w:shd w:val="clear" w:color="auto" w:fill="FFFFFF"/>
        </w:rPr>
        <w:t>)</w:t>
      </w:r>
      <w:r>
        <w:rPr>
          <w:color w:val="auto"/>
          <w:shd w:val="clear" w:color="auto" w:fill="FFFFFF"/>
        </w:rPr>
        <w:tab/>
      </w:r>
      <w:r w:rsidR="001B1458" w:rsidRPr="0011017D">
        <w:rPr>
          <w:color w:val="auto"/>
          <w:shd w:val="clear" w:color="auto" w:fill="FFFFFF"/>
        </w:rPr>
        <w:t xml:space="preserve">A közvetett bevételeket meghaladó kiadásokat társasági szinten kell megállapítani és </w:t>
      </w:r>
      <w:r w:rsidR="001B1458" w:rsidRPr="0011017D">
        <w:rPr>
          <w:i/>
          <w:color w:val="auto"/>
          <w:shd w:val="clear" w:color="auto" w:fill="FFFFFF"/>
        </w:rPr>
        <w:t>az elszámoló lapra</w:t>
      </w:r>
      <w:r w:rsidR="001B1458" w:rsidRPr="0011017D">
        <w:rPr>
          <w:color w:val="auto"/>
          <w:shd w:val="clear" w:color="auto" w:fill="FFFFFF"/>
        </w:rPr>
        <w:t xml:space="preserve"> felvezetni</w:t>
      </w:r>
    </w:p>
    <w:p w14:paraId="4B39C38A" w14:textId="77777777" w:rsidR="001B1458" w:rsidRPr="0011017D" w:rsidRDefault="001B1458" w:rsidP="00902479">
      <w:pPr>
        <w:pStyle w:val="Standard"/>
        <w:numPr>
          <w:ilvl w:val="0"/>
          <w:numId w:val="17"/>
        </w:numPr>
        <w:ind w:left="1560"/>
        <w:jc w:val="both"/>
        <w:rPr>
          <w:color w:val="auto"/>
        </w:rPr>
      </w:pPr>
      <w:r w:rsidRPr="0011017D">
        <w:rPr>
          <w:color w:val="auto"/>
        </w:rPr>
        <w:t>amennyiben a társaság egyéb, arányosítást okozó tevékenységet nem végzett, a teljes összeget,</w:t>
      </w:r>
    </w:p>
    <w:p w14:paraId="020F60BD" w14:textId="77777777" w:rsidR="001B1458" w:rsidRPr="0011017D" w:rsidRDefault="001B1458" w:rsidP="00902479">
      <w:pPr>
        <w:pStyle w:val="Standard"/>
        <w:numPr>
          <w:ilvl w:val="0"/>
          <w:numId w:val="17"/>
        </w:numPr>
        <w:ind w:left="1560"/>
        <w:jc w:val="both"/>
        <w:rPr>
          <w:color w:val="auto"/>
        </w:rPr>
      </w:pPr>
      <w:r w:rsidRPr="0011017D">
        <w:rPr>
          <w:color w:val="auto"/>
        </w:rPr>
        <w:t>amennyiben a társaság a közszolgáltatási feladatellátáson kívül egyéb tevékenységet is végzett, akkor a VII. 2.1. d) pont szerinti számítás szerinti kompenzációba beszámítható összeget.</w:t>
      </w:r>
    </w:p>
    <w:p w14:paraId="4B43FF84" w14:textId="41799D6A" w:rsidR="001B1458" w:rsidRPr="0011017D" w:rsidRDefault="0011017D" w:rsidP="00902479">
      <w:pPr>
        <w:pStyle w:val="Standard"/>
        <w:tabs>
          <w:tab w:val="left" w:pos="1276"/>
        </w:tabs>
        <w:ind w:left="1276" w:hanging="425"/>
        <w:jc w:val="both"/>
        <w:rPr>
          <w:color w:val="auto"/>
        </w:rPr>
      </w:pPr>
      <w:proofErr w:type="gramStart"/>
      <w:r w:rsidRPr="0011017D">
        <w:rPr>
          <w:color w:val="auto"/>
        </w:rPr>
        <w:t>f</w:t>
      </w:r>
      <w:proofErr w:type="gramEnd"/>
      <w:r w:rsidRPr="0011017D">
        <w:rPr>
          <w:color w:val="auto"/>
        </w:rPr>
        <w:t>)</w:t>
      </w:r>
      <w:r>
        <w:rPr>
          <w:color w:val="auto"/>
        </w:rPr>
        <w:tab/>
      </w:r>
      <w:r w:rsidR="001B1458" w:rsidRPr="0011017D">
        <w:rPr>
          <w:i/>
          <w:color w:val="auto"/>
        </w:rPr>
        <w:t>Az elszámoló lapok</w:t>
      </w:r>
      <w:r w:rsidR="001B1458" w:rsidRPr="0011017D">
        <w:rPr>
          <w:color w:val="auto"/>
        </w:rPr>
        <w:t xml:space="preserve"> tételeit összesíteni kell, mely összesítés eredményét kell a IV. 8. pont szerint készítendő számlákra felvezetni. Az elszámoló lap a számla mellékletét képezi.</w:t>
      </w:r>
    </w:p>
    <w:p w14:paraId="697A377B" w14:textId="7EE1BE76" w:rsidR="001B1458" w:rsidRDefault="001B1458" w:rsidP="001B1458">
      <w:pPr>
        <w:pStyle w:val="Standard"/>
        <w:tabs>
          <w:tab w:val="left" w:pos="426"/>
        </w:tabs>
        <w:jc w:val="both"/>
      </w:pPr>
    </w:p>
    <w:p w14:paraId="10AF4806" w14:textId="02E1C899" w:rsidR="001B1458" w:rsidRDefault="0011017D" w:rsidP="0011017D">
      <w:pPr>
        <w:pStyle w:val="Standard"/>
        <w:tabs>
          <w:tab w:val="left" w:pos="851"/>
        </w:tabs>
        <w:ind w:left="851" w:hanging="515"/>
        <w:jc w:val="both"/>
        <w:rPr>
          <w:b/>
        </w:rPr>
      </w:pPr>
      <w:r w:rsidRPr="0011017D">
        <w:rPr>
          <w:b/>
        </w:rPr>
        <w:t>1.5.</w:t>
      </w:r>
      <w:r>
        <w:tab/>
      </w:r>
      <w:r w:rsidRPr="0011017D">
        <w:rPr>
          <w:b/>
        </w:rPr>
        <w:t>A Közszolgáltatási keretszerződés VI</w:t>
      </w:r>
      <w:r>
        <w:rPr>
          <w:b/>
        </w:rPr>
        <w:t>II</w:t>
      </w:r>
      <w:r w:rsidRPr="0011017D">
        <w:rPr>
          <w:b/>
        </w:rPr>
        <w:t xml:space="preserve">. fejezet </w:t>
      </w:r>
      <w:r>
        <w:rPr>
          <w:b/>
        </w:rPr>
        <w:t>7</w:t>
      </w:r>
      <w:r w:rsidRPr="0011017D">
        <w:rPr>
          <w:b/>
        </w:rPr>
        <w:t>. pont</w:t>
      </w:r>
      <w:r>
        <w:rPr>
          <w:b/>
        </w:rPr>
        <w:t xml:space="preserve">ja </w:t>
      </w:r>
      <w:r w:rsidRPr="0011017D">
        <w:rPr>
          <w:b/>
        </w:rPr>
        <w:t>az alábbiak szerint módosul</w:t>
      </w:r>
      <w:r w:rsidRPr="00E42D05">
        <w:t>:</w:t>
      </w:r>
    </w:p>
    <w:p w14:paraId="5DF26A5B" w14:textId="5A54318E" w:rsidR="0011017D" w:rsidRDefault="0011017D" w:rsidP="0011017D">
      <w:pPr>
        <w:pStyle w:val="Standard"/>
        <w:numPr>
          <w:ilvl w:val="0"/>
          <w:numId w:val="32"/>
        </w:numPr>
        <w:spacing w:before="240"/>
        <w:ind w:left="1276" w:hanging="425"/>
        <w:jc w:val="both"/>
        <w:rPr>
          <w:color w:val="auto"/>
        </w:rPr>
      </w:pPr>
      <w:r w:rsidRPr="00BE6CCD">
        <w:rPr>
          <w:color w:val="auto"/>
        </w:rPr>
        <w:t xml:space="preserve">A </w:t>
      </w:r>
      <w:r w:rsidRPr="0011017D">
        <w:rPr>
          <w:i/>
          <w:color w:val="auto"/>
        </w:rPr>
        <w:t>kompenzáció</w:t>
      </w:r>
      <w:r w:rsidRPr="0011017D">
        <w:rPr>
          <w:color w:val="auto"/>
        </w:rPr>
        <w:t xml:space="preserve"> </w:t>
      </w:r>
      <w:r w:rsidRPr="00BE6CCD">
        <w:rPr>
          <w:color w:val="auto"/>
        </w:rPr>
        <w:t>mértékét a 2012/21/EU bizottsági határozat 5. cikke szerint kell megállapítani. A kompenzáció mértéke nem haladhatja meg a közszolgáltatás ellátásának nettó költségét, azaz a közszolgáltatás működtetésével kapcsolatban felmerült költségek és az ezzel összefüggésben keletkezett bevételek különbségét. A közszolgáltatás ellátásához kapcsolódó sajáttőke-rész alapján várható ésszerű profitot a kompenzáció nem tartalmaz.</w:t>
      </w:r>
    </w:p>
    <w:p w14:paraId="27FCE58E" w14:textId="77777777" w:rsidR="0011017D" w:rsidRPr="0011017D" w:rsidRDefault="0011017D" w:rsidP="001B1458">
      <w:pPr>
        <w:pStyle w:val="Standard"/>
        <w:tabs>
          <w:tab w:val="left" w:pos="426"/>
        </w:tabs>
        <w:jc w:val="both"/>
        <w:rPr>
          <w:b/>
        </w:rPr>
      </w:pPr>
    </w:p>
    <w:p w14:paraId="1AF52A00" w14:textId="2286E068" w:rsidR="00E42D05" w:rsidRPr="0011017D" w:rsidRDefault="0011017D" w:rsidP="0011017D">
      <w:pPr>
        <w:pStyle w:val="Standard"/>
        <w:tabs>
          <w:tab w:val="left" w:pos="426"/>
        </w:tabs>
        <w:ind w:left="426" w:hanging="426"/>
        <w:jc w:val="both"/>
        <w:rPr>
          <w:b/>
        </w:rPr>
      </w:pPr>
      <w:r w:rsidRPr="0011017D">
        <w:rPr>
          <w:b/>
        </w:rPr>
        <w:t>2.</w:t>
      </w:r>
      <w:r w:rsidRPr="0011017D">
        <w:rPr>
          <w:b/>
        </w:rPr>
        <w:tab/>
      </w:r>
      <w:r w:rsidR="00163B1F" w:rsidRPr="0011017D">
        <w:rPr>
          <w:b/>
        </w:rPr>
        <w:t>Jelen szerződésmódosítás a szerződés egyéb pontjait nem érinti, azok változatlan formában hatályban vannak.</w:t>
      </w:r>
    </w:p>
    <w:p w14:paraId="70D3C616" w14:textId="77777777" w:rsidR="00E42D05" w:rsidRDefault="00E42D05" w:rsidP="00E42D05">
      <w:pPr>
        <w:pStyle w:val="Standard"/>
        <w:tabs>
          <w:tab w:val="left" w:pos="426"/>
        </w:tabs>
        <w:ind w:left="426"/>
        <w:jc w:val="both"/>
      </w:pPr>
    </w:p>
    <w:p w14:paraId="136562D3" w14:textId="682DABD9" w:rsidR="00DD0C75" w:rsidRPr="00FD4941" w:rsidRDefault="00DD0C75" w:rsidP="00B576AA">
      <w:pPr>
        <w:pStyle w:val="Standard"/>
        <w:tabs>
          <w:tab w:val="left" w:pos="426"/>
        </w:tabs>
        <w:jc w:val="both"/>
      </w:pPr>
      <w:r w:rsidRPr="00FD4941">
        <w:t>Felek a jelen megállapodásban foglalt feltételekkel egyetértenek azokat közösen értelmezték és a megállapodást, mint akaratukkal mindenben egyezőt cégszerűen jóváhagyólag aláírták.</w:t>
      </w:r>
      <w:r w:rsidRPr="00E42D05">
        <w:rPr>
          <w:strike/>
        </w:rPr>
        <w:t xml:space="preserve"> </w:t>
      </w:r>
    </w:p>
    <w:p w14:paraId="0C29255E" w14:textId="77777777" w:rsidR="00504DC1" w:rsidRPr="00FD4941" w:rsidRDefault="00504DC1">
      <w:pPr>
        <w:pStyle w:val="Standard"/>
        <w:jc w:val="both"/>
        <w:rPr>
          <w:b/>
          <w:color w:val="FF3333"/>
        </w:rPr>
      </w:pPr>
    </w:p>
    <w:p w14:paraId="5C890970" w14:textId="77777777" w:rsidR="00C644D2" w:rsidRPr="00FD4941" w:rsidRDefault="00C644D2">
      <w:pPr>
        <w:pStyle w:val="Standard"/>
      </w:pPr>
    </w:p>
    <w:p w14:paraId="103BEAAD" w14:textId="01020CDA" w:rsidR="00C644D2" w:rsidRPr="00FD4941" w:rsidRDefault="00F0439E">
      <w:pPr>
        <w:pStyle w:val="Standard"/>
      </w:pPr>
      <w:r w:rsidRPr="00FD4941">
        <w:t xml:space="preserve">Budapest, </w:t>
      </w:r>
      <w:r w:rsidR="007C7745" w:rsidRPr="00FD4941">
        <w:t>201</w:t>
      </w:r>
      <w:r w:rsidR="00E42D05">
        <w:t>9</w:t>
      </w:r>
      <w:r w:rsidRPr="00FD4941">
        <w:t>.</w:t>
      </w:r>
    </w:p>
    <w:p w14:paraId="65A6B248" w14:textId="77777777" w:rsidR="00C644D2" w:rsidRPr="00FD4941" w:rsidRDefault="00C644D2">
      <w:pPr>
        <w:pStyle w:val="Standard"/>
      </w:pPr>
    </w:p>
    <w:p w14:paraId="47126047" w14:textId="77777777" w:rsidR="00C644D2" w:rsidRPr="00FD4941" w:rsidRDefault="00C644D2">
      <w:pPr>
        <w:pStyle w:val="Standard"/>
      </w:pPr>
    </w:p>
    <w:p w14:paraId="270461C1" w14:textId="776009CD" w:rsidR="00C644D2" w:rsidRPr="00FD4941" w:rsidRDefault="00F0439E">
      <w:pPr>
        <w:pStyle w:val="Standard"/>
      </w:pPr>
      <w:r w:rsidRPr="00FD4941">
        <w:t> ………………………………</w:t>
      </w:r>
      <w:r w:rsidRPr="00FD4941">
        <w:tab/>
      </w:r>
      <w:r w:rsidRPr="00FD4941">
        <w:tab/>
      </w:r>
      <w:r w:rsidRPr="00FD4941">
        <w:tab/>
        <w:t>………………………….</w:t>
      </w:r>
    </w:p>
    <w:p w14:paraId="6E26FA68" w14:textId="3D4817F5" w:rsidR="00C644D2" w:rsidRPr="00FD4941" w:rsidRDefault="0011017D" w:rsidP="00902479">
      <w:pPr>
        <w:pStyle w:val="Standard"/>
        <w:tabs>
          <w:tab w:val="center" w:pos="6237"/>
        </w:tabs>
      </w:pPr>
      <w:r>
        <w:rPr>
          <w:b/>
        </w:rPr>
        <w:t xml:space="preserve">        Niedermüller Péter</w:t>
      </w:r>
      <w:r w:rsidR="00902479">
        <w:rPr>
          <w:b/>
        </w:rPr>
        <w:tab/>
      </w:r>
      <w:r w:rsidR="00FD4941">
        <w:rPr>
          <w:b/>
        </w:rPr>
        <w:t>Runda Margit</w:t>
      </w:r>
    </w:p>
    <w:p w14:paraId="68616B0E" w14:textId="775A2717" w:rsidR="00C644D2" w:rsidRPr="00FD4941" w:rsidRDefault="00F0439E" w:rsidP="00902479">
      <w:pPr>
        <w:pStyle w:val="Standard"/>
        <w:tabs>
          <w:tab w:val="center" w:pos="6237"/>
        </w:tabs>
        <w:ind w:firstLine="708"/>
      </w:pPr>
      <w:r w:rsidRPr="00FD4941">
        <w:rPr>
          <w:b/>
        </w:rPr>
        <w:t xml:space="preserve">  </w:t>
      </w:r>
      <w:proofErr w:type="gramStart"/>
      <w:r w:rsidRPr="00FD4941">
        <w:rPr>
          <w:b/>
        </w:rPr>
        <w:t>polgármester</w:t>
      </w:r>
      <w:proofErr w:type="gramEnd"/>
      <w:r w:rsidR="00902479">
        <w:rPr>
          <w:b/>
        </w:rPr>
        <w:tab/>
      </w:r>
      <w:r w:rsidRPr="00FD4941">
        <w:rPr>
          <w:b/>
        </w:rPr>
        <w:t>ügyvezető</w:t>
      </w:r>
    </w:p>
    <w:p w14:paraId="7C54DAEA" w14:textId="77777777" w:rsidR="00C644D2" w:rsidRPr="00FD4941" w:rsidRDefault="00F0439E">
      <w:pPr>
        <w:pStyle w:val="Standard"/>
      </w:pPr>
      <w:r w:rsidRPr="00FD4941">
        <w:t> </w:t>
      </w:r>
    </w:p>
    <w:p w14:paraId="5E5F3340" w14:textId="77777777" w:rsidR="00C644D2" w:rsidRPr="00FD4941" w:rsidRDefault="00C644D2">
      <w:pPr>
        <w:pStyle w:val="Standard"/>
      </w:pPr>
    </w:p>
    <w:p w14:paraId="053DFBFD" w14:textId="56666498" w:rsidR="00C644D2" w:rsidRPr="00FD4941" w:rsidRDefault="00F0439E">
      <w:pPr>
        <w:pStyle w:val="Standard"/>
      </w:pPr>
      <w:r w:rsidRPr="00FD4941">
        <w:t>Ellenjegyezte:</w:t>
      </w:r>
      <w:r w:rsidR="00902479">
        <w:tab/>
      </w:r>
      <w:r w:rsidR="00902479">
        <w:tab/>
      </w:r>
      <w:r w:rsidR="00902479">
        <w:tab/>
      </w:r>
      <w:r w:rsidR="00902479">
        <w:tab/>
      </w:r>
      <w:r w:rsidR="00902479">
        <w:tab/>
      </w:r>
      <w:r w:rsidR="00902479">
        <w:tab/>
        <w:t>Pénzügyi ellenjegyző:</w:t>
      </w:r>
    </w:p>
    <w:p w14:paraId="35F8D54E" w14:textId="77777777" w:rsidR="00C644D2" w:rsidRPr="00FD4941" w:rsidRDefault="00C644D2">
      <w:pPr>
        <w:pStyle w:val="Standard"/>
      </w:pPr>
    </w:p>
    <w:p w14:paraId="6A88E336" w14:textId="350E899E" w:rsidR="00902479" w:rsidRDefault="00F0439E" w:rsidP="00902479">
      <w:pPr>
        <w:pStyle w:val="Standard"/>
        <w:tabs>
          <w:tab w:val="left" w:pos="5103"/>
        </w:tabs>
      </w:pPr>
      <w:r w:rsidRPr="00FD4941">
        <w:t>…………………………………</w:t>
      </w:r>
      <w:r w:rsidR="00902479">
        <w:tab/>
      </w:r>
      <w:r w:rsidR="00902479" w:rsidRPr="00FD4941">
        <w:t>………………………………………</w:t>
      </w:r>
    </w:p>
    <w:p w14:paraId="5BFD9D7A" w14:textId="77777777" w:rsidR="00902479" w:rsidRDefault="00902479" w:rsidP="00902479">
      <w:pPr>
        <w:pStyle w:val="Standard"/>
        <w:tabs>
          <w:tab w:val="center" w:pos="1560"/>
          <w:tab w:val="center" w:pos="6804"/>
        </w:tabs>
        <w:rPr>
          <w:b/>
        </w:rPr>
      </w:pPr>
      <w:r>
        <w:rPr>
          <w:b/>
        </w:rPr>
        <w:tab/>
      </w:r>
      <w:r w:rsidR="00F0439E" w:rsidRPr="00FD4941">
        <w:rPr>
          <w:b/>
        </w:rPr>
        <w:t xml:space="preserve">Dr. </w:t>
      </w:r>
      <w:r w:rsidR="0011017D">
        <w:rPr>
          <w:b/>
        </w:rPr>
        <w:t>Laza Margit</w:t>
      </w:r>
      <w:r>
        <w:rPr>
          <w:b/>
        </w:rPr>
        <w:tab/>
      </w:r>
      <w:r w:rsidRPr="00FD4941">
        <w:rPr>
          <w:b/>
        </w:rPr>
        <w:t>Fitosné Zemanovics Zsuzsanna</w:t>
      </w:r>
    </w:p>
    <w:p w14:paraId="2A90A8A1" w14:textId="5B9A9C34" w:rsidR="00C644D2" w:rsidRPr="00FD4941" w:rsidRDefault="00F0439E" w:rsidP="00902479">
      <w:pPr>
        <w:pStyle w:val="Standard"/>
        <w:tabs>
          <w:tab w:val="center" w:pos="1560"/>
          <w:tab w:val="center" w:pos="6804"/>
        </w:tabs>
      </w:pPr>
      <w:r w:rsidRPr="00FD4941">
        <w:t xml:space="preserve">                 </w:t>
      </w:r>
      <w:proofErr w:type="gramStart"/>
      <w:r w:rsidRPr="00FD4941">
        <w:rPr>
          <w:b/>
        </w:rPr>
        <w:t>jegyző</w:t>
      </w:r>
      <w:proofErr w:type="gramEnd"/>
      <w:r w:rsidR="00902479">
        <w:rPr>
          <w:b/>
        </w:rPr>
        <w:tab/>
        <w:t>Pénzügyi Iroda vezető</w:t>
      </w:r>
    </w:p>
    <w:sectPr w:rsidR="00C644D2" w:rsidRPr="00FD494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A3830" w14:textId="77777777" w:rsidR="00592B7C" w:rsidRDefault="00592B7C">
      <w:r>
        <w:separator/>
      </w:r>
    </w:p>
  </w:endnote>
  <w:endnote w:type="continuationSeparator" w:id="0">
    <w:p w14:paraId="2DF61A90" w14:textId="77777777" w:rsidR="00592B7C" w:rsidRDefault="0059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CD90B" w14:textId="77777777" w:rsidR="00C644D2" w:rsidRDefault="00F0439E" w:rsidP="00765DD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42E3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37A35" w14:textId="77777777" w:rsidR="00592B7C" w:rsidRDefault="00592B7C">
      <w:r>
        <w:separator/>
      </w:r>
    </w:p>
  </w:footnote>
  <w:footnote w:type="continuationSeparator" w:id="0">
    <w:p w14:paraId="7ECB4230" w14:textId="77777777" w:rsidR="00592B7C" w:rsidRDefault="00592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922FE"/>
    <w:multiLevelType w:val="hybridMultilevel"/>
    <w:tmpl w:val="C34E202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4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03883"/>
    <w:multiLevelType w:val="hybridMultilevel"/>
    <w:tmpl w:val="1E5858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95ADA"/>
    <w:multiLevelType w:val="multilevel"/>
    <w:tmpl w:val="2AAC96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C4756C"/>
    <w:multiLevelType w:val="hybridMultilevel"/>
    <w:tmpl w:val="65E20A22"/>
    <w:lvl w:ilvl="0" w:tplc="D00AAA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81C3A"/>
    <w:multiLevelType w:val="hybridMultilevel"/>
    <w:tmpl w:val="9DEAA4F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64CE9"/>
    <w:multiLevelType w:val="hybridMultilevel"/>
    <w:tmpl w:val="5010F97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7" w15:restartNumberingAfterBreak="0">
    <w:nsid w:val="446E68C2"/>
    <w:multiLevelType w:val="hybridMultilevel"/>
    <w:tmpl w:val="7B92F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E6246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425EB"/>
    <w:multiLevelType w:val="hybridMultilevel"/>
    <w:tmpl w:val="6F9EA0F8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62374"/>
    <w:multiLevelType w:val="hybridMultilevel"/>
    <w:tmpl w:val="182225EA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3507D"/>
    <w:multiLevelType w:val="hybridMultilevel"/>
    <w:tmpl w:val="6F86D3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74FE7"/>
    <w:multiLevelType w:val="hybridMultilevel"/>
    <w:tmpl w:val="9188B1D6"/>
    <w:lvl w:ilvl="0" w:tplc="B88205F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F4362"/>
    <w:multiLevelType w:val="multilevel"/>
    <w:tmpl w:val="6F50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E05157B"/>
    <w:multiLevelType w:val="multilevel"/>
    <w:tmpl w:val="0B88D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0F533E1"/>
    <w:multiLevelType w:val="hybridMultilevel"/>
    <w:tmpl w:val="0C268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25D67"/>
    <w:multiLevelType w:val="hybridMultilevel"/>
    <w:tmpl w:val="979495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8"/>
  </w:num>
  <w:num w:numId="5">
    <w:abstractNumId w:val="22"/>
  </w:num>
  <w:num w:numId="6">
    <w:abstractNumId w:val="14"/>
  </w:num>
  <w:num w:numId="7">
    <w:abstractNumId w:val="11"/>
  </w:num>
  <w:num w:numId="8">
    <w:abstractNumId w:val="13"/>
  </w:num>
  <w:num w:numId="9">
    <w:abstractNumId w:val="5"/>
  </w:num>
  <w:num w:numId="10">
    <w:abstractNumId w:val="20"/>
  </w:num>
  <w:num w:numId="11">
    <w:abstractNumId w:val="19"/>
  </w:num>
  <w:num w:numId="12">
    <w:abstractNumId w:val="29"/>
  </w:num>
  <w:num w:numId="13">
    <w:abstractNumId w:val="1"/>
  </w:num>
  <w:num w:numId="14">
    <w:abstractNumId w:val="4"/>
  </w:num>
  <w:num w:numId="15">
    <w:abstractNumId w:val="15"/>
  </w:num>
  <w:num w:numId="16">
    <w:abstractNumId w:val="24"/>
  </w:num>
  <w:num w:numId="17">
    <w:abstractNumId w:val="8"/>
  </w:num>
  <w:num w:numId="18">
    <w:abstractNumId w:val="6"/>
  </w:num>
  <w:num w:numId="19">
    <w:abstractNumId w:val="17"/>
  </w:num>
  <w:num w:numId="20">
    <w:abstractNumId w:val="10"/>
  </w:num>
  <w:num w:numId="21">
    <w:abstractNumId w:val="7"/>
  </w:num>
  <w:num w:numId="22">
    <w:abstractNumId w:val="31"/>
  </w:num>
  <w:num w:numId="23">
    <w:abstractNumId w:val="2"/>
  </w:num>
  <w:num w:numId="24">
    <w:abstractNumId w:val="9"/>
  </w:num>
  <w:num w:numId="25">
    <w:abstractNumId w:val="26"/>
  </w:num>
  <w:num w:numId="26">
    <w:abstractNumId w:val="27"/>
  </w:num>
  <w:num w:numId="27">
    <w:abstractNumId w:val="30"/>
  </w:num>
  <w:num w:numId="28">
    <w:abstractNumId w:val="28"/>
  </w:num>
  <w:num w:numId="29">
    <w:abstractNumId w:val="25"/>
  </w:num>
  <w:num w:numId="30">
    <w:abstractNumId w:val="21"/>
  </w:num>
  <w:num w:numId="31">
    <w:abstractNumId w:val="1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795F"/>
    <w:rsid w:val="00031F21"/>
    <w:rsid w:val="000323C5"/>
    <w:rsid w:val="00050DD4"/>
    <w:rsid w:val="000A49A1"/>
    <w:rsid w:val="000A5118"/>
    <w:rsid w:val="000C182C"/>
    <w:rsid w:val="000E7031"/>
    <w:rsid w:val="00104213"/>
    <w:rsid w:val="0011017D"/>
    <w:rsid w:val="00163B1F"/>
    <w:rsid w:val="001709D2"/>
    <w:rsid w:val="00182A26"/>
    <w:rsid w:val="001848AB"/>
    <w:rsid w:val="001B1458"/>
    <w:rsid w:val="001B5A27"/>
    <w:rsid w:val="001C5252"/>
    <w:rsid w:val="001D535C"/>
    <w:rsid w:val="001E18ED"/>
    <w:rsid w:val="0022085F"/>
    <w:rsid w:val="00237108"/>
    <w:rsid w:val="00245B50"/>
    <w:rsid w:val="00247061"/>
    <w:rsid w:val="002B0D57"/>
    <w:rsid w:val="002E13F7"/>
    <w:rsid w:val="002E55DA"/>
    <w:rsid w:val="00314D44"/>
    <w:rsid w:val="0032619C"/>
    <w:rsid w:val="0036308E"/>
    <w:rsid w:val="003766FC"/>
    <w:rsid w:val="003A2CE6"/>
    <w:rsid w:val="003F0176"/>
    <w:rsid w:val="0041796E"/>
    <w:rsid w:val="00423B6A"/>
    <w:rsid w:val="00425E66"/>
    <w:rsid w:val="00427DCB"/>
    <w:rsid w:val="00471C7C"/>
    <w:rsid w:val="00476256"/>
    <w:rsid w:val="00481568"/>
    <w:rsid w:val="00492FB7"/>
    <w:rsid w:val="00492FE7"/>
    <w:rsid w:val="00496BBB"/>
    <w:rsid w:val="00497A63"/>
    <w:rsid w:val="00504DC1"/>
    <w:rsid w:val="0051439D"/>
    <w:rsid w:val="00515D70"/>
    <w:rsid w:val="00527359"/>
    <w:rsid w:val="00531BB4"/>
    <w:rsid w:val="00533E5F"/>
    <w:rsid w:val="0053680A"/>
    <w:rsid w:val="00537075"/>
    <w:rsid w:val="005404A9"/>
    <w:rsid w:val="00545920"/>
    <w:rsid w:val="00554D06"/>
    <w:rsid w:val="005633FD"/>
    <w:rsid w:val="005807C5"/>
    <w:rsid w:val="00592B7C"/>
    <w:rsid w:val="005E7760"/>
    <w:rsid w:val="00624EE1"/>
    <w:rsid w:val="00672B6B"/>
    <w:rsid w:val="006A5E72"/>
    <w:rsid w:val="006C2888"/>
    <w:rsid w:val="006C7543"/>
    <w:rsid w:val="00704C72"/>
    <w:rsid w:val="0071115B"/>
    <w:rsid w:val="007222E8"/>
    <w:rsid w:val="00722EE0"/>
    <w:rsid w:val="00751704"/>
    <w:rsid w:val="00755FF0"/>
    <w:rsid w:val="00757095"/>
    <w:rsid w:val="00765DDF"/>
    <w:rsid w:val="00794C7D"/>
    <w:rsid w:val="007A0576"/>
    <w:rsid w:val="007B7046"/>
    <w:rsid w:val="007C7745"/>
    <w:rsid w:val="00823DFB"/>
    <w:rsid w:val="008417A7"/>
    <w:rsid w:val="00854D81"/>
    <w:rsid w:val="00861419"/>
    <w:rsid w:val="00861872"/>
    <w:rsid w:val="008801BA"/>
    <w:rsid w:val="008A42B5"/>
    <w:rsid w:val="008F19D0"/>
    <w:rsid w:val="008F35D4"/>
    <w:rsid w:val="008F636D"/>
    <w:rsid w:val="00902479"/>
    <w:rsid w:val="00911E90"/>
    <w:rsid w:val="00962DC0"/>
    <w:rsid w:val="009A046C"/>
    <w:rsid w:val="009A40C4"/>
    <w:rsid w:val="009A5C97"/>
    <w:rsid w:val="009B776D"/>
    <w:rsid w:val="009C7DCC"/>
    <w:rsid w:val="009D7F5A"/>
    <w:rsid w:val="00A31B33"/>
    <w:rsid w:val="00A9594A"/>
    <w:rsid w:val="00A97F03"/>
    <w:rsid w:val="00AB4815"/>
    <w:rsid w:val="00AD7327"/>
    <w:rsid w:val="00AE3B45"/>
    <w:rsid w:val="00B176AD"/>
    <w:rsid w:val="00B53CFF"/>
    <w:rsid w:val="00B576AA"/>
    <w:rsid w:val="00B70158"/>
    <w:rsid w:val="00B8601D"/>
    <w:rsid w:val="00BC79EC"/>
    <w:rsid w:val="00BE6CCD"/>
    <w:rsid w:val="00C30A97"/>
    <w:rsid w:val="00C644D2"/>
    <w:rsid w:val="00C9416B"/>
    <w:rsid w:val="00C96154"/>
    <w:rsid w:val="00C9744F"/>
    <w:rsid w:val="00D10C66"/>
    <w:rsid w:val="00D4385B"/>
    <w:rsid w:val="00D45A1D"/>
    <w:rsid w:val="00D45E68"/>
    <w:rsid w:val="00D520A7"/>
    <w:rsid w:val="00D52875"/>
    <w:rsid w:val="00D52C53"/>
    <w:rsid w:val="00D6522A"/>
    <w:rsid w:val="00DC7CC2"/>
    <w:rsid w:val="00DD0C75"/>
    <w:rsid w:val="00E12072"/>
    <w:rsid w:val="00E349B2"/>
    <w:rsid w:val="00E42D05"/>
    <w:rsid w:val="00E81E01"/>
    <w:rsid w:val="00EE5556"/>
    <w:rsid w:val="00EF1FD0"/>
    <w:rsid w:val="00F0439E"/>
    <w:rsid w:val="00F12976"/>
    <w:rsid w:val="00F12ECC"/>
    <w:rsid w:val="00F21B68"/>
    <w:rsid w:val="00F42E3D"/>
    <w:rsid w:val="00F54278"/>
    <w:rsid w:val="00F63E5D"/>
    <w:rsid w:val="00F847BB"/>
    <w:rsid w:val="00FA426B"/>
    <w:rsid w:val="00FC35E5"/>
    <w:rsid w:val="00FD4941"/>
    <w:rsid w:val="00FD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EE95"/>
  <w15:docId w15:val="{FCA9E40F-DE12-4793-BD5C-ED78B530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uiPriority w:val="34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555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5556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E55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9417B-3A33-4FB4-9FCF-254F8EE7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908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6</cp:revision>
  <cp:lastPrinted>2017-06-27T12:00:00Z</cp:lastPrinted>
  <dcterms:created xsi:type="dcterms:W3CDTF">2019-12-05T14:24:00Z</dcterms:created>
  <dcterms:modified xsi:type="dcterms:W3CDTF">2019-12-13T12:50:00Z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