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EAF" w:rsidRPr="00D53EAF" w:rsidRDefault="00D53EAF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Budapest Főváros VII. kerület Erzsébetváros </w:t>
      </w:r>
      <w:proofErr w:type="gramStart"/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Képviselő-testületének …</w:t>
      </w:r>
      <w:proofErr w:type="gramEnd"/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/2020. (...) önkormányzati rendelete</w:t>
      </w:r>
    </w:p>
    <w:p w:rsidR="00D53EAF" w:rsidRPr="00D53EAF" w:rsidRDefault="00D53EAF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</w:t>
      </w:r>
      <w:proofErr w:type="gramEnd"/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Budapest Főváros VII. kerület Erzsébetváros Önkormányzata Képviselő-testületének parkolóhelyek és rakodóhelyek megváltásáról, közcélú parkolóhelyekről szóló 4/2019. (III.22.) számú önkormányzati rendelete módosításáról</w:t>
      </w:r>
    </w:p>
    <w:p w:rsidR="00D53EAF" w:rsidRPr="00D53EAF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Budapest Főváros VII. kerület Erzsébetváros Önkormányzatának Képviselő-testülete az Alaptörvény </w:t>
      </w:r>
      <w:r w:rsidR="00835A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32.§ (1)</w:t>
      </w: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bekezdésében foglalt jogköre alapján</w:t>
      </w:r>
      <w:r w:rsidR="008D3A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606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Magyarország helyi önkormányzatairól szóló</w:t>
      </w:r>
      <w:r w:rsidR="00CC427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2011. évi CLXXXIX. törvény 23.</w:t>
      </w:r>
      <w:r w:rsidRPr="005606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§ </w:t>
      </w:r>
      <w:r w:rsidR="00CC427C" w:rsidRPr="00CD1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bekezdés valamint 23.§ </w:t>
      </w:r>
      <w:r w:rsidRPr="00CD12C4">
        <w:rPr>
          <w:rFonts w:ascii="Times New Roman" w:eastAsia="Times New Roman" w:hAnsi="Times New Roman" w:cs="Times New Roman"/>
          <w:sz w:val="24"/>
          <w:szCs w:val="24"/>
          <w:lang w:eastAsia="hu-HU"/>
        </w:rPr>
        <w:t>(5) bekezdés 5. pontjában meghatározott feladatkörében eljárva</w:t>
      </w:r>
      <w:r w:rsidR="00CC427C" w:rsidRPr="00CD12C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>az</w:t>
      </w:r>
      <w:proofErr w:type="spellEnd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>országos</w:t>
      </w:r>
      <w:proofErr w:type="spellEnd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>településrendezési</w:t>
      </w:r>
      <w:proofErr w:type="spellEnd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>és</w:t>
      </w:r>
      <w:proofErr w:type="spellEnd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>építési</w:t>
      </w:r>
      <w:proofErr w:type="spellEnd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CC427C" w:rsidRPr="00CD12C4">
        <w:rPr>
          <w:rFonts w:ascii="Times New Roman" w:hAnsi="Times New Roman" w:cs="Times New Roman"/>
          <w:sz w:val="24"/>
          <w:szCs w:val="24"/>
          <w:lang w:val="en"/>
        </w:rPr>
        <w:t>követelményekről</w:t>
      </w:r>
      <w:proofErr w:type="spellEnd"/>
      <w:r w:rsidR="00CC427C" w:rsidRPr="00CD1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12C4" w:rsidRPr="00CD12C4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</w:t>
      </w:r>
      <w:r w:rsidR="00CD1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C427C" w:rsidRPr="00CD1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253/1997. (XII.20.) </w:t>
      </w:r>
      <w:proofErr w:type="spellStart"/>
      <w:r w:rsidR="00CC427C" w:rsidRPr="00CD12C4">
        <w:rPr>
          <w:rFonts w:ascii="Times New Roman" w:eastAsia="Times New Roman" w:hAnsi="Times New Roman" w:cs="Times New Roman"/>
          <w:sz w:val="24"/>
          <w:szCs w:val="24"/>
          <w:lang w:eastAsia="hu-HU"/>
        </w:rPr>
        <w:t>Korm.rendelet</w:t>
      </w:r>
      <w:proofErr w:type="spellEnd"/>
      <w:r w:rsidR="00CC427C" w:rsidRPr="00CD12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42. § (12) bekezdésében foglaltak alapján</w:t>
      </w:r>
      <w:r w:rsidR="00CC427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Budapest Főváros VII. kerület Erzsébetváros Önkormányzata Képviselő-testületének parkolóhelyek és rakodóhelyek megváltásáról, közcélú parkolóhelyekről szóló 4/2019. (III.22.) számú önkormányzati rendelete (a továbbiakban: PHR) módosításáról a következőket rendeli el: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107876" w:rsidP="00CC427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</w:t>
      </w:r>
      <w:r w:rsidR="00D53EAF"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2B" w:rsidRPr="00D53EAF" w:rsidRDefault="00DD682B" w:rsidP="00DD68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PHR 7. § (2) és (3) bekezdése hatályát veszti.</w:t>
      </w:r>
    </w:p>
    <w:p w:rsidR="00DD682B" w:rsidRDefault="00DD682B" w:rsidP="00D5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53EAF" w:rsidRDefault="00107876" w:rsidP="001668A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668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D53EAF"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DD682B" w:rsidRDefault="00DD682B" w:rsidP="001668A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D682B" w:rsidRPr="00D53EAF" w:rsidRDefault="00DD682B" w:rsidP="00DD68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PHR 8. § (4) bekezdése hatályát veszti.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107876" w:rsidP="001668A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</w:t>
      </w:r>
      <w:r w:rsidR="00D53EAF"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DD682B" w:rsidRDefault="00DD682B" w:rsidP="00166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D682B" w:rsidRPr="001668A8" w:rsidRDefault="00DD682B" w:rsidP="00166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68A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PHR 8. § (7) bekezdése helyébe a következő rendelkezés lép:</w:t>
      </w:r>
    </w:p>
    <w:p w:rsidR="00DD682B" w:rsidRPr="001668A8" w:rsidRDefault="00DD682B" w:rsidP="001668A8">
      <w:pPr>
        <w:spacing w:after="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</w:t>
      </w:r>
      <w:r w:rsidRPr="00166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8. § (7) A szolgáltatás – karbantartási célú – szüneteltetése nem haladhatja meg negyedévente a 72 órát. Az ezen túlmenően tervezett,</w:t>
      </w:r>
      <w:r w:rsidR="00166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vagy egyéb szükséges</w:t>
      </w:r>
      <w:r w:rsidRPr="00166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munkálatok miatti szünetelés abban az esetben lehetséges, ha azt az építtető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vagy </w:t>
      </w:r>
      <w:r w:rsidRPr="00166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 tulajdonos bejelenti, valamint hitelt érdemlően bizonyítja az önkormányzatnak.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”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107876" w:rsidP="001668A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4.</w:t>
      </w:r>
      <w:r w:rsidR="00D53EAF"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107876" w:rsidRPr="00D53EAF" w:rsidRDefault="00107876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682B" w:rsidRPr="00D53EAF" w:rsidRDefault="00DD682B" w:rsidP="00DD68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PHR 9. § (1) bekezdése helyébe a következő rendelkezés lép:</w:t>
      </w:r>
    </w:p>
    <w:p w:rsidR="00DD682B" w:rsidRPr="001668A8" w:rsidRDefault="00DD682B" w:rsidP="00DD682B">
      <w:pPr>
        <w:spacing w:after="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</w:t>
      </w:r>
      <w:r w:rsidRPr="00166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9. § (1) A közcélú parkolóhely igénybevételének – az általános forgalmi adó összegét is tartalmazó - díja 1 óra időtartamra az adott zónára érvényes várakozási díjjal megegyező összeg. Erzsébetvárosi bejelentett lakóhellyel rendelkező</w:t>
      </w:r>
      <w:r w:rsidR="008D3A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természetes személye</w:t>
      </w:r>
      <w:r w:rsidRPr="00166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k </w:t>
      </w:r>
      <w:r w:rsidR="00C7757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tulajdonában, üzemeltetésében levő személygépjárművek </w:t>
      </w:r>
      <w:r w:rsidRPr="00166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számára a közcél</w:t>
      </w:r>
      <w:r w:rsidR="00CC427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ú parkolóhely igénybevételének -</w:t>
      </w:r>
      <w:r w:rsidRPr="00166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az általános forgalmi adó összegét is tartalmazó - díja egy napra a várakozási díj ötszöröse, egy hétre a várakozási díj tizenötszöröse, egy hónapra a várakozási díj huszonötszöröse.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”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Default="0099370C" w:rsidP="001668A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5.</w:t>
      </w:r>
      <w:r w:rsidR="00D53EAF"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301884" w:rsidRDefault="00301884" w:rsidP="001668A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301884" w:rsidRDefault="00301884" w:rsidP="001668A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1668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PHR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9.§ (3) bekezdése helyébe a következő rendelkezés lép:</w:t>
      </w:r>
    </w:p>
    <w:p w:rsidR="00301884" w:rsidRDefault="00301884" w:rsidP="001668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 w:rsidRPr="001668A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„Az erzsébetvárosi bejelentett lakóhellyel rendelkező természetes személyek tulajdonában, üzemel</w:t>
      </w:r>
      <w:r w:rsidR="005F3B32" w:rsidRPr="005F3B3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tetésében levő </w:t>
      </w:r>
      <w:r w:rsidR="00C7757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személy</w:t>
      </w:r>
      <w:r w:rsidR="005F3B32" w:rsidRPr="005F3B3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gépjármű</w:t>
      </w:r>
      <w:r w:rsidRPr="001668A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számára biztosítani kell (amennyiben van üres közcélú parkolóhely)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a 20.00-08.00 óráig tartó időszakban történő éjszakai kedvezményes parkolást, melynek díja megegyezik a 9.§ (1) bekezdés szerinti óránkénti díjjal.”</w:t>
      </w:r>
    </w:p>
    <w:p w:rsidR="00301884" w:rsidRPr="001668A8" w:rsidRDefault="00301884" w:rsidP="001668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</w:p>
    <w:p w:rsidR="00301884" w:rsidRPr="00D53EAF" w:rsidRDefault="00462FB8" w:rsidP="00462FB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6.</w:t>
      </w:r>
      <w:r w:rsidR="00301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PHR </w:t>
      </w:r>
      <w:r w:rsidR="004B6DB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jelen rendelet mellékletét képező 2. számú melléklettel egészül ki.</w:t>
      </w:r>
    </w:p>
    <w:p w:rsidR="00D53EAF" w:rsidRPr="00D53EAF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Záró rendelkezések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CC427C" w:rsidRDefault="00CC427C" w:rsidP="00CC427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C42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7.</w:t>
      </w:r>
      <w:r w:rsidR="00D53EAF" w:rsidRPr="00CC42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E rendelet a kihirdetését követő napon lép hatályba, és a hatályba lépését követő napon hatályát veszti.</w:t>
      </w:r>
    </w:p>
    <w:p w:rsidR="00D53EAF" w:rsidRPr="00D53EAF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E rendelet rendelkezéseit a hatálybalépése napján folyamatban lévő eljárásokban is alkalmazni kell. </w:t>
      </w:r>
    </w:p>
    <w:p w:rsidR="00D53EAF" w:rsidRPr="00D53EAF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D53E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D53EAF" w:rsidRPr="00D53EAF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             Dr. Laza Margit                                                    Niedermüller Péter</w:t>
      </w:r>
    </w:p>
    <w:p w:rsidR="00D53EAF" w:rsidRPr="00D53EAF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                      </w:t>
      </w:r>
      <w:proofErr w:type="gramStart"/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jegyző</w:t>
      </w:r>
      <w:proofErr w:type="gramEnd"/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                                                                 polgármester</w:t>
      </w:r>
    </w:p>
    <w:p w:rsidR="00D53EAF" w:rsidRPr="00D53EAF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B32" w:rsidRDefault="005F3B32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07876" w:rsidRDefault="00107876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07876" w:rsidRDefault="00107876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07876" w:rsidRDefault="00107876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07876" w:rsidRDefault="00107876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D53EAF" w:rsidRPr="00D53EAF" w:rsidRDefault="00D53EAF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Záradék</w:t>
      </w:r>
    </w:p>
    <w:p w:rsidR="00D53EAF" w:rsidRPr="00D53EAF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rendelet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kihirdetése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-én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Szervezeti- és Működési Szabályzat szerint a Polgármesteri Hivatal hirdetőtábláján megtörtént.</w:t>
      </w:r>
    </w:p>
    <w:p w:rsidR="00D53EAF" w:rsidRPr="00D53EAF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rendelet közzététel céljából megküldésre került a </w:t>
      </w:r>
      <w:hyperlink r:id="rId5" w:history="1">
        <w:r w:rsidRPr="00D53EAF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hu-HU"/>
          </w:rPr>
          <w:t>www.erzsebetvaros.hu</w:t>
        </w:r>
      </w:hyperlink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honlap szerkesztője részére.</w:t>
      </w:r>
    </w:p>
    <w:p w:rsid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107876" w:rsidRDefault="00107876" w:rsidP="00D5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07876" w:rsidRDefault="00107876" w:rsidP="00D5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07876" w:rsidRPr="00D53EAF" w:rsidRDefault="00107876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CC427C" w:rsidP="00D53EA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D</w:t>
      </w:r>
      <w:r w:rsidR="00D53EAF"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r. Laza Margit   </w:t>
      </w:r>
    </w:p>
    <w:p w:rsidR="00D53EAF" w:rsidRPr="00D53EAF" w:rsidRDefault="00D53EAF" w:rsidP="00D53E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                                          </w:t>
      </w:r>
      <w:r w:rsidR="004B6D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                                                          </w:t>
      </w:r>
      <w:proofErr w:type="gramStart"/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jegyző</w:t>
      </w:r>
      <w:proofErr w:type="gramEnd"/>
    </w:p>
    <w:p w:rsidR="00D53EAF" w:rsidRPr="00D53EAF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7876" w:rsidRDefault="00107876" w:rsidP="00D53E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107876" w:rsidRDefault="00107876" w:rsidP="00D53E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107876" w:rsidRDefault="00107876" w:rsidP="00D53E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107876" w:rsidRDefault="00107876" w:rsidP="00D53E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107876" w:rsidRDefault="00107876" w:rsidP="00D53E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C77576" w:rsidRDefault="00C77576" w:rsidP="00D53E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C77576" w:rsidRDefault="00C77576" w:rsidP="00D53E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C77576" w:rsidRDefault="00C77576" w:rsidP="00D53E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107876" w:rsidRDefault="00107876" w:rsidP="001668A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107876" w:rsidRDefault="00107876" w:rsidP="001668A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Pr="001668A8" w:rsidRDefault="0099370C" w:rsidP="001668A8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Cs/>
          <w:color w:val="000000"/>
          <w:lang w:eastAsia="hu-HU"/>
        </w:rPr>
        <w:t xml:space="preserve">                          </w:t>
      </w:r>
      <w:r w:rsidR="00CC427C">
        <w:rPr>
          <w:rFonts w:ascii="Times New Roman" w:eastAsia="Times New Roman" w:hAnsi="Times New Roman" w:cs="Times New Roman"/>
          <w:b/>
          <w:iCs/>
          <w:color w:val="000000"/>
          <w:lang w:eastAsia="hu-HU"/>
        </w:rPr>
        <w:t xml:space="preserve">                              </w:t>
      </w:r>
      <w:r w:rsidRPr="001668A8">
        <w:rPr>
          <w:rFonts w:ascii="Times New Roman" w:eastAsia="Times New Roman" w:hAnsi="Times New Roman" w:cs="Times New Roman"/>
          <w:b/>
          <w:iCs/>
          <w:color w:val="000000"/>
          <w:lang w:eastAsia="hu-HU"/>
        </w:rPr>
        <w:t>2.</w:t>
      </w:r>
      <w:r w:rsidR="00C77576">
        <w:rPr>
          <w:rFonts w:ascii="Times New Roman" w:eastAsia="Times New Roman" w:hAnsi="Times New Roman" w:cs="Times New Roman"/>
          <w:b/>
          <w:iCs/>
          <w:color w:val="000000"/>
          <w:lang w:eastAsia="hu-HU"/>
        </w:rPr>
        <w:t xml:space="preserve"> </w:t>
      </w:r>
      <w:r w:rsidRPr="001668A8">
        <w:rPr>
          <w:rFonts w:ascii="Times New Roman" w:eastAsia="Times New Roman" w:hAnsi="Times New Roman" w:cs="Times New Roman"/>
          <w:b/>
          <w:iCs/>
          <w:color w:val="000000"/>
          <w:lang w:eastAsia="hu-HU"/>
        </w:rPr>
        <w:t xml:space="preserve">számú melléklet a 4/2019. (III. </w:t>
      </w:r>
      <w:r w:rsidR="00CC427C" w:rsidRPr="00CD12C4">
        <w:rPr>
          <w:rFonts w:ascii="Times New Roman" w:eastAsia="Times New Roman" w:hAnsi="Times New Roman" w:cs="Times New Roman"/>
          <w:b/>
          <w:iCs/>
          <w:lang w:eastAsia="hu-HU"/>
        </w:rPr>
        <w:t>2</w:t>
      </w:r>
      <w:r w:rsidRPr="00CD12C4">
        <w:rPr>
          <w:rFonts w:ascii="Times New Roman" w:eastAsia="Times New Roman" w:hAnsi="Times New Roman" w:cs="Times New Roman"/>
          <w:b/>
          <w:iCs/>
          <w:lang w:eastAsia="hu-HU"/>
        </w:rPr>
        <w:t>2</w:t>
      </w:r>
      <w:r w:rsidRPr="001668A8">
        <w:rPr>
          <w:rFonts w:ascii="Times New Roman" w:eastAsia="Times New Roman" w:hAnsi="Times New Roman" w:cs="Times New Roman"/>
          <w:b/>
          <w:iCs/>
          <w:color w:val="000000"/>
          <w:lang w:eastAsia="hu-HU"/>
        </w:rPr>
        <w:t>.) önkormányzati rendelethez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SZERZŐDÉS KÖZCÉLÚ PARKOLÓHELYEK </w:t>
      </w:r>
    </w:p>
    <w:p w:rsidR="0099370C" w:rsidRPr="00D53EAF" w:rsidRDefault="0099370C" w:rsidP="00993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LÉTESÍTÉSÉRŐL ÉS ÜZEMELTETÉSÉRŐL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Amely létrejött</w:t>
      </w:r>
    </w:p>
    <w:p w:rsidR="0099370C" w:rsidRPr="00D53EAF" w:rsidRDefault="0099370C" w:rsidP="0099370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egyrészről</w:t>
      </w:r>
      <w:proofErr w:type="gramEnd"/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Budapest Főváros VII. kerület Erzsébetváros Önkormányzata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Székhely: 1073 Budapest, Erzsébet krt. 6.</w:t>
      </w: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 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Törzskönyvi azonosító száma: 735704    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KSH statisztikai számjele: 15735708-8411-321-01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Adóazonosító száma: 15735708-2-42 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Képviseli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…………………….polgármester, 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továbbiakban: Önkormányzat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másrészről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 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Cégnév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………………………………………….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Székhely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………………………………………...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Cégjegyzékszám: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 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Adószám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……………………………………….. 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Képviseli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továbbiakban Tu</w:t>
      </w:r>
      <w:r w:rsidR="00CC427C"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 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(együttesen a továbbiakban: Felek) között alulírott napon és helyen az alábbiak szerint.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9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ELŐZMÉNYEK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1. Felek rögzítik, hogy a T</w:t>
      </w:r>
      <w:r w:rsidR="00CC427C">
        <w:rPr>
          <w:rFonts w:ascii="Times New Roman" w:eastAsia="Times New Roman" w:hAnsi="Times New Roman" w:cs="Times New Roman"/>
          <w:color w:val="000000"/>
          <w:lang w:eastAsia="hu-HU"/>
        </w:rPr>
        <w:t>ulajdonos/</w:t>
      </w:r>
      <w:proofErr w:type="gramStart"/>
      <w:r w:rsidR="00CC427C">
        <w:rPr>
          <w:rFonts w:ascii="Times New Roman" w:eastAsia="Times New Roman" w:hAnsi="Times New Roman" w:cs="Times New Roman"/>
          <w:color w:val="000000"/>
          <w:lang w:eastAsia="hu-HU"/>
        </w:rPr>
        <w:t xml:space="preserve">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arányú tulajdonát képezi a Budapest VII. kerület belterület …….. helyrajzi számon nyilvántartott, természetben a …. Budapest, …………………….. szám alatti ingatlan (a továbbiakban: Ingatlan). A T</w:t>
      </w:r>
      <w:r w:rsidR="00CC427C"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az Ingatlan területén új építésű építési beruházást kíván megvalósítani, amelynek keretében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épületszinten (a továbbiakban: Teremgarázs) közcélú parkolóhelyeket alakít ki.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2. Felek rögzítik, hogy egyetértenek a városrészben a gyalogos és kerékpáros forgalmak előnyben részesítésében és az ebből származó környezetvédelmi előnyök fontosságában. Jelen szerződés elősegíti, hogy a lakossági parkolási igény egy része felszíni parkolók helyett közterületen kívül, teremgarázsban, mélygarázsban kerüljön kielégítésre, ezáltal az utca kedvezőbb városi használatot kaphat. Az Önkormányzat szándékában áll Budapest VII. kerületében növelni a közterületeken kívüli közcélú parkolásra szolgáló parkolóhelyeket az Ingatlanon megépítésre kerülő épületben kialakításra kerülő teremgarázs, mélygarázs egy részének</w:t>
      </w:r>
      <w:r w:rsidRPr="00D53EAF">
        <w:rPr>
          <w:rFonts w:ascii="Times New Roman" w:eastAsia="Times New Roman" w:hAnsi="Times New Roman" w:cs="Times New Roman"/>
          <w:color w:val="FF0000"/>
          <w:lang w:eastAsia="hu-HU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közcélú parkolóhelyként történő hasznosításával.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3. Felek a fentiek alapján a kölcsönös előnyök elérése érdekében Budapest Főváros VII. kerület Erzsébetváros Önkormányzata</w:t>
      </w: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Képviselő-testületének Erzsébetváros Építési Szabályzatáról szóló 25/2018. (XII.21.) számú önkormányzati rendelete (a továbbiakban: EÉSZ), Budapest Főváros VII. kerület Erzsébetváros Önkormányzata</w:t>
      </w: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Képviselő-testületének a parkolóhelyek és rakodóhelyek megváltásáról, közcélú parkolóhelyekről szóló 4/2019. (III.22.) számú önkormányzati rendelete (a továbbiakban: Rendelet), valamint Budapest Főváros VII. kerület Erzsébetváros Önkormányzata</w:t>
      </w: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Képviselő-testületének Pénzügyi és Kerületfejlesztési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Bizottsága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 számú határozata alapján jelen szerződést kötik egymással.</w:t>
      </w:r>
    </w:p>
    <w:p w:rsidR="00534226" w:rsidRDefault="00534226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34226" w:rsidRPr="00D53EAF" w:rsidRDefault="00534226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10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SZERZŐDÉS TÁRGYA 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4. Az országos településrendezési és építési követelményekről szóló 253/1997. (XII. 20.) Kormányrendelet (a továbbiakban: OTÉK) és az EÉSZ előírásai alapján az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Ingatlanon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 gépjármű helyezendő el. 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Felek jelen szerződéssel megállapodnak abban, hogy az Ingatlanon megvalósítandó építési beruházás Teremgarázsában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 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 parkolóhely létesítését a T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>ulajdonos/Építtető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az alábbiak szerint teljesíti:</w:t>
      </w:r>
    </w:p>
    <w:p w:rsidR="0099370C" w:rsidRPr="001668A8" w:rsidRDefault="0099370C" w:rsidP="001668A8">
      <w:pPr>
        <w:pStyle w:val="Listaszerbekezds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Ingatlan saját használatában maradó parkolóhely</w:t>
      </w:r>
      <w:proofErr w:type="gramStart"/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99370C" w:rsidRPr="001668A8" w:rsidRDefault="0099370C" w:rsidP="001668A8">
      <w:pPr>
        <w:pStyle w:val="Listaszerbekezds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Közcélú parkolóhely: </w:t>
      </w:r>
    </w:p>
    <w:p w:rsidR="0099370C" w:rsidRPr="00D53EAF" w:rsidRDefault="0099370C" w:rsidP="0099370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ba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) elektromos töltő nélküli parkolóhely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99370C" w:rsidRPr="00D53EAF" w:rsidRDefault="0099370C" w:rsidP="0099370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bb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) elektromos töltővel kialakított parkolóhely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99370C" w:rsidRPr="00D53EAF" w:rsidRDefault="0099370C" w:rsidP="0099370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bc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) elektromos villámtöltővel kialakított parkolóhely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99370C" w:rsidRPr="001668A8" w:rsidRDefault="0099370C" w:rsidP="001668A8">
      <w:pPr>
        <w:pStyle w:val="Listaszerbekezds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Az EÉSZ és a Rendelet alapján megváltandó parkolóhely</w:t>
      </w:r>
      <w:proofErr w:type="gramStart"/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 xml:space="preserve"> darab.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3"/>
        <w:gridCol w:w="1816"/>
        <w:gridCol w:w="1890"/>
        <w:gridCol w:w="2069"/>
        <w:gridCol w:w="1074"/>
      </w:tblGrid>
      <w:tr w:rsidR="0099370C" w:rsidRPr="00D53EAF" w:rsidTr="006C2D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 típusa EÉSZ szerint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 átadott parkolók száma elektromos töltő nélkül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 átadott parkolók száma elektromos töltővel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 átadott parkolók száma elektromos villámtöltővel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Összesen</w:t>
            </w:r>
          </w:p>
        </w:tc>
      </w:tr>
      <w:tr w:rsidR="0099370C" w:rsidRPr="00D53EAF" w:rsidTr="006C2D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166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Parkolóhelyek darabszáma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db</w:t>
            </w:r>
          </w:p>
        </w:tc>
      </w:tr>
      <w:tr w:rsidR="0099370C" w:rsidRPr="00D53EAF" w:rsidTr="006C2D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Parkolóhely számításban figyelembe vehető számított parkoló érték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kétszeres szorzóval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háromszoros szorzóval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négyszeres szorzóval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db </w:t>
            </w:r>
          </w:p>
        </w:tc>
      </w:tr>
    </w:tbl>
    <w:p w:rsidR="0099370C" w:rsidRPr="00D53EAF" w:rsidRDefault="0099370C" w:rsidP="00993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5. Az Ingatlanon kialakításra kerülő Teremgarázs közcélú parkolóhelyeit Tulajdonos/Építtető a Rendeletben foglaltaknak megfelelően, a jelen szerződésben f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>oglalt feltételek szerint fogja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üzemeltetni közcélú parkolóhelyként az épületre vonatkozó végleges, jogerős használatbavételi, fennmaradási engedélyt követően</w:t>
      </w:r>
      <w:r w:rsidR="00825224">
        <w:rPr>
          <w:rFonts w:ascii="Times New Roman" w:eastAsia="Times New Roman" w:hAnsi="Times New Roman" w:cs="Times New Roman"/>
          <w:color w:val="000000"/>
          <w:lang w:eastAsia="hu-HU"/>
        </w:rPr>
        <w:t xml:space="preserve">, de </w:t>
      </w:r>
      <w:proofErr w:type="gramStart"/>
      <w:r w:rsidR="00825224">
        <w:rPr>
          <w:rFonts w:ascii="Times New Roman" w:eastAsia="Times New Roman" w:hAnsi="Times New Roman" w:cs="Times New Roman"/>
          <w:color w:val="000000"/>
          <w:lang w:eastAsia="hu-HU"/>
        </w:rPr>
        <w:t>legkésőbb ….</w:t>
      </w:r>
      <w:proofErr w:type="gramEnd"/>
      <w:r w:rsidR="00825224">
        <w:rPr>
          <w:rFonts w:ascii="Times New Roman" w:eastAsia="Times New Roman" w:hAnsi="Times New Roman" w:cs="Times New Roman"/>
          <w:color w:val="000000"/>
          <w:lang w:eastAsia="hu-HU"/>
        </w:rPr>
        <w:t xml:space="preserve"> napjától</w:t>
      </w:r>
      <w:bookmarkStart w:id="0" w:name="_GoBack"/>
      <w:bookmarkEnd w:id="0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Felek jelen szerződés alkalmazásában az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EÉSZ-ben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foglalt fogalom meghatározásokat használják, miszerint:</w:t>
      </w:r>
    </w:p>
    <w:p w:rsidR="0099370C" w:rsidRPr="00D53EAF" w:rsidRDefault="0099370C" w:rsidP="0099370C">
      <w:pPr>
        <w:spacing w:before="28" w:after="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elektromos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töltő: a legalább 7 kW teljesítményű, hiteles mérővel ellátott OCPP kompatibilis töltő.</w:t>
      </w:r>
    </w:p>
    <w:p w:rsidR="0099370C" w:rsidRPr="00D53EAF" w:rsidRDefault="0099370C" w:rsidP="0099370C">
      <w:pPr>
        <w:spacing w:before="28" w:after="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elektromos-villámtöltő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a legalább 22,2 kW teljesítményű egyenáramú, hiteles mérővel ellátott OCPP kompatibilis töltő.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before="28" w:after="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6. T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jogosult a közcélú parkolóhely üzemeltetésével harmadik személyt megbízni, azonban köteles az üzemeltetővel olyan tartalmú szerződést kötni, amely biztosítja a jelen szerződésben foglaltak teljesülését. A megbízásról az Önkormányzatot 15 napon belül értesíteni köteles. A Felek megállapodnak abban, hogy amennyiben a Tu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által megbízott üzemeltető a jelen szerződésben foglaltakat nem teljesíti, úgy az okozott kár megtérítéséért a megbízó felel az Önkormányzat felé úgy, hogy a szerződésszegéssel okozott kárért való felelősség alapján köteles helytállni.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13"/>
        </w:numPr>
        <w:spacing w:before="28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Tu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köteles a Teremgarázs használatát, az oda való behajtást – a jelen pontban foglalt kivételekkel – minden gépkocsi számára engedélyezni, aki a jelen szerződés V. fejezetében meghatározott parkolási díjat megfizeti.  Felek kifejezetten megállapodnak abban, hogy gázüzemű, a Teremgarázs bejáratánál kifüggesztett magassági- vagy súlykorlátozást meghaladó-, illetve minden közcélú forgalomra nem alkalmas jármű behajtása a Teremgarázs területére szigorúan tilos.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14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lastRenderedPageBreak/>
        <w:t>A KÖZCÉLÚ PARKOLÓHELYEK ÜZEMELTETÉSE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Felek megállapodnak abban, hogy a Teremgarázs közcélú parkolóként történő üzemeltetése a Tulajdonos/Épí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feladata és kötelessége,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aki</w:t>
      </w:r>
      <w:r w:rsidR="00CE609D">
        <w:rPr>
          <w:rFonts w:ascii="Times New Roman" w:eastAsia="Times New Roman" w:hAnsi="Times New Roman" w:cs="Times New Roman"/>
          <w:color w:val="000000"/>
          <w:lang w:eastAsia="hu-HU"/>
        </w:rPr>
        <w:t>(</w:t>
      </w:r>
      <w:proofErr w:type="gramEnd"/>
      <w:r w:rsidR="00CE609D">
        <w:rPr>
          <w:rFonts w:ascii="Times New Roman" w:eastAsia="Times New Roman" w:hAnsi="Times New Roman" w:cs="Times New Roman"/>
          <w:color w:val="000000"/>
          <w:lang w:eastAsia="hu-HU"/>
        </w:rPr>
        <w:t>k)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teljeskörűen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felel</w:t>
      </w:r>
      <w:r w:rsidR="00CE609D">
        <w:rPr>
          <w:rFonts w:ascii="Times New Roman" w:eastAsia="Times New Roman" w:hAnsi="Times New Roman" w:cs="Times New Roman"/>
          <w:color w:val="000000"/>
          <w:lang w:eastAsia="hu-HU"/>
        </w:rPr>
        <w:t>(</w:t>
      </w:r>
      <w:proofErr w:type="spellStart"/>
      <w:r w:rsidR="00CE609D">
        <w:rPr>
          <w:rFonts w:ascii="Times New Roman" w:eastAsia="Times New Roman" w:hAnsi="Times New Roman" w:cs="Times New Roman"/>
          <w:color w:val="000000"/>
          <w:lang w:eastAsia="hu-HU"/>
        </w:rPr>
        <w:t>nek</w:t>
      </w:r>
      <w:proofErr w:type="spellEnd"/>
      <w:r w:rsidR="00CE609D">
        <w:rPr>
          <w:rFonts w:ascii="Times New Roman" w:eastAsia="Times New Roman" w:hAnsi="Times New Roman" w:cs="Times New Roman"/>
          <w:color w:val="000000"/>
          <w:lang w:eastAsia="hu-HU"/>
        </w:rPr>
        <w:t>)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az Önkormányzat felé jelen szerződés betartásáért.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Megállapodnak továbbá abban, hogy az Tu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úgy köteles kialakítani a Teremgarázs beléptető rendszerét, hogy a rendszerből kinyerhető kimutatáson beazonosítható legyen, mely használat vonatkozik a </w:t>
      </w:r>
      <w:r w:rsidR="00CE609D">
        <w:rPr>
          <w:rFonts w:ascii="Times New Roman" w:eastAsia="Times New Roman" w:hAnsi="Times New Roman" w:cs="Times New Roman"/>
          <w:color w:val="000000"/>
          <w:lang w:eastAsia="hu-HU"/>
        </w:rPr>
        <w:t>közcélú parkolóhelyekre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Felek megállapodnak abban, hogy a Teremgarázsban való közlekedésre a KRESZ szabályait rendelik alkalmazandónak, és Tulajdo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kötelezettsége, hogy erre a használók figyelmét felhívja, valamint az útjelző és irányító táblákat elhelyezze.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235840" w:rsidRDefault="0099370C" w:rsidP="00235840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>Tu</w:t>
      </w:r>
      <w:r w:rsidR="00235840"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köteles a Teremgarázst folyamatosan rendeltetésszerű állapotban tartani. E körben köteles a Teremgarázst tisztán tartani, áramellátását biztosítani, az elektromos közmű szolgáltató felé az áramellátás elektromos </w:t>
      </w:r>
      <w:proofErr w:type="spellStart"/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>almérővel</w:t>
      </w:r>
      <w:proofErr w:type="spellEnd"/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 mért fogyasztását megfizetni, a be-, és kihajtást biztosító beléptető rendszereket üzemeltetni és karbantartani, a javítási-, és karbantartási munkálatokat elvégezni annak érdekében, hogy az rendeltetésszerű, biztonságos használatra alkalmas legyen.</w:t>
      </w:r>
    </w:p>
    <w:p w:rsidR="0099370C" w:rsidRPr="00235840" w:rsidRDefault="0099370C" w:rsidP="0023584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>A szolgáltatás - karbantartási célú - szüneteltetés</w:t>
      </w:r>
      <w:r w:rsidR="00CE609D"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e nem </w:t>
      </w:r>
      <w:r w:rsidR="00CE609D" w:rsidRPr="00235840">
        <w:rPr>
          <w:rFonts w:ascii="Times New Roman" w:eastAsia="Times New Roman" w:hAnsi="Times New Roman" w:cs="Times New Roman"/>
          <w:lang w:eastAsia="hu-HU"/>
        </w:rPr>
        <w:t>haladhatja meg negyedévente</w:t>
      </w:r>
      <w:r w:rsidRPr="00235840">
        <w:rPr>
          <w:rFonts w:ascii="Times New Roman" w:eastAsia="Times New Roman" w:hAnsi="Times New Roman" w:cs="Times New Roman"/>
          <w:lang w:eastAsia="hu-HU"/>
        </w:rPr>
        <w:t xml:space="preserve"> a 72 órát. </w:t>
      </w:r>
      <w:r w:rsidR="00CE609D" w:rsidRPr="00235840">
        <w:rPr>
          <w:rFonts w:ascii="Times New Roman" w:eastAsia="Times New Roman" w:hAnsi="Times New Roman" w:cs="Times New Roman"/>
          <w:lang w:eastAsia="hu-HU"/>
        </w:rPr>
        <w:t xml:space="preserve">Az </w:t>
      </w:r>
      <w:r w:rsidR="00CE609D" w:rsidRPr="00235840">
        <w:rPr>
          <w:rFonts w:ascii="Times New Roman" w:eastAsia="Times New Roman" w:hAnsi="Times New Roman" w:cs="Times New Roman"/>
          <w:color w:val="000000"/>
          <w:lang w:eastAsia="hu-HU"/>
        </w:rPr>
        <w:t>ezen túlmenően tervezett, vagy egyéb szükséges munkálatok miatti szünetelés abban az esetben lehe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>tséges, ha azt a Tulajdonos/</w:t>
      </w:r>
      <w:r w:rsidR="00CE609D" w:rsidRPr="00235840">
        <w:rPr>
          <w:rFonts w:ascii="Times New Roman" w:eastAsia="Times New Roman" w:hAnsi="Times New Roman" w:cs="Times New Roman"/>
          <w:color w:val="000000"/>
          <w:lang w:eastAsia="hu-HU"/>
        </w:rPr>
        <w:t>É</w:t>
      </w:r>
      <w:r w:rsidR="00235840" w:rsidRPr="00235840">
        <w:rPr>
          <w:rFonts w:ascii="Times New Roman" w:eastAsia="Times New Roman" w:hAnsi="Times New Roman" w:cs="Times New Roman"/>
          <w:color w:val="000000"/>
          <w:lang w:eastAsia="hu-HU"/>
        </w:rPr>
        <w:t>píttető</w:t>
      </w:r>
      <w:r w:rsidR="00CE609D"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 bejelenti, valamint hitelt érdemlően bizonyítja az Önkormányzatnak. </w:t>
      </w: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>A karbantartás és a szolgáltatás szünetelésének idejéről a T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>köteles előzetesen tájékoztatni a Teremgarázs használóit a bejáratnál, kijára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>tnál elhelyezett tájékoztatókon</w:t>
      </w: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 annak érdekében, hogy a használók a szolgáltatás szünetelésére megfelelően felkészülhessenek. A szünetelés ideje alatt is biztosítani kell korábban behajtott gépkocsik kihajtását.</w:t>
      </w:r>
    </w:p>
    <w:p w:rsidR="0099370C" w:rsidRPr="00D53EAF" w:rsidRDefault="0099370C" w:rsidP="002358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17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KÖZCÉLÚ PARKOLÓHELYEK IGÉNYBEVÉTELÉNEK DÍJA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 közcélú parkolóhelyek igénybevételét bármely - jelen szerződésben meghatározott korlátozásokkal - személygépkocsi részére biztosítani kell óradíj, napi jegy, heti jegy, havi bérlet ellenében. Az igénybevétel - az általános forgalmi adó összegét is tartalmazó - díja 1 óra időtartamra az adott zónára érvényes várakozási díjjal megegyező összeg. 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 várakozási díj a Budapest Főváros közigazgatási területén a járművel várakozás rendjének egységes kialakításáról, a várakozás díjáról és az üzemképtelen járművek tárolásának szabályozásáról szóló 30/2010. (VI.4.) Fővárosi Közgyűlési rendelet szerint alakul. 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Er</w:t>
      </w:r>
      <w:r w:rsidR="00B74839">
        <w:rPr>
          <w:rFonts w:ascii="Times New Roman" w:eastAsia="Times New Roman" w:hAnsi="Times New Roman" w:cs="Times New Roman"/>
          <w:color w:val="000000"/>
          <w:lang w:eastAsia="hu-HU"/>
        </w:rPr>
        <w:t>zsébetvárosi bejelentett lakóhelly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el rendelkezők számára a közcélú parkolóhely igénybevételének - az általános forgalmi adó összegét is tartalmazó -  díja egy napra a fentebb körülírt várakozási díj ötszörös, egy hétre a várakozási díj tizenötszörös, egy hónapra pedig a várakozási díj huszonötszörös díjának megfelelő összeg.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Erzsébetvárosi bejelentett lakóhellyel rendelkező természetes személyek személygépjárműve számára biztosítani kell a szabad közcélú parkolóhelyeken 20.00-8.00 óra közötti időszakban az éjszakai kedvezménnyel történő parkolást, mely megegyezik az óránkénti díjjal.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Az elektromos töltőhely szolgáltatásának díja a vállalkozási áramár legfeljeb</w:t>
      </w:r>
      <w:r w:rsidR="001668A8">
        <w:rPr>
          <w:rFonts w:ascii="Times New Roman" w:eastAsia="Times New Roman" w:hAnsi="Times New Roman" w:cs="Times New Roman"/>
          <w:color w:val="000000"/>
          <w:lang w:eastAsia="hu-HU"/>
        </w:rPr>
        <w:t xml:space="preserve">b másfélszerese lehet, </w:t>
      </w:r>
      <w:r w:rsidR="001668A8">
        <w:rPr>
          <w:rFonts w:ascii="Times New Roman" w:eastAsia="Calibri" w:hAnsi="Times New Roman"/>
        </w:rPr>
        <w:t xml:space="preserve">mely bevétel </w:t>
      </w:r>
      <w:r w:rsidR="001668A8" w:rsidRPr="0056327A">
        <w:rPr>
          <w:rFonts w:ascii="Times New Roman" w:eastAsia="Calibri" w:hAnsi="Times New Roman"/>
        </w:rPr>
        <w:t xml:space="preserve">nem számít bele a </w:t>
      </w:r>
      <w:r w:rsidR="001668A8">
        <w:rPr>
          <w:rFonts w:ascii="Times New Roman" w:eastAsia="Calibri" w:hAnsi="Times New Roman"/>
        </w:rPr>
        <w:t>lenti 14</w:t>
      </w:r>
      <w:r w:rsidR="001668A8" w:rsidRPr="0056327A">
        <w:rPr>
          <w:rFonts w:ascii="Times New Roman" w:eastAsia="Calibri" w:hAnsi="Times New Roman"/>
        </w:rPr>
        <w:t>. pont szerinti árbevétel összegébe</w:t>
      </w:r>
      <w:r w:rsidR="001668A8">
        <w:rPr>
          <w:rFonts w:ascii="Times New Roman" w:eastAsia="Calibri" w:hAnsi="Times New Roman"/>
        </w:rPr>
        <w:t>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12. </w:t>
      </w:r>
      <w:r w:rsid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   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Jelen szerződésben foglalt díjakat T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jól látható helyen, a Teremgarázs bejáratánál köteles kifüggeszteni, a Teremgarázs használatára vonatkozó valamennyi szabállyal együtt. A T</w:t>
      </w:r>
      <w:r w:rsid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köteles a Teremgarázs bevételeiről elszámolást készíteni, és az üzemeltetés megkezdésétől évente az Önkormányzat felé bemutatni.</w:t>
      </w:r>
    </w:p>
    <w:p w:rsidR="0099370C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5840" w:rsidRDefault="00235840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4839" w:rsidRPr="00D53EAF" w:rsidRDefault="00B74839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20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lastRenderedPageBreak/>
        <w:t>BIZTOSÍTÉKI DÍJ</w:t>
      </w:r>
    </w:p>
    <w:p w:rsidR="00AC5141" w:rsidRDefault="00AC5141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AC5141" w:rsidRDefault="0099370C" w:rsidP="00AC5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13. </w:t>
      </w:r>
      <w:r w:rsidR="00AC5141" w:rsidRP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      </w:t>
      </w: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>Jelen szerződés megkötésekor parkolóhelyenként nettó 100.000,- Ft + ÁFA egyszeri biztosítéki díj illeti meg az Önkormányzatot.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Jelen szerződés II. fejezet 4. pontjában meghatározott … darab </w:t>
      </w:r>
      <w:r w:rsidR="00B74839">
        <w:rPr>
          <w:rFonts w:ascii="Times New Roman" w:eastAsia="Times New Roman" w:hAnsi="Times New Roman" w:cs="Times New Roman"/>
          <w:color w:val="000000"/>
          <w:lang w:eastAsia="hu-HU"/>
        </w:rPr>
        <w:t xml:space="preserve">közcélú 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parkolóhely után járó biztosítéki díj a Rendelet 9.§ (2) bekezdése alapján nettó ……………………………….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-Ft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, azaz …………………………… forint + ÁFA, összesen ………………………………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-Ft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, azaz …………………………… forint (Az általános forgalmi adót a mindenkor érvényes adótörvény szerint kell megállapítani és megfizetni) + ÁFA.</w:t>
      </w:r>
      <w:proofErr w:type="gramEnd"/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Felek jelen szerződés aláírásával elismerik a biztosítéki díj teljesítését. 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AC5141" w:rsidRDefault="0099370C" w:rsidP="00AC5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14. </w:t>
      </w:r>
      <w:r w:rsidR="00AC5141" w:rsidRP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  </w:t>
      </w:r>
      <w:r w:rsid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gramStart"/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>Amennyiben a közcélú parkolóhelyre vonatkozó szerződés megszűnése az Önkormányzattal szerződött fél, annak jogutódja, vagy a Tu</w:t>
      </w:r>
      <w:r w:rsid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>érdekkörében felmerült okból szűnik meg, avagy a szerződésszegése folytán az Önkormányzat a szerződést megszünteti, úgy a szerződött fél, annak jogutódja - a szerződés megszűnését követő 60 napon belül - köteles az Önkormányzat részére a Rendelet 4.§ (1) bekezdésében meghatározott parkolóhely létesítés pénzbeli megváltás összegének kétszeresét megfizetni, amely összeget csökkenteni kell a korábban megfizetett biztosítéki díjjal.</w:t>
      </w:r>
      <w:proofErr w:type="gramEnd"/>
    </w:p>
    <w:p w:rsidR="00B74839" w:rsidRDefault="00B74839" w:rsidP="00993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141" w:rsidRPr="00D53EAF" w:rsidRDefault="00AC5141" w:rsidP="00993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numPr>
          <w:ilvl w:val="0"/>
          <w:numId w:val="2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EGYÉB RENDELKEZÉSEK</w:t>
      </w:r>
    </w:p>
    <w:p w:rsidR="00B74839" w:rsidRDefault="00B74839" w:rsidP="0099370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15. A jelen szerződéssel kapcsolatos, a Felek közti minden értesítés, utasítás, felhívás, követelés vagy közlés csak írásban történhet.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16. Kapcsolattartás: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Budapest Főváros VII. Kerület Önkormányzata,</w:t>
      </w:r>
    </w:p>
    <w:p w:rsidR="0099370C" w:rsidRPr="001668A8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Polgárme</w:t>
      </w:r>
      <w:r w:rsidR="00B74839">
        <w:rPr>
          <w:rFonts w:ascii="Times New Roman" w:eastAsia="Times New Roman" w:hAnsi="Times New Roman" w:cs="Times New Roman"/>
          <w:color w:val="000000"/>
          <w:lang w:eastAsia="hu-HU"/>
        </w:rPr>
        <w:t xml:space="preserve">steri </w:t>
      </w:r>
      <w:r w:rsidR="00B74839" w:rsidRPr="001668A8">
        <w:rPr>
          <w:rFonts w:ascii="Times New Roman" w:eastAsia="Times New Roman" w:hAnsi="Times New Roman" w:cs="Times New Roman"/>
          <w:lang w:eastAsia="hu-HU"/>
        </w:rPr>
        <w:t xml:space="preserve">Hivatal Városüzemeltetési </w:t>
      </w:r>
      <w:r w:rsidRPr="001668A8">
        <w:rPr>
          <w:rFonts w:ascii="Times New Roman" w:eastAsia="Times New Roman" w:hAnsi="Times New Roman" w:cs="Times New Roman"/>
          <w:lang w:eastAsia="hu-HU"/>
        </w:rPr>
        <w:t>Iroda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Kapcsolattartó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…………………………….., telefonszám: ……………..; email: …………………... 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Cím: 1073 Budapest, Erzsébet krt. 6.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Cégnév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………………………………………………..</w:t>
      </w: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Kapcsolattartó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…………………………….., telefonszám: ……………..; email: …………………... Cím: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Cím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……………………………………………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1668A8" w:rsidRDefault="001668A8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668A8">
        <w:rPr>
          <w:rFonts w:ascii="Times New Roman" w:eastAsia="Times New Roman" w:hAnsi="Times New Roman" w:cs="Times New Roman"/>
          <w:i/>
          <w:color w:val="000000"/>
          <w:lang w:eastAsia="hu-HU"/>
        </w:rPr>
        <w:t>[</w:t>
      </w:r>
      <w:r w:rsidR="0099370C" w:rsidRPr="001668A8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17. </w:t>
      </w:r>
      <w:r w:rsidRPr="001668A8">
        <w:rPr>
          <w:rFonts w:ascii="Times New Roman" w:eastAsia="Times New Roman" w:hAnsi="Times New Roman" w:cs="Times New Roman"/>
          <w:i/>
          <w:color w:val="000000"/>
          <w:lang w:eastAsia="hu-HU"/>
        </w:rPr>
        <w:t>Rendelkezés az i</w:t>
      </w:r>
      <w:r w:rsidR="0099370C" w:rsidRPr="001668A8"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>nternetes alkal</w:t>
      </w:r>
      <w:r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>mazásban való megjelenítés módjáról</w:t>
      </w:r>
      <w:r w:rsidR="0099370C" w:rsidRPr="001668A8"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 xml:space="preserve">a Rendelet 8.§ (6) bekezdése </w:t>
      </w:r>
      <w:r w:rsidR="0099370C" w:rsidRPr="001668A8"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>alapján</w:t>
      </w:r>
      <w:r w:rsidRPr="001668A8"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 xml:space="preserve"> (opcionális, amennyiben erről a Felek rendelkezni kívánnak)]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18. Felek megállapodnak abban, hogy a jelen szerződésből eredő és az azzal kapcsolatos közöttük felmerülő valamennyi vitás kérdést egymás között közvetlenül, békés úton kísérelnek meg rendezni. Amennyiben a vitás kérdések rendezése ilyen módon ésszerű rövid időn belül (de a vita felmerülésétől számított legfeljebb kilencven napon belül) nem történik meg, a Felek jogvitájukat a Polgári perrendtartásról szóló 2016. évi CXXX. törvény szabályai szerint hatáskörrel és illetékességgel rendelkező rendes bíróság útján rendezhetik.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19. Jelen szerződés határozatlan időre szól.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20. Jelen szerződés kizárólag írásban, közös akarattal módosítható.</w:t>
      </w:r>
    </w:p>
    <w:p w:rsidR="00B74839" w:rsidRDefault="00B74839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4839" w:rsidRPr="00D53EAF" w:rsidRDefault="00B74839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141" w:rsidRDefault="00AC5141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C5141" w:rsidRDefault="00AC5141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>21. Jelen szerződést a Felek elolvasták és kölcsönös értelmezést követően, mint ügyleti akaratukkal mindenbe</w:t>
      </w:r>
      <w:r w:rsidR="00B74839">
        <w:rPr>
          <w:rFonts w:ascii="Times New Roman" w:eastAsia="Times New Roman" w:hAnsi="Times New Roman" w:cs="Times New Roman"/>
          <w:color w:val="000000"/>
          <w:lang w:eastAsia="hu-HU"/>
        </w:rPr>
        <w:t xml:space="preserve">n egyezőt jóváhagyólag azzal írják alá,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az itt nem szabályozott kérdések tekintetében a Polgári Törvénykönyvről szóló 2013. évi V. törvény rendelkezései az irányadók.</w:t>
      </w:r>
    </w:p>
    <w:p w:rsidR="0099370C" w:rsidRPr="00D53EAF" w:rsidRDefault="0099370C" w:rsidP="0099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141" w:rsidRDefault="00AC5141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9370C" w:rsidRPr="00D53EAF" w:rsidRDefault="0099370C" w:rsidP="009937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Budapest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,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……………………………………..</w:t>
      </w:r>
    </w:p>
    <w:p w:rsidR="0099370C" w:rsidRDefault="0099370C" w:rsidP="00993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141" w:rsidRPr="00D53EAF" w:rsidRDefault="00AC5141" w:rsidP="00993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5"/>
        <w:gridCol w:w="3805"/>
      </w:tblGrid>
      <w:tr w:rsidR="0099370C" w:rsidRPr="00D53EAF" w:rsidTr="006C2DEB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…………………………………………..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………………………………………….</w:t>
            </w:r>
          </w:p>
        </w:tc>
      </w:tr>
      <w:tr w:rsidR="0099370C" w:rsidRPr="00D53EAF" w:rsidTr="006C2DEB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Budapest Főváros VII. kerület</w:t>
            </w:r>
          </w:p>
          <w:p w:rsidR="0099370C" w:rsidRPr="00D53EAF" w:rsidRDefault="0099370C" w:rsidP="006C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Erzsébetváros Önkormányzata</w:t>
            </w:r>
          </w:p>
          <w:p w:rsidR="0099370C" w:rsidRPr="00D53EAF" w:rsidRDefault="0099370C" w:rsidP="006C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Képviseli</w:t>
            </w: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: 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…………. </w:t>
            </w:r>
          </w:p>
          <w:p w:rsidR="0099370C" w:rsidRPr="00D53EAF" w:rsidRDefault="0099370C" w:rsidP="006C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polgármester</w:t>
            </w:r>
          </w:p>
          <w:p w:rsidR="0099370C" w:rsidRDefault="0099370C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5141" w:rsidRPr="00D53EAF" w:rsidRDefault="00AC5141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9370C" w:rsidRPr="00D53EAF" w:rsidRDefault="0099370C" w:rsidP="006C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Jogilag ellenőrizte:</w:t>
            </w:r>
          </w:p>
          <w:p w:rsidR="0099370C" w:rsidRPr="00D53EAF" w:rsidRDefault="0099370C" w:rsidP="006C2DE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9370C" w:rsidRPr="00D53EAF" w:rsidRDefault="0099370C" w:rsidP="006C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………………………………            </w:t>
            </w:r>
          </w:p>
          <w:p w:rsidR="0099370C" w:rsidRPr="00D53EAF" w:rsidRDefault="0099370C" w:rsidP="006C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……………………..</w:t>
            </w:r>
          </w:p>
          <w:p w:rsidR="0099370C" w:rsidRPr="00D53EAF" w:rsidRDefault="0099370C" w:rsidP="006C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Jegyző                            </w:t>
            </w:r>
          </w:p>
          <w:p w:rsidR="0099370C" w:rsidRPr="00D53EAF" w:rsidRDefault="0099370C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5141" w:rsidRDefault="00AC5141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</w:p>
          <w:p w:rsidR="0099370C" w:rsidRPr="00D53EAF" w:rsidRDefault="0099370C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Pénzügyi ellenjegyző:</w:t>
            </w:r>
          </w:p>
          <w:p w:rsidR="0099370C" w:rsidRPr="00D53EAF" w:rsidRDefault="0099370C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9370C" w:rsidRPr="00D53EAF" w:rsidRDefault="0099370C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………………………………………………</w:t>
            </w:r>
          </w:p>
          <w:p w:rsidR="0099370C" w:rsidRPr="00D53EAF" w:rsidRDefault="0099370C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</w:t>
            </w:r>
          </w:p>
          <w:p w:rsidR="0099370C" w:rsidRPr="00D53EAF" w:rsidRDefault="0099370C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Pénzügyi Iroda vezetője</w:t>
            </w:r>
          </w:p>
          <w:p w:rsidR="0099370C" w:rsidRPr="00D53EAF" w:rsidRDefault="0099370C" w:rsidP="006C2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5141" w:rsidRDefault="00AC5141" w:rsidP="006C2DE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</w:p>
          <w:p w:rsidR="0099370C" w:rsidRPr="00D53EAF" w:rsidRDefault="0099370C" w:rsidP="006C2DE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Műszaki ellenjegyző:</w:t>
            </w:r>
          </w:p>
          <w:p w:rsidR="0099370C" w:rsidRPr="00D53EAF" w:rsidRDefault="0099370C" w:rsidP="006C2DE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………………………………………………...</w:t>
            </w:r>
          </w:p>
          <w:p w:rsidR="0099370C" w:rsidRPr="00D53EAF" w:rsidRDefault="0099370C" w:rsidP="006C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…………………….</w:t>
            </w:r>
          </w:p>
          <w:p w:rsidR="0099370C" w:rsidRPr="00D53EAF" w:rsidRDefault="0099370C" w:rsidP="006C2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főépítész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370C" w:rsidRPr="00D53EAF" w:rsidRDefault="0099370C" w:rsidP="006C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……………………</w:t>
            </w:r>
          </w:p>
          <w:p w:rsidR="0099370C" w:rsidRPr="00D53EAF" w:rsidRDefault="0099370C" w:rsidP="006C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Képviseli</w:t>
            </w: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: 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……………….</w:t>
            </w:r>
          </w:p>
          <w:p w:rsidR="0099370C" w:rsidRPr="00D53EAF" w:rsidRDefault="0099370C" w:rsidP="006C2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</w:t>
            </w:r>
          </w:p>
        </w:tc>
      </w:tr>
    </w:tbl>
    <w:p w:rsidR="0099370C" w:rsidRDefault="0099370C" w:rsidP="001668A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8D3A0C" w:rsidRDefault="008D3A0C" w:rsidP="008D3A0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99370C" w:rsidRDefault="0099370C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</w:p>
    <w:p w:rsidR="00D53EAF" w:rsidRPr="001668A8" w:rsidRDefault="00D53EAF" w:rsidP="009937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u-HU"/>
        </w:rPr>
        <w:t>Általános indokolás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módosítás </w:t>
      </w:r>
      <w:r w:rsidRPr="00D53EAF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>az ingatlan-nyilvántartásról szóló 1997. évi CXLI. törvénnyel, valamint az ingatlan-nyilvántartásról szóló 1997. évi CXLI. törvény végrehajtásáról szóló 109/1999. (XII.29.) FVM rendelettel, ezen felül a polgárok személyi adatainak és lakcímének nyilvántartásáról szóló 1992. évi LXVI. törvénnyel való összhang biztosítását szolgálja, mind a rendelet normaszövegében, mind pedig a mellékletben található szerződésminta szövegében.</w:t>
      </w:r>
    </w:p>
    <w:p w:rsidR="00D53EAF" w:rsidRPr="00D53EAF" w:rsidRDefault="00D53EAF" w:rsidP="00D53EAF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 xml:space="preserve">A módosítás a fentieken túlmenően tartalmaz néhány, a jogalkalmazás során felmerült gyakorlati </w:t>
      </w:r>
      <w:proofErr w:type="spellStart"/>
      <w:r w:rsidRPr="00D53EAF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>pontosítási</w:t>
      </w:r>
      <w:proofErr w:type="spellEnd"/>
      <w:r w:rsidRPr="00D53EAF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 xml:space="preserve"> igényt kielégítő kiegészítést.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after="0" w:line="240" w:lineRule="auto"/>
        <w:ind w:hanging="539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Részletes indokolás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§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F3B32" w:rsidRDefault="005F3B32" w:rsidP="005F3B32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ingatlan-nyilvántartásról szóló 1997. évi CXLI. törvénnyel, valamint az ingatlan-nyilvántartásról szóló 1997. évi CXLI. törvény végrehajtásáról szóló 109/1999. (XII.29.) FVM rendelettel való összhang megteremtendő, így az </w:t>
      </w:r>
      <w:r w:rsidR="0010787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ingatlan-nyilvántartásban </w:t>
      </w:r>
      <w:r w:rsidR="008D3A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r w:rsidR="0010787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ingatlan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albetétesítés</w:t>
      </w:r>
      <w:r w:rsidR="0010787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</w:t>
      </w: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rendelkezések törlendőek a jogszabályból.</w:t>
      </w:r>
    </w:p>
    <w:p w:rsidR="00107876" w:rsidRDefault="00107876" w:rsidP="005F3B32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07876" w:rsidRDefault="00107876" w:rsidP="001668A8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668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2.§ </w:t>
      </w:r>
    </w:p>
    <w:p w:rsidR="00107876" w:rsidRDefault="00107876" w:rsidP="001668A8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7876" w:rsidRPr="00D53EAF" w:rsidRDefault="00107876" w:rsidP="00107876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ingatlan-nyilvántartásról szóló 1997. évi CXLI. törvénnyel, valamint az ingatlan-nyilvántartásról szóló 1997. évi CXLI. törvény végrehajtásáról szóló 109/1999. (XII.29.) FVM rendelettel való összhang megterem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tendő, így </w:t>
      </w: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ingatlan-nyilvántartásban egy ingatlan esetében a</w:t>
      </w: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közcélú használat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tényének fel</w:t>
      </w: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jegyzésére vonatkozó rendelkezések törlendőek a jogszabályból.</w:t>
      </w:r>
    </w:p>
    <w:p w:rsidR="00107876" w:rsidRDefault="00107876" w:rsidP="00107876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07876" w:rsidRPr="001668A8" w:rsidRDefault="00107876" w:rsidP="001668A8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3.§</w:t>
      </w:r>
    </w:p>
    <w:p w:rsidR="00107876" w:rsidRDefault="00107876" w:rsidP="001668A8">
      <w:pPr>
        <w:spacing w:after="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9370C" w:rsidRDefault="00D53EAF" w:rsidP="00D53EAF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Pontosítást szükséges végezni a karbantartási célú szolgáltatás szüneteltetés időtartamára nézve, ennek érdekében kiegészítésre kerül a 72 óra időtartam azzal, hogy ezt negyedéves viszonylatban kell megállapítani. Előfordulhat az üzemeltetés során, hogy ezen túlmenően szükséges elvégezni egy javítást, karbantartást</w:t>
      </w:r>
      <w:r w:rsidR="0010787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vagy akár előre nem látható, de szükséges munkálatokat.</w:t>
      </w: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Ennek egyértelműsítése végett kerül kiegészítésre a szabályozás akként, hogy ez akkor lehetséges, hogyha ennek bejelentése és bizonyítása megtörténik.</w:t>
      </w:r>
    </w:p>
    <w:p w:rsidR="00AC5141" w:rsidRPr="00D53EAF" w:rsidRDefault="00AC5141" w:rsidP="00D53EAF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AC5141" w:rsidP="00AC5141">
      <w:pPr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r w:rsidR="001078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="00D53EAF"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§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polgárok személyi adatainak és lakcímének nyilvántartásáról szóló 1992. évi LXVI. törvény 5. §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proofErr w:type="gramEnd"/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értelmezi a „lakóhely” és a „lakcím” közötti terminológiai különbséget. Tekintettel arra, hogy csak a</w:t>
      </w:r>
      <w:r w:rsidR="0010787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bejelentett</w:t>
      </w: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erzsébetvárosi lakóhellyel rendelkezők számára kívánt biztosítani a közcélú parkolóhely igénybevételének díja, ide nem értve a tartózkodási hellyel rendelkezőket, így a lakcím gyűjtőfogalom helyett a lakóhely alkalmazása indokolt. 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Default="00107876" w:rsidP="001668A8">
      <w:pPr>
        <w:spacing w:after="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5.</w:t>
      </w:r>
      <w:r w:rsidR="00D53EAF" w:rsidRPr="00D53E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107876" w:rsidRDefault="00107876" w:rsidP="001668A8">
      <w:pPr>
        <w:spacing w:after="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07876" w:rsidRPr="00D53EAF" w:rsidRDefault="00107876" w:rsidP="00107876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D027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bejelentett lakóhellyel rendelkező természetes személyek személygépjárművei után járó éjszakai díjkedvezmény pontosítása történt ebben a §</w:t>
      </w:r>
      <w:proofErr w:type="spellStart"/>
      <w:r w:rsidR="00D027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-ban</w:t>
      </w:r>
      <w:proofErr w:type="spellEnd"/>
      <w:r w:rsidR="00D027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107876" w:rsidRPr="00D53EAF" w:rsidRDefault="00107876" w:rsidP="001668A8">
      <w:pPr>
        <w:spacing w:after="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53EAF" w:rsidRDefault="00D027B0" w:rsidP="0016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668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6.§</w:t>
      </w:r>
    </w:p>
    <w:p w:rsidR="00D027B0" w:rsidRPr="001668A8" w:rsidRDefault="00D027B0" w:rsidP="0016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27B0" w:rsidRDefault="00D53EAF" w:rsidP="001668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D027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rendelet kiegészül egy új, 2. számú melléklettel, amely</w:t>
      </w:r>
      <w:r w:rsidR="00080F9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szerződésmint</w:t>
      </w:r>
      <w:r w:rsidR="00D027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aként szolgál az új építésű ingatlanok építtetőinek, tulajdonosainak a közcélú parkolóhelyek létesítése és üzemeltetése vonatkozásában. </w:t>
      </w:r>
    </w:p>
    <w:p w:rsidR="00D027B0" w:rsidRDefault="00D027B0" w:rsidP="001668A8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53EAF" w:rsidRPr="00D53EAF" w:rsidRDefault="00D027B0" w:rsidP="001668A8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668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</w:t>
      </w:r>
      <w:r w:rsidR="00D53EAF" w:rsidRPr="00D027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027B0" w:rsidP="00D53EAF">
      <w:pPr>
        <w:spacing w:after="20" w:line="240" w:lineRule="auto"/>
        <w:ind w:hanging="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</w:t>
      </w:r>
      <w:r w:rsidR="00D53EAF" w:rsidRPr="00D53E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hatálybalépésének időpontjáról rendelkezik.</w:t>
      </w:r>
    </w:p>
    <w:p w:rsidR="00D53EAF" w:rsidRPr="00D53EAF" w:rsidRDefault="00D53EAF" w:rsidP="00D53EA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370C" w:rsidRDefault="0099370C" w:rsidP="001668A8">
      <w:pPr>
        <w:pStyle w:val="Listaszerbekezds"/>
        <w:spacing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3EAF" w:rsidRPr="00D53EAF" w:rsidRDefault="00D53EAF" w:rsidP="00D53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D53EAF" w:rsidRPr="00D53EAF" w:rsidTr="00D53EA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EAF" w:rsidRPr="00D53EAF" w:rsidRDefault="00D53EAF" w:rsidP="00D5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27B57" w:rsidRPr="001668A8" w:rsidRDefault="00127B57">
      <w:pPr>
        <w:rPr>
          <w:color w:val="FF0000"/>
        </w:rPr>
      </w:pPr>
    </w:p>
    <w:sectPr w:rsidR="00127B57" w:rsidRPr="00166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621"/>
    <w:multiLevelType w:val="hybridMultilevel"/>
    <w:tmpl w:val="37D8B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91FAA"/>
    <w:multiLevelType w:val="hybridMultilevel"/>
    <w:tmpl w:val="F1027F3A"/>
    <w:lvl w:ilvl="0" w:tplc="3C1EBC4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2446B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2058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688A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A2B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0671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3A2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28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CCE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24D41"/>
    <w:multiLevelType w:val="multilevel"/>
    <w:tmpl w:val="F2427B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F1B08"/>
    <w:multiLevelType w:val="multilevel"/>
    <w:tmpl w:val="720242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16EDC"/>
    <w:multiLevelType w:val="hybridMultilevel"/>
    <w:tmpl w:val="66F65E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51C49"/>
    <w:multiLevelType w:val="hybridMultilevel"/>
    <w:tmpl w:val="999464EA"/>
    <w:lvl w:ilvl="0" w:tplc="DA72F44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4E863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3E3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168C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38C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CA1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220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3055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F41027"/>
    <w:multiLevelType w:val="multilevel"/>
    <w:tmpl w:val="C12A06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997C27"/>
    <w:multiLevelType w:val="multilevel"/>
    <w:tmpl w:val="8604CB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BF2BE7"/>
    <w:multiLevelType w:val="hybridMultilevel"/>
    <w:tmpl w:val="CDC22C12"/>
    <w:lvl w:ilvl="0" w:tplc="F55EBC0C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C383A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AABD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3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F0E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0293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8C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28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02C1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7C4C3F"/>
    <w:multiLevelType w:val="multilevel"/>
    <w:tmpl w:val="AC5849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C910A1"/>
    <w:multiLevelType w:val="multilevel"/>
    <w:tmpl w:val="448072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243100"/>
    <w:multiLevelType w:val="multilevel"/>
    <w:tmpl w:val="FE30F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75562"/>
    <w:multiLevelType w:val="hybridMultilevel"/>
    <w:tmpl w:val="6562ED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32E4A"/>
    <w:multiLevelType w:val="multilevel"/>
    <w:tmpl w:val="FE302C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8804F8"/>
    <w:multiLevelType w:val="multilevel"/>
    <w:tmpl w:val="9CDAFA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C739DB"/>
    <w:multiLevelType w:val="multilevel"/>
    <w:tmpl w:val="AEE621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C16BEA"/>
    <w:multiLevelType w:val="multilevel"/>
    <w:tmpl w:val="8702F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7E5C28"/>
    <w:multiLevelType w:val="multilevel"/>
    <w:tmpl w:val="68B6A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E81534"/>
    <w:multiLevelType w:val="multilevel"/>
    <w:tmpl w:val="4AAAD4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CE7EF3"/>
    <w:multiLevelType w:val="multilevel"/>
    <w:tmpl w:val="107A68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8064E"/>
    <w:multiLevelType w:val="hybridMultilevel"/>
    <w:tmpl w:val="258E20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E6663"/>
    <w:multiLevelType w:val="hybridMultilevel"/>
    <w:tmpl w:val="84E850E0"/>
    <w:lvl w:ilvl="0" w:tplc="3C480D4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A1AE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01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224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4232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6A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6EE9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8B3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EE0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941B2C"/>
    <w:multiLevelType w:val="hybridMultilevel"/>
    <w:tmpl w:val="4D1EEC5C"/>
    <w:lvl w:ilvl="0" w:tplc="3A64905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6F8CB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0ED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42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80B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4D7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809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C5B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AA0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4A30B4"/>
    <w:multiLevelType w:val="multilevel"/>
    <w:tmpl w:val="5AE212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036AC7"/>
    <w:multiLevelType w:val="hybridMultilevel"/>
    <w:tmpl w:val="5082DC7E"/>
    <w:lvl w:ilvl="0" w:tplc="884E7C5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44210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A81C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A7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F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2254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BAE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9A7C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2E0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5837DE"/>
    <w:multiLevelType w:val="hybridMultilevel"/>
    <w:tmpl w:val="275EA000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32D01"/>
    <w:multiLevelType w:val="hybridMultilevel"/>
    <w:tmpl w:val="94BEBE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  <w:lvlOverride w:ilvl="0">
      <w:lvl w:ilvl="0">
        <w:numFmt w:val="decimal"/>
        <w:lvlText w:val="%1."/>
        <w:lvlJc w:val="left"/>
      </w:lvl>
    </w:lvlOverride>
  </w:num>
  <w:num w:numId="3">
    <w:abstractNumId w:val="19"/>
    <w:lvlOverride w:ilvl="0">
      <w:lvl w:ilvl="0">
        <w:numFmt w:val="decimal"/>
        <w:lvlText w:val="%1."/>
        <w:lvlJc w:val="left"/>
      </w:lvl>
    </w:lvlOverride>
  </w:num>
  <w:num w:numId="4">
    <w:abstractNumId w:val="18"/>
    <w:lvlOverride w:ilvl="0">
      <w:lvl w:ilvl="0">
        <w:numFmt w:val="decimal"/>
        <w:lvlText w:val="%1."/>
        <w:lvlJc w:val="left"/>
      </w:lvl>
    </w:lvlOverride>
  </w:num>
  <w:num w:numId="5">
    <w:abstractNumId w:val="14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15"/>
    <w:lvlOverride w:ilvl="0">
      <w:lvl w:ilvl="0">
        <w:numFmt w:val="decimal"/>
        <w:lvlText w:val="%1."/>
        <w:lvlJc w:val="left"/>
      </w:lvl>
    </w:lvlOverride>
  </w:num>
  <w:num w:numId="9">
    <w:abstractNumId w:val="16"/>
    <w:lvlOverride w:ilvl="0">
      <w:lvl w:ilvl="0">
        <w:numFmt w:val="upperRoman"/>
        <w:lvlText w:val="%1."/>
        <w:lvlJc w:val="right"/>
      </w:lvl>
    </w:lvlOverride>
  </w:num>
  <w:num w:numId="10">
    <w:abstractNumId w:val="1"/>
  </w:num>
  <w:num w:numId="11">
    <w:abstractNumId w:val="17"/>
    <w:lvlOverride w:ilvl="0">
      <w:lvl w:ilvl="0">
        <w:numFmt w:val="lowerLetter"/>
        <w:lvlText w:val="%1."/>
        <w:lvlJc w:val="left"/>
      </w:lvl>
    </w:lvlOverride>
  </w:num>
  <w:num w:numId="12">
    <w:abstractNumId w:val="22"/>
  </w:num>
  <w:num w:numId="13">
    <w:abstractNumId w:val="6"/>
    <w:lvlOverride w:ilvl="0">
      <w:lvl w:ilvl="0">
        <w:numFmt w:val="decimal"/>
        <w:lvlText w:val="%1."/>
        <w:lvlJc w:val="left"/>
      </w:lvl>
    </w:lvlOverride>
  </w:num>
  <w:num w:numId="14">
    <w:abstractNumId w:val="8"/>
  </w:num>
  <w:num w:numId="15">
    <w:abstractNumId w:val="9"/>
    <w:lvlOverride w:ilvl="0">
      <w:lvl w:ilvl="0">
        <w:numFmt w:val="decimal"/>
        <w:lvlText w:val="%1."/>
        <w:lvlJc w:val="left"/>
      </w:lvl>
    </w:lvlOverride>
  </w:num>
  <w:num w:numId="16">
    <w:abstractNumId w:val="23"/>
    <w:lvlOverride w:ilvl="0">
      <w:lvl w:ilvl="0">
        <w:numFmt w:val="decimal"/>
        <w:lvlText w:val="%1."/>
        <w:lvlJc w:val="left"/>
      </w:lvl>
    </w:lvlOverride>
  </w:num>
  <w:num w:numId="17">
    <w:abstractNumId w:val="21"/>
  </w:num>
  <w:num w:numId="18">
    <w:abstractNumId w:val="2"/>
    <w:lvlOverride w:ilvl="0">
      <w:lvl w:ilvl="0">
        <w:numFmt w:val="decimal"/>
        <w:lvlText w:val="%1."/>
        <w:lvlJc w:val="left"/>
      </w:lvl>
    </w:lvlOverride>
  </w:num>
  <w:num w:numId="19">
    <w:abstractNumId w:val="7"/>
    <w:lvlOverride w:ilvl="0">
      <w:lvl w:ilvl="0">
        <w:numFmt w:val="decimal"/>
        <w:lvlText w:val="%1."/>
        <w:lvlJc w:val="left"/>
      </w:lvl>
    </w:lvlOverride>
  </w:num>
  <w:num w:numId="20">
    <w:abstractNumId w:val="24"/>
  </w:num>
  <w:num w:numId="21">
    <w:abstractNumId w:val="5"/>
  </w:num>
  <w:num w:numId="22">
    <w:abstractNumId w:val="25"/>
  </w:num>
  <w:num w:numId="23">
    <w:abstractNumId w:val="12"/>
  </w:num>
  <w:num w:numId="24">
    <w:abstractNumId w:val="0"/>
  </w:num>
  <w:num w:numId="25">
    <w:abstractNumId w:val="20"/>
  </w:num>
  <w:num w:numId="26">
    <w:abstractNumId w:val="2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AF"/>
    <w:rsid w:val="00080F95"/>
    <w:rsid w:val="00107876"/>
    <w:rsid w:val="00127B57"/>
    <w:rsid w:val="001668A8"/>
    <w:rsid w:val="00235840"/>
    <w:rsid w:val="00301884"/>
    <w:rsid w:val="00462FB8"/>
    <w:rsid w:val="004B6DB3"/>
    <w:rsid w:val="00534226"/>
    <w:rsid w:val="005606F5"/>
    <w:rsid w:val="005C6EBD"/>
    <w:rsid w:val="005F3B32"/>
    <w:rsid w:val="00825224"/>
    <w:rsid w:val="00835A69"/>
    <w:rsid w:val="008D3A0C"/>
    <w:rsid w:val="0099370C"/>
    <w:rsid w:val="009E46DC"/>
    <w:rsid w:val="00AC5141"/>
    <w:rsid w:val="00B74839"/>
    <w:rsid w:val="00BC7EDB"/>
    <w:rsid w:val="00BD1150"/>
    <w:rsid w:val="00C77576"/>
    <w:rsid w:val="00CC427C"/>
    <w:rsid w:val="00CD12C4"/>
    <w:rsid w:val="00CE609D"/>
    <w:rsid w:val="00D027B0"/>
    <w:rsid w:val="00D53EAF"/>
    <w:rsid w:val="00DD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03082-7A90-4357-B03D-3E2DA145C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D53E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53EA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D5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D53EA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5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5A69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DD6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98027">
          <w:marLeft w:val="-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19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96">
          <w:marLeft w:val="-9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2373</Words>
  <Characters>16374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18710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dc:description/>
  <cp:lastModifiedBy>Laza Margó</cp:lastModifiedBy>
  <cp:revision>7</cp:revision>
  <dcterms:created xsi:type="dcterms:W3CDTF">2020-10-01T08:10:00Z</dcterms:created>
  <dcterms:modified xsi:type="dcterms:W3CDTF">2020-10-08T08:47:00Z</dcterms:modified>
</cp:coreProperties>
</file>