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0BA9" w14:textId="77777777" w:rsidR="00AE6413" w:rsidRDefault="0015619D">
      <w:pPr>
        <w:spacing w:after="0" w:line="259" w:lineRule="auto"/>
        <w:ind w:left="1153" w:firstLine="0"/>
        <w:jc w:val="center"/>
      </w:pPr>
      <w:r>
        <w:t xml:space="preserve">  </w:t>
      </w:r>
    </w:p>
    <w:p w14:paraId="7F5F3479" w14:textId="77777777" w:rsidR="00AE6413" w:rsidRDefault="0015619D">
      <w:pPr>
        <w:spacing w:after="0" w:line="420" w:lineRule="auto"/>
        <w:ind w:left="2880" w:right="2648" w:hanging="10"/>
        <w:jc w:val="center"/>
      </w:pPr>
      <w:r>
        <w:t xml:space="preserve">Együttműködési Megállapodás parkolás üzemeltetési feladatok ellátására </w:t>
      </w:r>
    </w:p>
    <w:p w14:paraId="026CFD3F" w14:textId="77777777" w:rsidR="00AE6413" w:rsidRDefault="0015619D">
      <w:pPr>
        <w:spacing w:after="181" w:line="265" w:lineRule="auto"/>
        <w:ind w:left="693" w:right="462" w:hanging="10"/>
        <w:jc w:val="center"/>
      </w:pPr>
      <w:r>
        <w:t xml:space="preserve">3. számú módosítással egységes szerkezetben </w:t>
      </w:r>
    </w:p>
    <w:p w14:paraId="2A3C13F5" w14:textId="77777777" w:rsidR="00AE6413" w:rsidRDefault="0015619D">
      <w:pPr>
        <w:spacing w:after="9" w:line="259" w:lineRule="auto"/>
        <w:ind w:left="234" w:firstLine="0"/>
        <w:jc w:val="center"/>
      </w:pPr>
      <w:r>
        <w:t xml:space="preserve"> </w:t>
      </w:r>
    </w:p>
    <w:p w14:paraId="5DD66F14" w14:textId="77777777" w:rsidR="00AE6413" w:rsidRDefault="0015619D">
      <w:pPr>
        <w:spacing w:after="12" w:line="259" w:lineRule="auto"/>
        <w:ind w:left="234" w:firstLine="0"/>
        <w:jc w:val="center"/>
      </w:pPr>
      <w:r>
        <w:t xml:space="preserve"> </w:t>
      </w:r>
    </w:p>
    <w:p w14:paraId="06703147" w14:textId="77777777" w:rsidR="00AE6413" w:rsidRDefault="0015619D">
      <w:pPr>
        <w:spacing w:after="9" w:line="259" w:lineRule="auto"/>
        <w:ind w:left="234" w:firstLine="0"/>
        <w:jc w:val="center"/>
      </w:pPr>
      <w:r>
        <w:t xml:space="preserve"> </w:t>
      </w:r>
    </w:p>
    <w:p w14:paraId="191F308F" w14:textId="77777777" w:rsidR="00AE6413" w:rsidRDefault="0015619D">
      <w:pPr>
        <w:ind w:left="218" w:right="40"/>
      </w:pPr>
      <w:r>
        <w:t xml:space="preserve">amely létrejött egyrészről: </w:t>
      </w:r>
    </w:p>
    <w:p w14:paraId="5C96A787" w14:textId="77777777" w:rsidR="00AE6413" w:rsidRDefault="0015619D">
      <w:pPr>
        <w:spacing w:after="254"/>
        <w:ind w:left="218" w:right="40"/>
      </w:pPr>
      <w:r>
        <w:t>Budapest Főváros Önkormányzata</w:t>
      </w:r>
      <w:r>
        <w:t xml:space="preserve"> (1052 Budapest Városház u. 9-11., képviseli: Karácsony Gergely főpolgármester, a továbbiakban: Fővárosi Önkormányzat), </w:t>
      </w:r>
    </w:p>
    <w:p w14:paraId="1AA5CE1F" w14:textId="77777777" w:rsidR="00AE6413" w:rsidRDefault="0015619D">
      <w:pPr>
        <w:ind w:left="218" w:right="40"/>
      </w:pPr>
      <w:r>
        <w:t xml:space="preserve">másrészről: </w:t>
      </w:r>
    </w:p>
    <w:p w14:paraId="65E13A33" w14:textId="77777777" w:rsidR="00AE6413" w:rsidRDefault="0015619D">
      <w:pPr>
        <w:spacing w:after="256"/>
        <w:ind w:left="218" w:right="40"/>
      </w:pPr>
      <w:r>
        <w:t>Budapest Főváros VII. kerület Erzsébetváros Önkormányzata</w:t>
      </w:r>
      <w:r>
        <w:t xml:space="preserve"> (1073 Budapest Erzsébet körút. 6., képviseli: </w:t>
      </w:r>
      <w:proofErr w:type="spellStart"/>
      <w:r>
        <w:t>Niedermüller</w:t>
      </w:r>
      <w:proofErr w:type="spellEnd"/>
      <w:r>
        <w:t xml:space="preserve"> Péter</w:t>
      </w:r>
      <w:r>
        <w:t xml:space="preserve"> polgármester, a továbbiakban: VII. kerületi Önkormányzat), </w:t>
      </w:r>
    </w:p>
    <w:p w14:paraId="0C82A68C" w14:textId="77777777" w:rsidR="00AE6413" w:rsidRDefault="0015619D">
      <w:pPr>
        <w:spacing w:after="256"/>
        <w:ind w:left="218" w:right="40"/>
      </w:pPr>
      <w:r>
        <w:t xml:space="preserve">(Fővárosi Önkormányzat és VII. kerületi Önkormányzat külön-külön említve Fél, együttesen Felek) között az alulírott helyen és időben, az alábbi feltételek mellett: </w:t>
      </w:r>
    </w:p>
    <w:p w14:paraId="0B3C118B" w14:textId="77777777" w:rsidR="00AE6413" w:rsidRDefault="0015619D">
      <w:pPr>
        <w:spacing w:after="207" w:line="265" w:lineRule="auto"/>
        <w:ind w:left="693" w:right="460" w:hanging="10"/>
        <w:jc w:val="center"/>
      </w:pPr>
      <w:r>
        <w:t xml:space="preserve">Előzmények </w:t>
      </w:r>
    </w:p>
    <w:p w14:paraId="1A79BC51" w14:textId="77777777" w:rsidR="00AE6413" w:rsidRDefault="0015619D">
      <w:pPr>
        <w:numPr>
          <w:ilvl w:val="0"/>
          <w:numId w:val="1"/>
        </w:numPr>
        <w:spacing w:after="260"/>
        <w:ind w:right="40"/>
      </w:pPr>
      <w:r>
        <w:t xml:space="preserve">Magyarország helyi önkormányzatairól szóló 2011. évi CLXXXIX törvény (a továbbiakban: </w:t>
      </w:r>
      <w:proofErr w:type="spellStart"/>
      <w:r>
        <w:t>Mötv</w:t>
      </w:r>
      <w:proofErr w:type="spellEnd"/>
      <w:r>
        <w:t xml:space="preserve">.) 2013. január 1. napján hatályba lépett 23. § (5) bekezdés 3. pontja szerint a parkolásüzemeltetés ellátása a kerületi önkormányzatok feladata, míg az </w:t>
      </w:r>
      <w:proofErr w:type="spellStart"/>
      <w:r>
        <w:t>Mötv</w:t>
      </w:r>
      <w:proofErr w:type="spellEnd"/>
      <w:r>
        <w:t>. 23. § (</w:t>
      </w:r>
      <w:r>
        <w:t xml:space="preserve">4) bekezdés 10. pontja értelmében 2013. január 1. napjától a Fővárosi Önkormányzat feladata a helyi közösségi közlekedés biztosítása és működtetése, valamint a főváros területén a parkolás feltételrendszerének kialakítása. </w:t>
      </w:r>
    </w:p>
    <w:p w14:paraId="4B3A3974" w14:textId="77777777" w:rsidR="00AE6413" w:rsidRDefault="0015619D">
      <w:pPr>
        <w:numPr>
          <w:ilvl w:val="0"/>
          <w:numId w:val="1"/>
        </w:numPr>
        <w:spacing w:after="552"/>
        <w:ind w:right="40"/>
      </w:pPr>
      <w:r>
        <w:t xml:space="preserve">Figyelemmel arra, hogy az </w:t>
      </w:r>
      <w:proofErr w:type="spellStart"/>
      <w:r>
        <w:t>Mötv</w:t>
      </w:r>
      <w:proofErr w:type="spellEnd"/>
      <w:r>
        <w:t xml:space="preserve">. </w:t>
      </w:r>
      <w:r>
        <w:t>fentiekben hivatkozott rendelkezései értelmében a Fővárosi Önkormányzat a Fővárosban parkolás-üzemeltetési feladatot nem láthat el, a VII. kerületi Önkormányzat közigazgatási területén lévő, de a Fővárosi Önkormányzat tulajdonában álló közúti várakozóhelye</w:t>
      </w:r>
      <w:r>
        <w:t>k üzemeltetését 2013. január 1. napjától a VII. kerületi Önkormányzat látja el, amelynek kereteit a Felek – 2013. december 31. napjáig a közöttük korábban határozott időre létrejött megállapodásban – 2014. január 1. napjától pedig jelen Együttműködési Megá</w:t>
      </w:r>
      <w:r>
        <w:t xml:space="preserve">llapodásban (a továbbiakban: Megállapodás) kívánják szabályozni, figyelemmel a közúti közlekedésről szóló 1988. évi I. törvény (továbbiakban </w:t>
      </w:r>
      <w:proofErr w:type="spellStart"/>
      <w:r>
        <w:t>Kktv</w:t>
      </w:r>
      <w:proofErr w:type="spellEnd"/>
      <w:r>
        <w:t xml:space="preserve">.) 9/D. § (2)-(7) bekezdéseire is. </w:t>
      </w:r>
    </w:p>
    <w:p w14:paraId="13BB02AA" w14:textId="77777777" w:rsidR="00AE6413" w:rsidRDefault="0015619D">
      <w:pPr>
        <w:numPr>
          <w:ilvl w:val="0"/>
          <w:numId w:val="1"/>
        </w:numPr>
        <w:ind w:right="40"/>
      </w:pPr>
      <w:r>
        <w:t>Jelen Megállapodás 2. számú módosítására a kerületi önkormányzatok által el</w:t>
      </w:r>
      <w:r>
        <w:t>látott üzemeltetési feladatok körében biztosított parkolási szolgáltatással kapcsolatos pénzügyi és számviteli rendelkezések egységes szabályozása érdekében kerül sor a jelen Megállapodás III. pontban szabályozott felülvizsgálati eljárás eredményeként külö</w:t>
      </w:r>
      <w:r>
        <w:t>nös tekintettel a 23/2014. (VI.30.) NGM rendelet 2018. július 1-én hatályba lépő módosítására, a nemzeti mobil fizetési rendszerről szóló 2011. évi CC. törvény 4. § (1) bekezdésére, valamint a nemzeti mobil fizetési rendszerről szóló törvény végrehajtásáró</w:t>
      </w:r>
      <w:r>
        <w:t xml:space="preserve">l szóló 356/2012. (XII.13.) Korm. rendelet 3. § (1) bekezdésére, 17. § (1) bekezdésére és 32. § (3) bekezdésére.  </w:t>
      </w:r>
    </w:p>
    <w:p w14:paraId="08620057" w14:textId="77777777" w:rsidR="00AE6413" w:rsidRDefault="0015619D">
      <w:pPr>
        <w:spacing w:after="0" w:line="259" w:lineRule="auto"/>
        <w:ind w:left="211" w:firstLine="0"/>
        <w:jc w:val="left"/>
      </w:pPr>
      <w:r>
        <w:lastRenderedPageBreak/>
        <w:t xml:space="preserve"> </w:t>
      </w:r>
    </w:p>
    <w:p w14:paraId="32B3AF25" w14:textId="47F35E79" w:rsidR="00AE6413" w:rsidRDefault="0015619D">
      <w:pPr>
        <w:ind w:left="218" w:right="40"/>
      </w:pPr>
      <w:r>
        <w:t>Felek rögzítik, hogy a VII. kerületi Önkormányzat közigazgatási területén belül az általa kötelezően ellátott parkolási üzemeltetési felada</w:t>
      </w:r>
      <w:r>
        <w:t xml:space="preserve">tok körében, az irányadó pénzügyi és számviteli szabályozás értelmében a VII. kerületi Önkormányzat minősül parkolási közszolgáltatónak azzal, hogy a parkolás üzemeltetési feladatokat az </w:t>
      </w:r>
      <w:proofErr w:type="spellStart"/>
      <w:r>
        <w:t>Mötv</w:t>
      </w:r>
      <w:proofErr w:type="spellEnd"/>
      <w:r>
        <w:t>. 16/A. § szerinti, 100 %-os tulajdonában álló gazdasági társaság</w:t>
      </w:r>
      <w:r>
        <w:t xml:space="preserve"> által látja el. A fővárosi tulajdonban lévő várakozóhelyek tekintetében a VII. kerületi Önkormányzat, mint az </w:t>
      </w:r>
      <w:proofErr w:type="spellStart"/>
      <w:r>
        <w:t>Mötv</w:t>
      </w:r>
      <w:proofErr w:type="spellEnd"/>
      <w:r>
        <w:t>-ben törvényileg kijelölt üzemeltető a parkolásból származó bevételeket a jelen Megállapodásban szabályozott jogosultság és eljárásrend alapj</w:t>
      </w:r>
      <w:r>
        <w:t>án saját nevében szedi be, a szolgáltatás biztosításához szükséges szerződéseket saját nevében köti meg, a Fővárosi Önkormányzatot, mint a parkolás üzemeltetéssel érintett terület tulajdonosát megillető jogosultságok biztosítása mellett. A Fővárosi Önkormá</w:t>
      </w:r>
      <w:r>
        <w:t>nyzatot, mint tulajdonost a parkolási feltételrendszer biztosításért a VII. kerületi Önkormányzat által megfizetendő ellenérték illeti meg, melynek alapja a Fővárosi Önkormányzat tulajdonában lévő és erre a célra kialakított várakozóhelyek, mint tárgyi fel</w:t>
      </w:r>
      <w:r>
        <w:t xml:space="preserve">tétel biztosítása a teljes körű üzemeltetési feladatok ellátása érdekében. Ennek megfelelően pontosítani szükséges a parkolási üzemeltetéshez kapcsolódó díjbeszedési és elszámolási szabályokat a jelen, módosításokkal egységes Megállapodás keretén belül. </w:t>
      </w:r>
    </w:p>
    <w:p w14:paraId="5E7C2F5B" w14:textId="77777777" w:rsidR="0015619D" w:rsidRDefault="0015619D">
      <w:pPr>
        <w:ind w:left="218" w:right="40"/>
      </w:pPr>
    </w:p>
    <w:p w14:paraId="3252F85B" w14:textId="77777777" w:rsidR="00AE6413" w:rsidRDefault="0015619D">
      <w:pPr>
        <w:spacing w:after="8" w:line="259" w:lineRule="auto"/>
        <w:ind w:left="211" w:firstLine="0"/>
        <w:jc w:val="left"/>
      </w:pPr>
      <w:r>
        <w:t xml:space="preserve"> </w:t>
      </w:r>
    </w:p>
    <w:p w14:paraId="340E93B3" w14:textId="77777777" w:rsidR="00AE6413" w:rsidRDefault="0015619D">
      <w:pPr>
        <w:tabs>
          <w:tab w:val="center" w:pos="3760"/>
          <w:tab w:val="center" w:pos="5604"/>
        </w:tabs>
        <w:spacing w:after="224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I.</w:t>
      </w:r>
      <w:r>
        <w:t xml:space="preserve"> </w:t>
      </w:r>
      <w:r>
        <w:tab/>
        <w:t xml:space="preserve">A Megállapodás tárgya </w:t>
      </w:r>
    </w:p>
    <w:p w14:paraId="2E450F4C" w14:textId="77777777" w:rsidR="00AE6413" w:rsidRDefault="0015619D">
      <w:pPr>
        <w:ind w:left="283" w:right="40"/>
      </w:pPr>
      <w:r>
        <w:t>A.</w:t>
      </w:r>
      <w:r>
        <w:t xml:space="preserve"> </w:t>
      </w:r>
      <w:r>
        <w:t xml:space="preserve">Beruházási Feladatok ellátása </w:t>
      </w:r>
    </w:p>
    <w:p w14:paraId="2A68A536" w14:textId="77777777" w:rsidR="00AE6413" w:rsidRDefault="0015619D">
      <w:pPr>
        <w:spacing w:after="0" w:line="259" w:lineRule="auto"/>
        <w:ind w:left="638" w:firstLine="0"/>
        <w:jc w:val="left"/>
      </w:pPr>
      <w:r>
        <w:t xml:space="preserve"> </w:t>
      </w:r>
    </w:p>
    <w:p w14:paraId="0B96D0DA" w14:textId="77777777" w:rsidR="00AE6413" w:rsidRDefault="0015619D">
      <w:pPr>
        <w:ind w:left="218" w:right="40"/>
      </w:pPr>
      <w:r>
        <w:t>1.)</w:t>
      </w:r>
      <w:r>
        <w:t xml:space="preserve"> </w:t>
      </w:r>
      <w:r>
        <w:t>Felek megállapodnak, hogy a Kerületi Önkormányzat jogosult a Budapest Főváros közigazgatási területén a járművel várakozás rendjének egységes kialakításáról, a várakozás díjáról és az üze</w:t>
      </w:r>
      <w:r>
        <w:t>mképtelen járművek tárolásának szabályozásáról szóló mindenkor hatályos Fővárosi Közgyűlési rendeletben foglaltaknak megfelelő parkolással kapcsolatos, jelen Megállapodásban foglalt Beruházás elvégzésére jelen Megállapodás 4. számú mellékletében meghatároz</w:t>
      </w:r>
      <w:r>
        <w:t xml:space="preserve">ottak szerint az alábbi felsorolt utcák és helyrajzi számok vonatozásában. </w:t>
      </w:r>
    </w:p>
    <w:p w14:paraId="33D6F292" w14:textId="77777777" w:rsidR="00AE6413" w:rsidRDefault="0015619D">
      <w:pPr>
        <w:spacing w:line="259" w:lineRule="auto"/>
        <w:ind w:left="211" w:firstLine="0"/>
        <w:jc w:val="left"/>
      </w:pPr>
      <w:r>
        <w:t xml:space="preserve"> </w:t>
      </w:r>
    </w:p>
    <w:p w14:paraId="5824876E" w14:textId="77777777" w:rsidR="00AE6413" w:rsidRDefault="0015619D">
      <w:pPr>
        <w:numPr>
          <w:ilvl w:val="0"/>
          <w:numId w:val="2"/>
        </w:numPr>
        <w:ind w:right="40" w:hanging="720"/>
      </w:pPr>
      <w:r>
        <w:t xml:space="preserve">utca szerint: Damjanich utca 1-51. és 2-58., Lövölde tér, Városligeti fasor 1-51. (csak a páratlan oldal), Rottenbiller utca 3-51. és 4-66. </w:t>
      </w:r>
    </w:p>
    <w:p w14:paraId="0C6C703D" w14:textId="77777777" w:rsidR="00AE6413" w:rsidRDefault="0015619D">
      <w:pPr>
        <w:spacing w:after="9" w:line="259" w:lineRule="auto"/>
        <w:ind w:left="211" w:firstLine="0"/>
        <w:jc w:val="left"/>
      </w:pPr>
      <w:r>
        <w:t xml:space="preserve"> </w:t>
      </w:r>
    </w:p>
    <w:p w14:paraId="371A8F81" w14:textId="77777777" w:rsidR="00AE6413" w:rsidRDefault="0015619D">
      <w:pPr>
        <w:spacing w:after="41" w:line="259" w:lineRule="auto"/>
        <w:ind w:left="936" w:firstLine="0"/>
        <w:jc w:val="left"/>
      </w:pPr>
      <w:r>
        <w:t xml:space="preserve"> </w:t>
      </w:r>
    </w:p>
    <w:p w14:paraId="11001C50" w14:textId="77777777" w:rsidR="00AE6413" w:rsidRDefault="0015619D">
      <w:pPr>
        <w:numPr>
          <w:ilvl w:val="0"/>
          <w:numId w:val="2"/>
        </w:numPr>
        <w:ind w:right="40" w:hanging="720"/>
      </w:pPr>
      <w:r>
        <w:t xml:space="preserve">helyrajzi szám szerint: 33471 hrsz., 33530 hrsz., 33529 hrsz., 33531 hrsz. </w:t>
      </w:r>
    </w:p>
    <w:p w14:paraId="4C4AD160" w14:textId="77777777" w:rsidR="00AE6413" w:rsidRDefault="0015619D">
      <w:pPr>
        <w:spacing w:after="0" w:line="259" w:lineRule="auto"/>
        <w:ind w:left="931" w:firstLine="0"/>
        <w:jc w:val="left"/>
      </w:pPr>
      <w:r>
        <w:t xml:space="preserve"> </w:t>
      </w:r>
    </w:p>
    <w:p w14:paraId="6D4F1F12" w14:textId="77777777" w:rsidR="00AE6413" w:rsidRDefault="0015619D">
      <w:pPr>
        <w:spacing w:after="0" w:line="259" w:lineRule="auto"/>
        <w:ind w:left="211" w:firstLine="0"/>
        <w:jc w:val="left"/>
      </w:pPr>
      <w:r>
        <w:t xml:space="preserve"> </w:t>
      </w:r>
    </w:p>
    <w:p w14:paraId="0F67F585" w14:textId="77777777" w:rsidR="00AE6413" w:rsidRDefault="0015619D">
      <w:pPr>
        <w:numPr>
          <w:ilvl w:val="0"/>
          <w:numId w:val="3"/>
        </w:numPr>
        <w:ind w:right="40"/>
      </w:pPr>
      <w:r>
        <w:t>Felek rögzítik, hogy az I.A.1.)</w:t>
      </w:r>
      <w:r>
        <w:t xml:space="preserve"> (ii) pontban jelölt ingatlanok vonatkozásában Beruházás befejezését követően a Kerületi Önkormányzat köteles a Fővárosi Önkormányzat tulajdonában lévő közterületen kialakított parkolóhelyekkel kapcsolatos parkolás üzemeltetési feladatokat ellátni jelen Me</w:t>
      </w:r>
      <w:r>
        <w:t xml:space="preserve">gállapodás I. B. pontjában foglaltaknak megfelelően. </w:t>
      </w:r>
    </w:p>
    <w:p w14:paraId="2242AC16" w14:textId="77777777" w:rsidR="00AE6413" w:rsidRDefault="0015619D">
      <w:pPr>
        <w:spacing w:after="0" w:line="259" w:lineRule="auto"/>
        <w:ind w:left="919" w:firstLine="0"/>
        <w:jc w:val="left"/>
      </w:pPr>
      <w:r>
        <w:t xml:space="preserve"> </w:t>
      </w:r>
    </w:p>
    <w:p w14:paraId="72D08761" w14:textId="77777777" w:rsidR="00AE6413" w:rsidRDefault="0015619D">
      <w:pPr>
        <w:spacing w:after="18" w:line="259" w:lineRule="auto"/>
        <w:ind w:left="2736" w:firstLine="0"/>
        <w:jc w:val="left"/>
      </w:pPr>
      <w:r>
        <w:t xml:space="preserve"> </w:t>
      </w:r>
    </w:p>
    <w:p w14:paraId="44E687B4" w14:textId="77777777" w:rsidR="00AE6413" w:rsidRDefault="0015619D">
      <w:pPr>
        <w:numPr>
          <w:ilvl w:val="0"/>
          <w:numId w:val="3"/>
        </w:numPr>
        <w:ind w:right="40"/>
      </w:pPr>
      <w:r>
        <w:t>A jelen Megállapodásban foglalt Beruházás keretében jelen Megállapodás hatálybalépése idején fennálló állapothoz képest további 17 db automata, valamint a parkolóhelyek rendeltetésszerű használatáho</w:t>
      </w:r>
      <w:r>
        <w:t xml:space="preserve">z szükséges eszközök beszerzése és kihelyezése (pl.: közlekedési táblák, </w:t>
      </w:r>
      <w:proofErr w:type="spellStart"/>
      <w:r>
        <w:t>pollerek</w:t>
      </w:r>
      <w:proofErr w:type="spellEnd"/>
      <w:r>
        <w:t xml:space="preserve"> elhelyezése és útburkolati jelek felfestése) szükséges az I.A.1) (ii) pontban meghatározott ingatlanokon. </w:t>
      </w:r>
    </w:p>
    <w:p w14:paraId="5AF0DAC8" w14:textId="77777777" w:rsidR="00AE6413" w:rsidRDefault="0015619D">
      <w:pPr>
        <w:spacing w:after="0" w:line="259" w:lineRule="auto"/>
        <w:ind w:left="211" w:firstLine="0"/>
        <w:jc w:val="left"/>
      </w:pPr>
      <w:r>
        <w:lastRenderedPageBreak/>
        <w:t xml:space="preserve"> </w:t>
      </w:r>
    </w:p>
    <w:p w14:paraId="6506150D" w14:textId="77777777" w:rsidR="00AE6413" w:rsidRDefault="0015619D">
      <w:pPr>
        <w:numPr>
          <w:ilvl w:val="0"/>
          <w:numId w:val="3"/>
        </w:numPr>
        <w:ind w:right="40"/>
      </w:pPr>
      <w:r>
        <w:t>Felek megállapodnak, hogy a jelen Megállapodásban és az 4. számú mellékletben meghatározott Beruházást a Kerületi Önkormányzat saját költségén – a hatályos közbeszerzésekről szóló törvény rendelkezéseinek figyelembevételével – valósítja meg, mely során bes</w:t>
      </w:r>
      <w:r>
        <w:t>zerzett eszközök a Kerületi Önkormányzat tulajdonába és nyilvántartásába kerülnek. A Kerületi Önkormányzat saját költségén megvalósított Beruházás tekintetében jogosult az automaták után elszámolt értékcsökkenés összegét érvényesíteni a III. 2. pontban fog</w:t>
      </w:r>
      <w:r>
        <w:t xml:space="preserve">laltak alapján. Kerületi Önkormányzat tájékoztatja a Fővárosi Önkormányzatot, hogy a Beruházás megvalósításának várható határideje legkésőbb: 2020. </w:t>
      </w:r>
    </w:p>
    <w:p w14:paraId="3562913A" w14:textId="77777777" w:rsidR="00AE6413" w:rsidRDefault="0015619D">
      <w:pPr>
        <w:ind w:left="218" w:right="40"/>
      </w:pPr>
      <w:r>
        <w:t xml:space="preserve">november 30. </w:t>
      </w:r>
    </w:p>
    <w:p w14:paraId="216A416D" w14:textId="77777777" w:rsidR="00AE6413" w:rsidRDefault="0015619D">
      <w:pPr>
        <w:spacing w:after="0" w:line="259" w:lineRule="auto"/>
        <w:ind w:left="211" w:firstLine="0"/>
        <w:jc w:val="left"/>
      </w:pPr>
      <w:r>
        <w:t xml:space="preserve"> </w:t>
      </w:r>
    </w:p>
    <w:p w14:paraId="045CC6E5" w14:textId="77777777" w:rsidR="00AE6413" w:rsidRDefault="0015619D">
      <w:pPr>
        <w:numPr>
          <w:ilvl w:val="0"/>
          <w:numId w:val="3"/>
        </w:numPr>
        <w:ind w:right="40"/>
      </w:pPr>
      <w:r>
        <w:t>Felek rögzítik, hogy a Beruházás megvalósítása kapcsán egymással együttműködnek és folyamat</w:t>
      </w:r>
      <w:r>
        <w:t xml:space="preserve">osan tájékoztatják egymást annak megvalósulásáról. </w:t>
      </w:r>
    </w:p>
    <w:p w14:paraId="7646FFED" w14:textId="77777777" w:rsidR="00AE6413" w:rsidRDefault="0015619D">
      <w:pPr>
        <w:spacing w:after="0" w:line="259" w:lineRule="auto"/>
        <w:ind w:left="919" w:firstLine="0"/>
        <w:jc w:val="left"/>
      </w:pPr>
      <w:r>
        <w:t xml:space="preserve"> </w:t>
      </w:r>
    </w:p>
    <w:p w14:paraId="1CD524E8" w14:textId="77777777" w:rsidR="00AE6413" w:rsidRDefault="0015619D">
      <w:pPr>
        <w:numPr>
          <w:ilvl w:val="0"/>
          <w:numId w:val="3"/>
        </w:numPr>
        <w:ind w:right="40"/>
      </w:pPr>
      <w:r>
        <w:t>Abban az esetben, amennyiben működésképtelensége okán az automaták pótlásának, cseréjének igénye merülne fel, úgy a pótlás szükségességének szakmai indokairól a Felek előzetesen egyeztetnek. Pótlás indo</w:t>
      </w:r>
      <w:r>
        <w:t xml:space="preserve">koltsága esetén annak kötelezettsége a Kerületi Önkormányzatot terheli azzal, hogy ezt követően az általa </w:t>
      </w:r>
      <w:proofErr w:type="spellStart"/>
      <w:r>
        <w:t>pótolt</w:t>
      </w:r>
      <w:proofErr w:type="spellEnd"/>
      <w:r>
        <w:t xml:space="preserve"> automata is a saját tulajdonába és nyilvántartásába kerül. A Kerületi Önkormányzat jelen pontban foglalt kötelezettségének köteles a felmerülés</w:t>
      </w:r>
      <w:r>
        <w:t>t követően haladéktalanul eleget tenni. A Kerületi Önkormányzat jelen pontban foglaltak elmulasztásából, késedelméből eredő károk (különös tekintettel az elmaradt vagyoni előnyre) megtérítésére köteles a Fővárosi Önkormányzat részére. Az automata pótlása a</w:t>
      </w:r>
      <w:r>
        <w:t xml:space="preserve"> jelen Megállapodás I.A.) pontja szerinti beruházásnak minősül. </w:t>
      </w:r>
    </w:p>
    <w:p w14:paraId="37F58ADC" w14:textId="77777777" w:rsidR="00AE6413" w:rsidRDefault="0015619D">
      <w:pPr>
        <w:spacing w:after="0" w:line="259" w:lineRule="auto"/>
        <w:ind w:left="211" w:firstLine="0"/>
        <w:jc w:val="left"/>
      </w:pPr>
      <w:r>
        <w:t xml:space="preserve"> </w:t>
      </w:r>
    </w:p>
    <w:p w14:paraId="61DCE4B3" w14:textId="77777777" w:rsidR="00AE6413" w:rsidRDefault="0015619D">
      <w:pPr>
        <w:numPr>
          <w:ilvl w:val="0"/>
          <w:numId w:val="3"/>
        </w:numPr>
        <w:ind w:right="40"/>
      </w:pPr>
      <w:r>
        <w:t>A Kerületi Önkormányzat saját költségén beszerzett a Fővárosi Önkormányzat tulajdonában álló területeken további automaták telepítését – jelen Megállapodásban meghatározott Beruházáson kívü</w:t>
      </w:r>
      <w:r>
        <w:t>l - kizárólag a tulajdonos Fővárosi Önkormányzattal megkötött külön megállapodás, vagy jelen szerződés módosítása alapján végezheti azzal, hogy a saját költségén végzett beruházások, felújítások tekintetében jogosult az értékcsökkenést és kizárólag csak az</w:t>
      </w:r>
      <w:r>
        <w:t>t elszámolni a Fővárosi Önkormányzat felé. A Kerületi Önkormányzat saját költségén beszerzett eszközök a Kerületi Önkormányzat tulajdonába és nyilvántartásába kerülnek. Felek megállapodnak, hogy a jelen megállapodás 4. számú mellékletében foglalt Beruházás</w:t>
      </w:r>
      <w:r>
        <w:t xml:space="preserve"> megvalósításához a Fővárosi Önkormányzat jelen megállapodás aláírásával hozzájárul, azonban ez nem mentesíti a Kerületi Önkormányzatot a kivitelezés kapcsán a szükséges hozzájárulások beszerzése alól (pld: tulajdonosi, vagy kezelői nyilatkozat).  </w:t>
      </w:r>
    </w:p>
    <w:p w14:paraId="723E8B81" w14:textId="77777777" w:rsidR="00AE6413" w:rsidRDefault="0015619D">
      <w:pPr>
        <w:spacing w:after="18" w:line="259" w:lineRule="auto"/>
        <w:ind w:left="2736" w:firstLine="0"/>
        <w:jc w:val="left"/>
      </w:pPr>
      <w:r>
        <w:t xml:space="preserve"> </w:t>
      </w:r>
    </w:p>
    <w:p w14:paraId="647AC3F4" w14:textId="77777777" w:rsidR="00AE6413" w:rsidRDefault="0015619D">
      <w:pPr>
        <w:numPr>
          <w:ilvl w:val="0"/>
          <w:numId w:val="3"/>
        </w:numPr>
        <w:ind w:right="40"/>
      </w:pPr>
      <w:r>
        <w:t>A Kerületi Önkormányzat vállalja, hogy a parkolás-üzemeltetéshez szükséges 4. számú mellékletben foglalt Beruházás az I.A.4. pontban foglalt határidőn belül megvalósul és a forgalomtechnikai eszközök a beszerzés napjától szerződésszerű használatra alkalmas</w:t>
      </w:r>
      <w:r>
        <w:t xml:space="preserve">ak, üzemképesek, így a parkolás-üzemeltetési tevékenység – tervezetten – legkésőbb 2021. január 2. </w:t>
      </w:r>
    </w:p>
    <w:p w14:paraId="54BC5DA7" w14:textId="77777777" w:rsidR="00AE6413" w:rsidRDefault="0015619D">
      <w:pPr>
        <w:ind w:left="218" w:right="40"/>
      </w:pPr>
      <w:r>
        <w:t xml:space="preserve">napjával megkezdhető, folytatható. </w:t>
      </w:r>
    </w:p>
    <w:p w14:paraId="5961ACBA" w14:textId="77777777" w:rsidR="00AE6413" w:rsidRDefault="0015619D">
      <w:pPr>
        <w:spacing w:after="0" w:line="259" w:lineRule="auto"/>
        <w:ind w:left="919" w:firstLine="0"/>
        <w:jc w:val="left"/>
      </w:pPr>
      <w:r>
        <w:t xml:space="preserve"> </w:t>
      </w:r>
    </w:p>
    <w:p w14:paraId="132C4C57" w14:textId="77777777" w:rsidR="00AE6413" w:rsidRDefault="0015619D">
      <w:pPr>
        <w:spacing w:after="209"/>
        <w:ind w:left="283" w:right="40"/>
      </w:pPr>
      <w:r>
        <w:t>B.</w:t>
      </w:r>
      <w:r>
        <w:t xml:space="preserve"> </w:t>
      </w:r>
      <w:r>
        <w:t xml:space="preserve">Üzemeltetési Feladatok ellátása </w:t>
      </w:r>
    </w:p>
    <w:p w14:paraId="2579673F" w14:textId="77777777" w:rsidR="00AE6413" w:rsidRDefault="0015619D">
      <w:pPr>
        <w:numPr>
          <w:ilvl w:val="0"/>
          <w:numId w:val="4"/>
        </w:numPr>
        <w:ind w:right="93"/>
      </w:pPr>
      <w:r>
        <w:t xml:space="preserve">Annak érdekében, hogy a VII. kerületi Önkormányzat az </w:t>
      </w:r>
      <w:proofErr w:type="spellStart"/>
      <w:r>
        <w:t>Mötv</w:t>
      </w:r>
      <w:proofErr w:type="spellEnd"/>
      <w:r>
        <w:t>. 23. § (5) bekezdésének</w:t>
      </w:r>
      <w:r>
        <w:t xml:space="preserve"> 3. pontjában foglalt parkolás-üzemeltetési feladatot elláthassa, a Fővárosi Önkormányzat a nemzeti </w:t>
      </w:r>
      <w:r>
        <w:lastRenderedPageBreak/>
        <w:t xml:space="preserve">vagyonról szóló 2011. évi CXCVI. törvény 3. § 10. pont és 12. § (2) </w:t>
      </w:r>
      <w:proofErr w:type="spellStart"/>
      <w:r>
        <w:t>bek</w:t>
      </w:r>
      <w:proofErr w:type="spellEnd"/>
      <w:r>
        <w:t>. a) pontjára, a Fővárosi Önkormányzat tulajdonában álló közterületeken a járművel tö</w:t>
      </w:r>
      <w:r>
        <w:t xml:space="preserve">rténő várakozás biztosítása céljából, parkolási feltételrendszer biztosítása jogcímén átadja a VII. kerületi Önkormányzatnak, a VII. kerületi Önkormányzat közigazgatási területén lévő, valamennyi tulajdonában álló — az (i) és (ii) pontokban részletezett - </w:t>
      </w:r>
      <w:r>
        <w:t>közlekedési célú várakozási közterületet (a továbbiakban: Ingatlanok), valamint a várakozás idejét, módját jelzőközlekedési jelzőtáblák és pótlás szükségessége esetén parkolójegy-kiadó automaták elhelyezésének, továbbá a meglévő útburkolati jelek felfestés</w:t>
      </w:r>
      <w:r>
        <w:t xml:space="preserve">ének jogát és kötelezettségét az alább felsorolt utca és helyrajzi szám alatti területeken: </w:t>
      </w:r>
    </w:p>
    <w:p w14:paraId="3D7A93DC" w14:textId="77777777" w:rsidR="00AE6413" w:rsidRDefault="0015619D">
      <w:pPr>
        <w:spacing w:after="6" w:line="259" w:lineRule="auto"/>
        <w:ind w:left="1327" w:firstLine="0"/>
        <w:jc w:val="left"/>
      </w:pPr>
      <w:r>
        <w:t xml:space="preserve"> </w:t>
      </w:r>
    </w:p>
    <w:p w14:paraId="22872CB3" w14:textId="77777777" w:rsidR="00AE6413" w:rsidRDefault="0015619D">
      <w:pPr>
        <w:spacing w:after="28"/>
        <w:ind w:left="783" w:right="40"/>
      </w:pPr>
      <w:r>
        <w:t>(i)</w:t>
      </w:r>
      <w:r>
        <w:t xml:space="preserve"> </w:t>
      </w:r>
      <w:r>
        <w:t>utca szerint: Erzsébet krt., Károly krt., Rottenbiller u. 1-3, 2-4 és a felüljáró alatt, Baross tér 14-20., Thököly út Keleti Pályaudvartól a Dózsa György útig terjedő szakasza, valamint az I.A.1.) (i)pontban meghatározott ingatlanokon, a Beruházás megvaló</w:t>
      </w:r>
      <w:r>
        <w:t xml:space="preserve">sítását követően; </w:t>
      </w:r>
    </w:p>
    <w:p w14:paraId="36CA9756" w14:textId="77777777" w:rsidR="00AE6413" w:rsidRDefault="0015619D">
      <w:pPr>
        <w:spacing w:after="273"/>
        <w:ind w:left="218" w:right="143"/>
      </w:pPr>
      <w:r>
        <w:t>Helyrajzi szám szerint: 34058 hrsz., 34224 hrsz., 33531 hrsz., 32955/1 hrsz., 32955/2 hrsz., 32954 hrsz, valamint az I.A.1.) (ii) pontban meghatározott hrsz-ú ingatlanokon, a Beruházás megvalósítását követően. Ez a rendelkezés egyebekben</w:t>
      </w:r>
      <w:r>
        <w:t xml:space="preserve"> a Fővárosi Önkormányzatnak az Ingatlanokkal kapcsolatos tulajdonjogát és fenntartói kötelezettségeit nem érinti, az egyes Ingatlanok tekintetében a tulajdonjog változatlan marad. </w:t>
      </w:r>
    </w:p>
    <w:p w14:paraId="151C7C96" w14:textId="77777777" w:rsidR="00AE6413" w:rsidRDefault="0015619D">
      <w:pPr>
        <w:numPr>
          <w:ilvl w:val="0"/>
          <w:numId w:val="4"/>
        </w:numPr>
        <w:spacing w:after="236"/>
        <w:ind w:right="93"/>
      </w:pPr>
      <w:r>
        <w:t xml:space="preserve">Az </w:t>
      </w:r>
      <w:proofErr w:type="spellStart"/>
      <w:r>
        <w:t>Mötv</w:t>
      </w:r>
      <w:proofErr w:type="spellEnd"/>
      <w:r>
        <w:t>. 23. § (5) bekezdés 3. pontja szerinti parkolás-üzemeltetés keretéb</w:t>
      </w:r>
      <w:r>
        <w:t xml:space="preserve">en, a VII. kerületi Önkormányzat, a jelen Megállapodás I.A1.) és I.B1.) pontjában meghatározott Ingatlanokon különösen, de nem kizárólagosan az alábbi feladatok ellátására köteles: </w:t>
      </w:r>
    </w:p>
    <w:p w14:paraId="00E43EC4" w14:textId="77777777" w:rsidR="00AE6413" w:rsidRDefault="0015619D">
      <w:pPr>
        <w:spacing w:after="31"/>
        <w:ind w:left="945" w:right="144" w:hanging="559"/>
      </w:pPr>
      <w:r>
        <w:rPr>
          <w:noProof/>
        </w:rPr>
        <w:drawing>
          <wp:inline distT="0" distB="0" distL="0" distR="0" wp14:anchorId="395C476A" wp14:editId="242C864D">
            <wp:extent cx="137160" cy="137160"/>
            <wp:effectExtent l="0" t="0" r="0" b="0"/>
            <wp:docPr id="289" name="Picture 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Picture 2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az egységes parkolás-szabályozás I.A1.) és I.B1.) pontban meghatározott </w:t>
      </w:r>
      <w:r>
        <w:t xml:space="preserve">ingatlanokon történő bevezetésére a terület jellegéhez igazodó parkolással, a szabálytalan parkolások visszaszorítására, a környezeti ártalmak csökkentésére; </w:t>
      </w:r>
    </w:p>
    <w:p w14:paraId="4F48A87D" w14:textId="77777777" w:rsidR="00AE6413" w:rsidRDefault="0015619D">
      <w:pPr>
        <w:numPr>
          <w:ilvl w:val="0"/>
          <w:numId w:val="5"/>
        </w:numPr>
        <w:ind w:right="40" w:hanging="576"/>
      </w:pPr>
      <w:r>
        <w:t xml:space="preserve">a fizető várakozóhelyek üzemeltetésének biztosítására; </w:t>
      </w:r>
    </w:p>
    <w:p w14:paraId="3174A199" w14:textId="77777777" w:rsidR="00AE6413" w:rsidRDefault="0015619D">
      <w:pPr>
        <w:numPr>
          <w:ilvl w:val="0"/>
          <w:numId w:val="5"/>
        </w:numPr>
        <w:ind w:right="40" w:hanging="576"/>
      </w:pPr>
      <w:r>
        <w:t>a közterület észszerűbb parkolási célú fe</w:t>
      </w:r>
      <w:r>
        <w:t xml:space="preserve">lhasználásának megoldására; </w:t>
      </w:r>
    </w:p>
    <w:p w14:paraId="626835E2" w14:textId="77777777" w:rsidR="00AE6413" w:rsidRDefault="0015619D">
      <w:pPr>
        <w:numPr>
          <w:ilvl w:val="0"/>
          <w:numId w:val="5"/>
        </w:numPr>
        <w:spacing w:after="31"/>
        <w:ind w:right="40" w:hanging="576"/>
      </w:pPr>
      <w:r>
        <w:t xml:space="preserve">a szükséges forgalomtechnikai eszközök kihelyezésére, időszakos ellenőrzésére, szükség szerint módosítására, pótlására; </w:t>
      </w:r>
    </w:p>
    <w:p w14:paraId="52E80DFF" w14:textId="77777777" w:rsidR="00AE6413" w:rsidRDefault="0015619D">
      <w:pPr>
        <w:numPr>
          <w:ilvl w:val="0"/>
          <w:numId w:val="5"/>
        </w:numPr>
        <w:ind w:right="40" w:hanging="576"/>
      </w:pPr>
      <w:r>
        <w:t xml:space="preserve">a gyalogos felületek gépjárművektől való felszabadítására; </w:t>
      </w:r>
    </w:p>
    <w:p w14:paraId="2B6DC2E2" w14:textId="77777777" w:rsidR="00AE6413" w:rsidRDefault="0015619D">
      <w:pPr>
        <w:numPr>
          <w:ilvl w:val="0"/>
          <w:numId w:val="5"/>
        </w:numPr>
        <w:ind w:right="40" w:hanging="576"/>
      </w:pPr>
      <w:r>
        <w:t>a várakozási övezetek területén, a Budapest fő</w:t>
      </w:r>
      <w:r>
        <w:t xml:space="preserve">város közigazgatási területén a járművel várakozás rendjének egységes kialakításáról, a várakozás díjáról és az üzemképtelen járművek tárolásának szabályozásáról szóló mindenkor hatályos Fővárosi közgyűlési rendeletben (a továbbiakban: Parkolási Rendelet) </w:t>
      </w:r>
      <w:r>
        <w:t xml:space="preserve">meghatározott díjfizetési feltételekkel történő várakozás ellenőrzésére, </w:t>
      </w:r>
    </w:p>
    <w:p w14:paraId="2CDA2A60" w14:textId="77777777" w:rsidR="00AE6413" w:rsidRDefault="0015619D">
      <w:pPr>
        <w:numPr>
          <w:ilvl w:val="0"/>
          <w:numId w:val="5"/>
        </w:numPr>
        <w:ind w:right="40" w:hanging="576"/>
      </w:pPr>
      <w:r>
        <w:t xml:space="preserve">a Parkolási Rendelet és a </w:t>
      </w:r>
      <w:proofErr w:type="spellStart"/>
      <w:r>
        <w:t>Kktv</w:t>
      </w:r>
      <w:proofErr w:type="spellEnd"/>
      <w:r>
        <w:t xml:space="preserve">. szerinti várakozási díj és pótdíj saját nevében történő beszedésére és behajtására; </w:t>
      </w:r>
    </w:p>
    <w:p w14:paraId="48986949" w14:textId="77777777" w:rsidR="00AE6413" w:rsidRDefault="0015619D">
      <w:pPr>
        <w:numPr>
          <w:ilvl w:val="0"/>
          <w:numId w:val="5"/>
        </w:numPr>
        <w:spacing w:after="39"/>
        <w:ind w:right="40" w:hanging="576"/>
      </w:pPr>
      <w:r>
        <w:t>a parkolás üzemeltetéséhez és fejlesztéséhez szükséges eszközök b</w:t>
      </w:r>
      <w:r>
        <w:t>eszerzésének technikai előkészítésére, javaslattétel új várakozási övezetek kialakítására, a beruházások szakmai véleményezésére, új várakozási övezet kialakítása esetén az új övezet beruházás finanszírozásáról szóló külön megállapodás szerinti — kialakítá</w:t>
      </w:r>
      <w:r>
        <w:t xml:space="preserve">sának lebonyolítására; </w:t>
      </w:r>
    </w:p>
    <w:p w14:paraId="1A0BE924" w14:textId="77777777" w:rsidR="00AE6413" w:rsidRDefault="0015619D">
      <w:pPr>
        <w:numPr>
          <w:ilvl w:val="0"/>
          <w:numId w:val="5"/>
        </w:numPr>
        <w:spacing w:after="34"/>
        <w:ind w:right="40" w:hanging="576"/>
      </w:pPr>
      <w:r>
        <w:t xml:space="preserve">a használatra átvett eszközök, így különösen a parkolójegy-kiadó automaták üzemeltetésére, fenntartására és karbantartására; </w:t>
      </w:r>
    </w:p>
    <w:p w14:paraId="55FBD8D4" w14:textId="77777777" w:rsidR="00AE6413" w:rsidRDefault="0015619D">
      <w:pPr>
        <w:numPr>
          <w:ilvl w:val="0"/>
          <w:numId w:val="5"/>
        </w:numPr>
        <w:spacing w:after="326"/>
        <w:ind w:right="40" w:hanging="576"/>
      </w:pPr>
      <w:r>
        <w:t xml:space="preserve">ügyfélszolgálat működtetésére, a kapcsolódó kommunikációs feladatok ellátására; </w:t>
      </w:r>
    </w:p>
    <w:p w14:paraId="39BA132F" w14:textId="77777777" w:rsidR="00AE6413" w:rsidRDefault="0015619D">
      <w:pPr>
        <w:numPr>
          <w:ilvl w:val="0"/>
          <w:numId w:val="6"/>
        </w:numPr>
        <w:spacing w:after="45"/>
        <w:ind w:right="40"/>
      </w:pPr>
      <w:r>
        <w:lastRenderedPageBreak/>
        <w:t>Felek rögzítik, hogy a VII. kerületi Önkormányzat, a jelen Megállapodás I.A1.) és I.B1.) pontjában megjelölt Ingatlanokat kizárólagosan parkolás-üzemeltetési célra veszi át, amely Ingatlanokon jelen Megállapodás hatályba lépésének napjától jelen szerződésm</w:t>
      </w:r>
      <w:r>
        <w:t xml:space="preserve">ódosítás feltételei szerint köteles ellátni a parkolás-üzemeltetési feladatokat. </w:t>
      </w:r>
    </w:p>
    <w:p w14:paraId="327EC792" w14:textId="77777777" w:rsidR="00AE6413" w:rsidRDefault="0015619D">
      <w:pPr>
        <w:numPr>
          <w:ilvl w:val="0"/>
          <w:numId w:val="6"/>
        </w:numPr>
        <w:spacing w:after="1424"/>
        <w:ind w:right="40"/>
      </w:pPr>
      <w:r>
        <w:t>Budapest Főváros Önkormányzata kijelenti, hogy az üzemeltetésre átadott ingatlanok az üzemeltetés egész ideje alatt alkalmasak a szerződésszerű használatra, azaz azokat közte</w:t>
      </w:r>
      <w:r>
        <w:t xml:space="preserve">rületi fizető parkolás céljára lehet használni. Ezen rendelkezés azonban nem korlátozza a Fővárosi Önkormányzat közterületek hasznosítására vonatkozó, azaz a várakozási helyek parkolási céltól eltérő használatára való biztosításának jogát (például, de nem </w:t>
      </w:r>
      <w:r>
        <w:t>kizárólagosan: filmforgatás, rendezvény megtartása, építési célú használat). Ezekben az időszakokban várakozási díj és pótdíj nem szedhető, a várakozóhelyek nem üzemelnek. Ezen jog gyakorlása esetén ennek tényéről a Fővárosi Önkormányzat - az érintett férő</w:t>
      </w:r>
      <w:r>
        <w:t>hely(</w:t>
      </w:r>
      <w:proofErr w:type="spellStart"/>
      <w:r>
        <w:t>ek</w:t>
      </w:r>
      <w:proofErr w:type="spellEnd"/>
      <w:r>
        <w:t xml:space="preserve">) megjelölésével a közterület használat kezdő napját megelőző 3 nappal értesíti a VII. kerületi Önkormányzatot. </w:t>
      </w:r>
    </w:p>
    <w:p w14:paraId="44BAE92E" w14:textId="153DC9FF" w:rsidR="00AE6413" w:rsidRDefault="0015619D" w:rsidP="0015619D">
      <w:pPr>
        <w:pStyle w:val="Cmsor1"/>
        <w:spacing w:after="270"/>
        <w:ind w:left="926" w:right="0" w:hanging="730"/>
        <w:jc w:val="center"/>
      </w:pPr>
      <w:r>
        <w:t>A Felek jogai és kötelezettségei</w:t>
      </w:r>
    </w:p>
    <w:p w14:paraId="51906BF1" w14:textId="77777777" w:rsidR="00AE6413" w:rsidRDefault="0015619D">
      <w:pPr>
        <w:numPr>
          <w:ilvl w:val="0"/>
          <w:numId w:val="7"/>
        </w:numPr>
        <w:spacing w:after="297"/>
        <w:ind w:right="40"/>
      </w:pPr>
      <w:r>
        <w:t>A VII. kerületi Önkormányzat kötelezettséget vállal arra, hogy a parkolás-üzemeltetésre átvett Ingatla</w:t>
      </w:r>
      <w:r>
        <w:t xml:space="preserve">nokat </w:t>
      </w:r>
      <w:proofErr w:type="spellStart"/>
      <w:r>
        <w:t>rendeltetésszerűen</w:t>
      </w:r>
      <w:proofErr w:type="spellEnd"/>
      <w:r>
        <w:t xml:space="preserve"> használja, tevékenységét a vonatkozó jogszabályoknak megfelelően végzi. </w:t>
      </w:r>
    </w:p>
    <w:p w14:paraId="2C89DB69" w14:textId="77777777" w:rsidR="00AE6413" w:rsidRDefault="0015619D">
      <w:pPr>
        <w:numPr>
          <w:ilvl w:val="0"/>
          <w:numId w:val="7"/>
        </w:numPr>
        <w:spacing w:after="291"/>
        <w:ind w:right="40"/>
      </w:pPr>
      <w:r>
        <w:t>Felek rögzítik, hogy a jelen Megállapodás I. B. 1.) pontjában meghatározott Ingatlanokon, jelen Megállapodás aláírásának napján összesen 11 db parkolójegy-kia</w:t>
      </w:r>
      <w:r>
        <w:t>dó automata (a továbbiakban: Automata) üzemel. A férőhelyek száma az I. B. 1.) pontban meghatározott Ingatlanokon összesen 152 db., mely az I. A. beruházást követően 645 db-ra</w:t>
      </w:r>
      <w:r>
        <w:t xml:space="preserve"> emelkedik.  </w:t>
      </w:r>
    </w:p>
    <w:p w14:paraId="3FB32356" w14:textId="77777777" w:rsidR="00AE6413" w:rsidRDefault="0015619D">
      <w:pPr>
        <w:numPr>
          <w:ilvl w:val="0"/>
          <w:numId w:val="7"/>
        </w:numPr>
        <w:spacing w:after="303"/>
        <w:ind w:right="40"/>
      </w:pPr>
      <w:r>
        <w:t>Felek rögzítik, hogy a jelen Megállapodás II.2. pontjában meghatáro</w:t>
      </w:r>
      <w:r>
        <w:t xml:space="preserve">zott Automaták közül 9 db a Fővárosi Önkormányzat, 2 db a VII. kerületi Önkormányzat tulajdona.  </w:t>
      </w:r>
    </w:p>
    <w:p w14:paraId="565F6C10" w14:textId="77777777" w:rsidR="00AE6413" w:rsidRDefault="0015619D">
      <w:pPr>
        <w:numPr>
          <w:ilvl w:val="0"/>
          <w:numId w:val="7"/>
        </w:numPr>
        <w:spacing w:after="251"/>
        <w:ind w:right="40"/>
      </w:pPr>
      <w:r>
        <w:t xml:space="preserve">A beruházás megvalósítását követően az I. A. 1.) és az I. B. 1.) pontokban meghatározott ingatlanokon mindösszesen 28 db parkolójegy-kiadó automatából a VII. </w:t>
      </w:r>
      <w:r>
        <w:t>kerületi Önkormányzat, a tulajdonában lévő 19 db automata vonatkozásában elszámolhatja az üzemeltetési költségeket a III.2.) pont szerint a Fővárosi Önkormányzattal szemben. A VII. kerületi Önkormányzat a tulajdonában lévő automatákból befolyó bevétellel i</w:t>
      </w:r>
      <w:r>
        <w:t xml:space="preserve">s köteles jelen Megállapodás szerint a Fővárosi Önkormányzattal elszámolni. </w:t>
      </w:r>
      <w:r>
        <w:rPr>
          <w:sz w:val="22"/>
        </w:rPr>
        <w:t xml:space="preserve"> </w:t>
      </w:r>
    </w:p>
    <w:p w14:paraId="0CB6F011" w14:textId="77777777" w:rsidR="00AE6413" w:rsidRDefault="0015619D">
      <w:pPr>
        <w:numPr>
          <w:ilvl w:val="0"/>
          <w:numId w:val="7"/>
        </w:numPr>
        <w:spacing w:after="321"/>
        <w:ind w:right="40"/>
      </w:pPr>
      <w:r>
        <w:t xml:space="preserve">A Fővárosi Önkormányzat kötelezettséget vállal arra, hogy a tulajdonában álló és a jelen Megállapodás I.B 1.) pontjában megnevezett Ingatlanokon álló Automatákat — az </w:t>
      </w:r>
      <w:proofErr w:type="spellStart"/>
      <w:r>
        <w:t>Mötv</w:t>
      </w:r>
      <w:proofErr w:type="spellEnd"/>
      <w:r>
        <w:t>. 23.</w:t>
      </w:r>
      <w:r>
        <w:t xml:space="preserve"> § (5) bekezdés 3. pontja szerinti — parkolás-üzemeltetési közfeladatok jelen Megállapodásban foglalt keretek között történő ellátása céljából, e közfeladat ellátásához szükséges mértékben a VII. kerületi Önkormányzat használatába adja azzal, hogy ezen Aut</w:t>
      </w:r>
      <w:r>
        <w:t xml:space="preserve">omaták üzemeltetésével kapcsolatosan a VII. </w:t>
      </w:r>
      <w:r>
        <w:lastRenderedPageBreak/>
        <w:t>kerületi Önkormányzat költségek elszámolására a III. 2.) pont szerint jogosult. Felek megállapodnak, hogy a használatba adott Automaták rendeltetésszerű használatra alkalmas állapotban tartásához szükséges állagm</w:t>
      </w:r>
      <w:r>
        <w:t xml:space="preserve">egóvással, javítással járó költségeket, valamint minden további rendkívüli és egyéb költségeket — ideértve az alkatrészpótlás költségeit is —a VII. kerületi Önkormányzat viseli. Az használatba adott Automaták felsorolását és műszaki adatait a Megállapodás </w:t>
      </w:r>
      <w:r>
        <w:t xml:space="preserve">1. sz. melléklete tartalmazza. </w:t>
      </w:r>
    </w:p>
    <w:p w14:paraId="61246250" w14:textId="77777777" w:rsidR="00AE6413" w:rsidRDefault="0015619D">
      <w:pPr>
        <w:numPr>
          <w:ilvl w:val="0"/>
          <w:numId w:val="7"/>
        </w:numPr>
        <w:spacing w:after="352"/>
        <w:ind w:right="40"/>
      </w:pPr>
      <w:r>
        <w:t>Az Automaták pótlásának, cseréjének igénye esetén a pótlás szükségességének szakmai indokairól a Felek előzetesen egyeztetnek. Pótlás indokoltsága esetén annak kötelezettsége és költsége a VII. kerületi Önkormányzatot terhel</w:t>
      </w:r>
      <w:r>
        <w:t xml:space="preserve">i azzal, hogy ezt követően az általa </w:t>
      </w:r>
      <w:proofErr w:type="spellStart"/>
      <w:r>
        <w:t>pótolt</w:t>
      </w:r>
      <w:proofErr w:type="spellEnd"/>
      <w:r>
        <w:t xml:space="preserve"> Automata a saját tulajdonába és nyilvántartásába kerül. A VII. kerületi Önkormányzat a jelen pontban foglalt kötelezettségének köteles a felmerülést követően haladéktalanul eleget tenni, a jelen pontban foglaltak</w:t>
      </w:r>
      <w:r>
        <w:t xml:space="preserve"> elmulasztásából, késedelméből eredő károk (különös tekintettel az elmaradt vagyoni előnyre) megtérítésére köteles.  </w:t>
      </w:r>
    </w:p>
    <w:p w14:paraId="4BDC825C" w14:textId="77777777" w:rsidR="00AE6413" w:rsidRDefault="0015619D">
      <w:pPr>
        <w:numPr>
          <w:ilvl w:val="0"/>
          <w:numId w:val="7"/>
        </w:numPr>
        <w:spacing w:after="347"/>
        <w:ind w:right="40"/>
      </w:pPr>
      <w:r>
        <w:t>Felek rögzítik, hogy a VII. kerületi Önkormányzat a Fővárosi Önkormányzat tulajdonában álló területeken a rendszeres karbantartás eszközsz</w:t>
      </w:r>
      <w:r>
        <w:t>ükségletén túli beruházást, felújítást annak jellegétől és mértékétől függően kizárólag a tulajdonos Önkormányzattal kötött külön megállapodás, vagy jelen megállapodás módosítása alapján végezhet azzal, hogy a saját költségén végzett beruházások, felújítás</w:t>
      </w:r>
      <w:r>
        <w:t xml:space="preserve">ok tekintetében kizárólag csak az értékcsökkenést jogosult elszámolni a Fővárosi Önkormányzat felé. A VII. kerületi Önkormányzat saját költségén beszerzett eszközök a VII. kerületi Önkormányzat tulajdonába és nyilvántartásba kerülnek. </w:t>
      </w:r>
    </w:p>
    <w:p w14:paraId="6581E174" w14:textId="77777777" w:rsidR="00AE6413" w:rsidRDefault="0015619D">
      <w:pPr>
        <w:numPr>
          <w:ilvl w:val="0"/>
          <w:numId w:val="7"/>
        </w:numPr>
        <w:spacing w:after="518"/>
        <w:ind w:right="40"/>
      </w:pPr>
      <w:r>
        <w:t>A VII. kerületi Önko</w:t>
      </w:r>
      <w:r>
        <w:t xml:space="preserve">rmányzat kötelezettséget vállal minden további, a jelen Megállapodás I. pontjában meghatározott parkolás-üzemeltetési feladat ellátásához szükséges eszköz és erőforrás biztosítására. </w:t>
      </w:r>
    </w:p>
    <w:p w14:paraId="42B31DC5" w14:textId="77777777" w:rsidR="00AE6413" w:rsidRDefault="0015619D">
      <w:pPr>
        <w:pStyle w:val="Cmsor1"/>
        <w:ind w:left="1698" w:right="0" w:hanging="400"/>
      </w:pPr>
      <w:r>
        <w:t xml:space="preserve">A parkolási feltételrendszer biztosításához kapcsolódó elszámolási rendszer </w:t>
      </w:r>
    </w:p>
    <w:p w14:paraId="6C89E75B" w14:textId="77777777" w:rsidR="00AE6413" w:rsidRDefault="0015619D">
      <w:pPr>
        <w:spacing w:after="0" w:line="259" w:lineRule="auto"/>
        <w:ind w:left="1298" w:firstLine="0"/>
        <w:jc w:val="left"/>
      </w:pPr>
      <w:r>
        <w:t xml:space="preserve"> </w:t>
      </w:r>
    </w:p>
    <w:p w14:paraId="017D7145" w14:textId="77777777" w:rsidR="00AE6413" w:rsidRDefault="0015619D">
      <w:pPr>
        <w:spacing w:after="6" w:line="259" w:lineRule="auto"/>
        <w:ind w:left="1298" w:firstLine="0"/>
        <w:jc w:val="left"/>
      </w:pPr>
      <w:r>
        <w:t xml:space="preserve"> </w:t>
      </w:r>
    </w:p>
    <w:p w14:paraId="446F0410" w14:textId="77777777" w:rsidR="00AE6413" w:rsidRDefault="0015619D">
      <w:pPr>
        <w:numPr>
          <w:ilvl w:val="0"/>
          <w:numId w:val="8"/>
        </w:numPr>
        <w:spacing w:after="284"/>
        <w:ind w:right="123"/>
      </w:pPr>
      <w:r>
        <w:t xml:space="preserve">Felek megállapodnak, hogy a </w:t>
      </w:r>
      <w:proofErr w:type="spellStart"/>
      <w:r>
        <w:t>Kktv</w:t>
      </w:r>
      <w:proofErr w:type="spellEnd"/>
      <w:r>
        <w:t>. 9/D § (6) bekezdésére tekintettel a VII. kerületi Önkormányzat a Fővárosi Önkormányzat tulajdonában álló fizető közterületi várakozóhelyek ut</w:t>
      </w:r>
      <w:r>
        <w:t>án üzemeltetőként a saját nevében beszedett díjakat és pótdíjakat (ideértve a pótdíjakhoz és behajtásukhoz kapcsolódó kamatokat, költségeket, a továbbiakban: pótdíj) a többi parkolási bevételtől elkülönítetten szedi be és tartja nyilván a Fővárosi Önkormán</w:t>
      </w:r>
      <w:r>
        <w:t>yzattal való elszámolás érdekében. A parkolási feltételrendszer biztosításáról a Fővárosi Önkormányzat havonta számlát állít ki adótartalom feltüntetésével a VII. kerületi Önkormányzat felé.  A számla nettó összege a fővárosi tulajdonú területeken beszedet</w:t>
      </w:r>
      <w:r>
        <w:t xml:space="preserve">t nettó várakozási és pótdíjak, valamint a Fővárosi Önkormányzat által elismert közterületi parkoláshoz kapcsolódó nettó üzemeltetési költségek– ideértve a számított „észszerű nyereség” különbözete. </w:t>
      </w:r>
      <w:r>
        <w:rPr>
          <w:sz w:val="22"/>
        </w:rPr>
        <w:t xml:space="preserve"> </w:t>
      </w:r>
    </w:p>
    <w:p w14:paraId="71FBA2CB" w14:textId="77777777" w:rsidR="00AE6413" w:rsidRDefault="0015619D">
      <w:pPr>
        <w:numPr>
          <w:ilvl w:val="0"/>
          <w:numId w:val="8"/>
        </w:numPr>
        <w:spacing w:after="275"/>
        <w:ind w:right="123"/>
      </w:pPr>
      <w:r>
        <w:t xml:space="preserve">Felek megállapodnak, hogy a VII. kerületi Önkormányzat </w:t>
      </w:r>
      <w:r>
        <w:t>a Fővárosi Önkormányzat tulajdonában álló várakozóhelyek után - a III. 1.) pont szerint elkülönítetten - beszedett nettó parkolási bevételből (díj, pótdíj, egyéb) nettó összegéből levonja a kizárólag és közvetlenül a Fővárosi Önkormányzat tulajdonában álló</w:t>
      </w:r>
      <w:r>
        <w:t xml:space="preserve"> várakozóhelyekkel összefüggő, a 2. számú melléklet </w:t>
      </w:r>
      <w:r>
        <w:lastRenderedPageBreak/>
        <w:t>szerinti költségtétel kimutatásban feltüntetett, ténylegesen felmerült bizonylatokkal alátámasztott, leigazolt közvetlen és közvetett szükséges nettó költségek összegét, valamint a III. 4.) pontban részle</w:t>
      </w:r>
      <w:r>
        <w:t>tezett összeget, majd a levonás után fennmaradó különbség adóval növelt összegét a Fővárosi Önkormányzat OTP Banknál vezetett 11784009-15490012 számú pénzforgalmi számlájára a III. 1.) pont szerint kiállított számla ellenében a számlán feltüntetett fizetés</w:t>
      </w:r>
      <w:r>
        <w:t>i határidő figyelembevételével átutalja. A Felek a szolgáltatás ellenértékét az általános forgalmi adóról szóló 2007. évi CXXVII. törvény 58. §-</w:t>
      </w:r>
      <w:proofErr w:type="spellStart"/>
      <w:r>
        <w:t>ában</w:t>
      </w:r>
      <w:proofErr w:type="spellEnd"/>
      <w:r>
        <w:t xml:space="preserve"> foglaltak alapján havonta állapítják meg.  </w:t>
      </w:r>
    </w:p>
    <w:p w14:paraId="5DA127E7" w14:textId="77777777" w:rsidR="00AE6413" w:rsidRDefault="0015619D">
      <w:pPr>
        <w:spacing w:after="45"/>
        <w:ind w:left="324" w:right="40"/>
      </w:pPr>
      <w:r>
        <w:t>Felek megállapodnak abban, hogy átutalás teljesítésére nem kerü</w:t>
      </w:r>
      <w:r>
        <w:t>l sor abban az esetben, ha a tárgyhóban befolyó parkolási nettó bevétel összege nem haladja meg az e pont szerint levonásba helyezhető nettó költségtételek összegét. Ilyen esetben, a tárgyhónapban a nettó bevételből le nem vonható, fennmaradó nettó költség</w:t>
      </w:r>
      <w:r>
        <w:t>ek (ide nem értve a III. 4.) pontban rögzített összeget) — amennyiben van ilyen - elszámolására a következő olyan hónapban vagy hónapokban kerül sor, amikor a bevétel összege meghaladja a költségek összegét. A nettó költségek érvényesítésére csak a nettó b</w:t>
      </w:r>
      <w:r>
        <w:t>evétellel szemben és annak erejéig kerülhet sor, bevétellel nem fedezett költséget a Fővárosi Önkormányzat jelen szerződés teljesítése során külön nem térít. Ebben az esetben is minden tárgyhót követő hó 15. napjáig elektronikusan, minden tárgyhót követő h</w:t>
      </w:r>
      <w:r>
        <w:t>ónap 20. napjáig papíron adatot kell szolgáltatni a Fővárosi Önkormányzat tulajdonában lévő várakozóhelyeken a kerületi Önkormányzat által saját nevében beszedett nettó bevételekről és a befolyt pótdíjakról, és legfeljebb ennek az összegnek az erejéig a ne</w:t>
      </w:r>
      <w:r>
        <w:t xml:space="preserve">ttó költségekről a Fővárosi Önkormányzat részére be kell nyújtani az üzemeltetéshez kapcsolódó a VII. kerületi Önkormányzat által leigazolt költségszámlákat. </w:t>
      </w:r>
    </w:p>
    <w:p w14:paraId="0A84A0F6" w14:textId="77777777" w:rsidR="00AE6413" w:rsidRDefault="0015619D">
      <w:pPr>
        <w:numPr>
          <w:ilvl w:val="0"/>
          <w:numId w:val="8"/>
        </w:numPr>
        <w:ind w:right="123"/>
      </w:pPr>
      <w:r>
        <w:t xml:space="preserve">A VII. kerületi Önkormányzat papíron írásban, tételes kimutatást küld a Fővárosi Önkormányzatnak </w:t>
      </w:r>
      <w:r>
        <w:t>arról, hogy tárgyhóban mekkora volt a Főváros tulajdonában álló Ingatlanokon a teljes nettó várakozási díj és pótdíj bevétel, a VII. kerületi Önkormányzat által készített kimutatással együtt számlákkal igazolja, hogy tételesen milyen költségek és hogyan ke</w:t>
      </w:r>
      <w:r>
        <w:t xml:space="preserve">rültek elszámolásra. </w:t>
      </w:r>
    </w:p>
    <w:p w14:paraId="1D1FC141" w14:textId="77777777" w:rsidR="00AE6413" w:rsidRDefault="0015619D">
      <w:pPr>
        <w:ind w:left="218" w:right="40"/>
      </w:pPr>
      <w:r>
        <w:t>Felek megállapodnak, hogy a közvetett költségeket a Felek olyan arányban viselik, amilyen arányú a Fővárosi Önkormányzat tulajdonában álló férőhelyek száma a férőhelyek teljes (Fővárosi Önkormányzat + VII. Kerületi Önkormányzat tulajd</w:t>
      </w:r>
      <w:r>
        <w:t xml:space="preserve">onában lévő férőhelyek) számához képest (férőhely arányszám).   </w:t>
      </w:r>
    </w:p>
    <w:p w14:paraId="6645A3D1" w14:textId="77777777" w:rsidR="00AE6413" w:rsidRDefault="0015619D">
      <w:pPr>
        <w:ind w:left="218" w:right="40"/>
      </w:pPr>
      <w:r>
        <w:t>A Fővárosi Önkormányzat az elszámolás elektronikus úton történő kézhezvételétől számított 20 napon belül a részére megküldött dokumentumokat felülvizsgálja és annak helyességét elektronikus ú</w:t>
      </w:r>
      <w:r>
        <w:t xml:space="preserve">ton a VII. kerületi Önkormányzat részére visszaigazolja.  </w:t>
      </w:r>
    </w:p>
    <w:p w14:paraId="18AA7487" w14:textId="77777777" w:rsidR="00AE6413" w:rsidRDefault="0015619D">
      <w:pPr>
        <w:ind w:left="218" w:right="40"/>
      </w:pPr>
      <w:r>
        <w:t xml:space="preserve">Az elfogadott elszámolás alapján a Fővárosi Önkormányzat a számlát kiállítja és 5 munkanapon belül megküldi a VII. kerületi Önkormányzat részére. A számla fizetési határideje a számla kiállításától számított 20 naptári nap.  </w:t>
      </w:r>
    </w:p>
    <w:p w14:paraId="5E450C39" w14:textId="77777777" w:rsidR="00AE6413" w:rsidRDefault="0015619D">
      <w:pPr>
        <w:ind w:left="218" w:right="40"/>
      </w:pPr>
      <w:r>
        <w:t>Felek megállapodnak, hogy amen</w:t>
      </w:r>
      <w:r>
        <w:t>nyiben a gépjármű üzembentartó által fizetett várakozási díj nem a parkolási szolgáltatás igénybevételének helye szerinti tulajdonos javára lett elkülönítve, hanem a másik Fél tulajdonát képező terület bevételeként (átparkolás), úgy a várakozási esemény ad</w:t>
      </w:r>
      <w:r>
        <w:t xml:space="preserve">atait a VII. kerületi Önkormányzat rögzíti, nyilvántartja, és a következő havi elszámolás alkalmával rendezi.  </w:t>
      </w:r>
    </w:p>
    <w:p w14:paraId="19F2D4DB" w14:textId="77777777" w:rsidR="00AE6413" w:rsidRDefault="0015619D">
      <w:pPr>
        <w:spacing w:after="0" w:line="259" w:lineRule="auto"/>
        <w:ind w:left="226" w:firstLine="0"/>
        <w:jc w:val="left"/>
      </w:pPr>
      <w:r>
        <w:rPr>
          <w:sz w:val="22"/>
        </w:rPr>
        <w:t xml:space="preserve"> </w:t>
      </w:r>
    </w:p>
    <w:p w14:paraId="13DC897D" w14:textId="77777777" w:rsidR="00AE6413" w:rsidRDefault="0015619D">
      <w:pPr>
        <w:spacing w:after="9" w:line="259" w:lineRule="auto"/>
        <w:ind w:left="211" w:firstLine="0"/>
        <w:jc w:val="left"/>
      </w:pPr>
      <w:r>
        <w:t xml:space="preserve"> </w:t>
      </w:r>
    </w:p>
    <w:p w14:paraId="0E932F2B" w14:textId="77777777" w:rsidR="00AE6413" w:rsidRDefault="0015619D">
      <w:pPr>
        <w:spacing w:after="292"/>
        <w:ind w:left="218" w:right="130"/>
      </w:pPr>
      <w:r>
        <w:t xml:space="preserve">Felek megállapodnak, hogy a parkolással összefüggően felmerülő, jelen Megállapodás III. </w:t>
      </w:r>
      <w:proofErr w:type="gramStart"/>
      <w:r>
        <w:t>1.)-</w:t>
      </w:r>
      <w:proofErr w:type="gramEnd"/>
      <w:r>
        <w:t xml:space="preserve"> 3.) pontjában foglalt elszámolás rendszerét minden év október 15. napjáig felülvizsgálják és az adott </w:t>
      </w:r>
      <w:r>
        <w:lastRenderedPageBreak/>
        <w:t>év tapasztalatai alapján szükség szerint módosíthatják. Felek</w:t>
      </w:r>
      <w:r>
        <w:t xml:space="preserve"> rögzítik továbbá, hogy a Fővárosi Önkormányzat költségvetési koncepciójának összeállításához a következő évre vonatkozóan mind a bevételek, mind a kiadások tekintetében a VII. kerületi Önkormányzat jelen pontban meghatározott határidőig adatot szolgáltat.</w:t>
      </w:r>
      <w:r>
        <w:t xml:space="preserve"> </w:t>
      </w:r>
    </w:p>
    <w:p w14:paraId="3F854549" w14:textId="77777777" w:rsidR="00AE6413" w:rsidRDefault="0015619D">
      <w:pPr>
        <w:numPr>
          <w:ilvl w:val="0"/>
          <w:numId w:val="9"/>
        </w:numPr>
        <w:spacing w:after="308"/>
        <w:ind w:right="40" w:hanging="691"/>
      </w:pPr>
      <w:r>
        <w:t>Felek megállapodnak abban, hogy a VII. kerületi Önkormányzat a III. 2.) pontban részletezett felmerült költségein belül, külön költségelemként nevesítve „észszerű nyereségre” is jogosult. Az „észszerű nyereség” havi összegét a Felek a Fővárosi Önkormányz</w:t>
      </w:r>
      <w:r>
        <w:t>atot havonta megillető bevétel, különbözet (nettó bevételek mínusz elismert nettó költség) 5%-</w:t>
      </w:r>
      <w:proofErr w:type="spellStart"/>
      <w:r>
        <w:t>ában</w:t>
      </w:r>
      <w:proofErr w:type="spellEnd"/>
      <w:r>
        <w:t xml:space="preserve"> határozzák meg. Az „ésszerű nyereség” érvényesítésére a III. 2) pontban foglaltaknak megfelelően kerül sor. Szerződő Felek rögzítik, hogy ennek megfelelően a</w:t>
      </w:r>
      <w:r>
        <w:t xml:space="preserve">z „ésszerű” nyereségre a VII. kerületi Önkormányzat csak abban az esetben jogosult, amennyiben a fővárosi tulajdonú várakozási helyek tekintetében az adott tárgy hónapban a bevétel költségekkel csökkentett összege nagyobb, mint nulla. Felek rögzítik, hogy </w:t>
      </w:r>
      <w:r>
        <w:t xml:space="preserve">a VII. kerületi Önkormányzat a parkolás-üzemeltetési feladatokat nem közvetlenül, hanem az </w:t>
      </w:r>
      <w:proofErr w:type="spellStart"/>
      <w:r>
        <w:t>Mötv</w:t>
      </w:r>
      <w:proofErr w:type="spellEnd"/>
      <w:r>
        <w:t>. 16/A §-a szerinti szolgáltató útján látja el, így amennyiben a szolgáltatóval kötött szerződésben szerepel ésszerű nyereség, azt nem a III.2.) pont szerinti kö</w:t>
      </w:r>
      <w:r>
        <w:t xml:space="preserve">zvetlen és közvetett nettó költségek között mutatja ki, hanem jelen pontban meghatározott „ésszerű nyereség” terhére kerül elszámolásra. </w:t>
      </w:r>
    </w:p>
    <w:p w14:paraId="76BFD1FD" w14:textId="77777777" w:rsidR="00AE6413" w:rsidRDefault="0015619D">
      <w:pPr>
        <w:numPr>
          <w:ilvl w:val="0"/>
          <w:numId w:val="9"/>
        </w:numPr>
        <w:ind w:right="40" w:hanging="691"/>
      </w:pPr>
      <w:r>
        <w:t xml:space="preserve">A VII. kerületi Önkormányzat 5 napot meghaladó késedelem esetén a Polgári </w:t>
      </w:r>
    </w:p>
    <w:p w14:paraId="37E7DA43" w14:textId="77777777" w:rsidR="00AE6413" w:rsidRDefault="0015619D">
      <w:pPr>
        <w:spacing w:after="307"/>
        <w:ind w:left="218" w:right="124"/>
      </w:pPr>
      <w:r>
        <w:t xml:space="preserve">Törvénykönyvről szóló 2013. évi V. törvény </w:t>
      </w:r>
      <w:r>
        <w:t>(továbbiakban: Ptk.) kamatszámítási szabályai szerint meghatározott mértékű késedelmi kamatot köteles fizetni a Fővárosi Önkormányzat részére, amennyiben a jelen Megállapodás III.2.) pontjában meghatározott számlát késedelmesen fizeti meg a Fővárosi Önkorm</w:t>
      </w:r>
      <w:r>
        <w:t xml:space="preserve">ányzatnak. </w:t>
      </w:r>
    </w:p>
    <w:p w14:paraId="54ACFFD9" w14:textId="77777777" w:rsidR="00AE6413" w:rsidRDefault="0015619D">
      <w:pPr>
        <w:numPr>
          <w:ilvl w:val="0"/>
          <w:numId w:val="9"/>
        </w:numPr>
        <w:ind w:right="40" w:hanging="691"/>
      </w:pPr>
      <w:r>
        <w:t xml:space="preserve">Felek megállapodnak, hogy a jelen Megállapodás végrehajtásának felügyeletére és a Megállapodás III. </w:t>
      </w:r>
      <w:proofErr w:type="gramStart"/>
      <w:r>
        <w:t>1.)-</w:t>
      </w:r>
      <w:proofErr w:type="gramEnd"/>
      <w:r>
        <w:t xml:space="preserve">4. ) pontjaiban meghatározott elszámolás szabályszerűségének biztosítására </w:t>
      </w:r>
    </w:p>
    <w:p w14:paraId="0BE01AED" w14:textId="77777777" w:rsidR="00AE6413" w:rsidRDefault="0015619D">
      <w:pPr>
        <w:numPr>
          <w:ilvl w:val="1"/>
          <w:numId w:val="9"/>
        </w:numPr>
        <w:ind w:left="1371" w:right="40" w:hanging="418"/>
      </w:pPr>
      <w:r>
        <w:t>a Fővárosi Önkormányzat részéről az operatív kapcsolattartó álta</w:t>
      </w:r>
      <w:r>
        <w:t xml:space="preserve">l erre a feladatra kijelölt személy, </w:t>
      </w:r>
    </w:p>
    <w:p w14:paraId="2F75A993" w14:textId="77777777" w:rsidR="00AE6413" w:rsidRDefault="0015619D">
      <w:pPr>
        <w:numPr>
          <w:ilvl w:val="1"/>
          <w:numId w:val="9"/>
        </w:numPr>
        <w:spacing w:after="329"/>
        <w:ind w:left="1371" w:right="40" w:hanging="418"/>
      </w:pPr>
      <w:r>
        <w:t xml:space="preserve">a VII. kerületi Önkormányzat részéről a polgármester által erre a feladatra kijelölt személy jogosult. </w:t>
      </w:r>
    </w:p>
    <w:p w14:paraId="4FF73E13" w14:textId="77777777" w:rsidR="00AE6413" w:rsidRDefault="0015619D">
      <w:pPr>
        <w:numPr>
          <w:ilvl w:val="0"/>
          <w:numId w:val="9"/>
        </w:numPr>
        <w:ind w:right="40" w:hanging="691"/>
      </w:pPr>
      <w:r>
        <w:t xml:space="preserve">A jelen Megállapodás III. 6.) pontjában megjelölt személyek: </w:t>
      </w:r>
    </w:p>
    <w:p w14:paraId="5B15384A" w14:textId="77777777" w:rsidR="00AE6413" w:rsidRDefault="0015619D">
      <w:pPr>
        <w:numPr>
          <w:ilvl w:val="1"/>
          <w:numId w:val="9"/>
        </w:numPr>
        <w:ind w:left="1371" w:right="40" w:hanging="418"/>
      </w:pPr>
      <w:r>
        <w:t>kötelesek a jelen Megállapodás teljesítését, valamin</w:t>
      </w:r>
      <w:r>
        <w:t xml:space="preserve">t a jelen Megállapodás III. </w:t>
      </w:r>
      <w:proofErr w:type="gramStart"/>
      <w:r>
        <w:t>1.)-</w:t>
      </w:r>
      <w:proofErr w:type="gramEnd"/>
      <w:r>
        <w:t xml:space="preserve">4.) pontjai szerinti elszámolás szabályszerűségét felügyelni. </w:t>
      </w:r>
    </w:p>
    <w:p w14:paraId="581D6378" w14:textId="77777777" w:rsidR="00AE6413" w:rsidRDefault="0015619D">
      <w:pPr>
        <w:numPr>
          <w:ilvl w:val="1"/>
          <w:numId w:val="9"/>
        </w:numPr>
        <w:ind w:left="1371" w:right="40" w:hanging="418"/>
      </w:pPr>
      <w:r>
        <w:t>jogosultak a parkolás üzemeltetési tevékenységgel kapcsolatos szerződésekbe, számlákba, nyilvántartási rendszerekbe és bankszámlaforgalomba betekinteni, a parkol</w:t>
      </w:r>
      <w:r>
        <w:t xml:space="preserve">ás-üzemeltetési tevékenységből folyó bevételi és kiadási összesítőket, valamint a folyamatban lévő peres és végrehajtási eljárásokat megismerni, </w:t>
      </w:r>
    </w:p>
    <w:p w14:paraId="7A7DE4B5" w14:textId="77777777" w:rsidR="00AE6413" w:rsidRDefault="0015619D">
      <w:pPr>
        <w:numPr>
          <w:ilvl w:val="1"/>
          <w:numId w:val="9"/>
        </w:numPr>
        <w:spacing w:after="587"/>
        <w:ind w:left="1371" w:right="40" w:hanging="418"/>
      </w:pPr>
      <w:r>
        <w:t>kötelesek bármelyik Fél írásos felhívására a Megállapodás teljesítésével kapcsolatban, a felhívás kézhezvételé</w:t>
      </w:r>
      <w:r>
        <w:t xml:space="preserve">től számított 8 napon belül írásos jelentést készíteni. </w:t>
      </w:r>
    </w:p>
    <w:p w14:paraId="4ABBE618" w14:textId="77777777" w:rsidR="00AE6413" w:rsidRDefault="0015619D">
      <w:pPr>
        <w:spacing w:after="235" w:line="265" w:lineRule="auto"/>
        <w:ind w:left="693" w:right="197" w:hanging="10"/>
        <w:jc w:val="center"/>
      </w:pPr>
      <w:r>
        <w:rPr>
          <w:sz w:val="26"/>
        </w:rPr>
        <w:lastRenderedPageBreak/>
        <w:t>IV.</w:t>
      </w:r>
      <w:r>
        <w:rPr>
          <w:sz w:val="26"/>
        </w:rPr>
        <w:t xml:space="preserve"> </w:t>
      </w:r>
      <w:r>
        <w:t xml:space="preserve">A Megállapodás hatálya </w:t>
      </w:r>
    </w:p>
    <w:p w14:paraId="257707C1" w14:textId="77777777" w:rsidR="00AE6413" w:rsidRDefault="0015619D">
      <w:pPr>
        <w:numPr>
          <w:ilvl w:val="0"/>
          <w:numId w:val="10"/>
        </w:numPr>
        <w:spacing w:after="269"/>
        <w:ind w:right="40"/>
      </w:pPr>
      <w:r>
        <w:t xml:space="preserve">Jelen Megállapodás egységes szerkezetben foglalt módosításai </w:t>
      </w:r>
      <w:r>
        <w:rPr>
          <w:sz w:val="22"/>
        </w:rPr>
        <w:t xml:space="preserve">a Felek általi aláírás napján, eltérő időpontú aláírások esetén a későbbi aláírás </w:t>
      </w:r>
      <w:r>
        <w:t>napján lépnek hatályba, a Me</w:t>
      </w:r>
      <w:r>
        <w:t xml:space="preserve">gállapodás határozatlan időtartamra szól. </w:t>
      </w:r>
    </w:p>
    <w:p w14:paraId="62713334" w14:textId="77777777" w:rsidR="00AE6413" w:rsidRDefault="0015619D">
      <w:pPr>
        <w:numPr>
          <w:ilvl w:val="0"/>
          <w:numId w:val="10"/>
        </w:numPr>
        <w:ind w:right="40"/>
      </w:pPr>
      <w:r>
        <w:t>Jelen Megállapodást bármelyik Fél rendes felmondással a naptári év utolsó napjára felmondhatja. A felmondást legalább három hónappal a naptári év utolsó napját megelőzően közölni kell a másik Féllel. A felmondás kizárólag írásban érvényes. Felek megállapod</w:t>
      </w:r>
      <w:r>
        <w:t xml:space="preserve">nak, hogy súlyos szerződésszegésnek és rendkívüli (azonnali hatályú, írásban közlendő és indoklással ellátandó) felmondási oknak tekintik a jelen szerződés I. 2.) II. </w:t>
      </w:r>
      <w:proofErr w:type="gramStart"/>
      <w:r>
        <w:t>4.)-</w:t>
      </w:r>
      <w:proofErr w:type="gramEnd"/>
      <w:r>
        <w:t xml:space="preserve">9.) III. 1.)-4.) pontjaiban foglaltak megszegését. </w:t>
      </w:r>
    </w:p>
    <w:p w14:paraId="2BC645A8" w14:textId="77777777" w:rsidR="00AE6413" w:rsidRDefault="0015619D">
      <w:pPr>
        <w:numPr>
          <w:ilvl w:val="0"/>
          <w:numId w:val="10"/>
        </w:numPr>
        <w:ind w:right="40"/>
      </w:pPr>
      <w:r>
        <w:t>A Felek megállapodnak abban is, h</w:t>
      </w:r>
      <w:r>
        <w:t>ogy amennyiben a jelen szerződés valamely rendelkezése érvénytelen, ez az érvénytelenség nem érinti a Megállapodás egyéb rendelkezéseit. Ebben az esetben a Felek kötelezettséget vállalnak a Megállapodás olyan módosítására, amely az eredetileg kitűzött park</w:t>
      </w:r>
      <w:r>
        <w:t xml:space="preserve">olás-üzemeltetési céljaiknak megfelel. </w:t>
      </w:r>
    </w:p>
    <w:p w14:paraId="706B09DB" w14:textId="77777777" w:rsidR="00AE6413" w:rsidRDefault="0015619D">
      <w:pPr>
        <w:numPr>
          <w:ilvl w:val="0"/>
          <w:numId w:val="10"/>
        </w:numPr>
        <w:spacing w:after="280"/>
        <w:ind w:right="40"/>
      </w:pPr>
      <w:r>
        <w:t xml:space="preserve">Jelen Megállapodás – a Felek között történt egyeztetést követően – kizárólag írásban módosítható. </w:t>
      </w:r>
    </w:p>
    <w:p w14:paraId="477B947C" w14:textId="63A0051D" w:rsidR="00AE6413" w:rsidRDefault="0015619D" w:rsidP="0015619D">
      <w:pPr>
        <w:spacing w:after="590" w:line="259" w:lineRule="auto"/>
        <w:ind w:left="228" w:firstLine="0"/>
        <w:jc w:val="center"/>
      </w:pPr>
      <w:r>
        <w:rPr>
          <w:sz w:val="26"/>
        </w:rPr>
        <w:t>V.</w:t>
      </w:r>
      <w:r>
        <w:rPr>
          <w:sz w:val="26"/>
        </w:rPr>
        <w:t xml:space="preserve"> </w:t>
      </w:r>
      <w:r>
        <w:t>Vegyes rendelkezések</w:t>
      </w:r>
    </w:p>
    <w:p w14:paraId="6AFC34E8" w14:textId="77777777" w:rsidR="00AE6413" w:rsidRDefault="0015619D">
      <w:pPr>
        <w:spacing w:after="26"/>
        <w:ind w:left="218" w:right="40"/>
      </w:pPr>
      <w:r>
        <w:t xml:space="preserve">1.) Jelen Megállapodás tekintetében kapcsolattartóként a Fővárosi Önkormányzat Tüttő Kata </w:t>
      </w:r>
      <w:r>
        <w:t xml:space="preserve">Városüzemeltetési Főpolgármester-helyettest (1052 Budapest, Városház u. 9-11, tel: 061327-17-87, email: tutto.kata@budapest.hu), a VII. kerületi Önkormányzat </w:t>
      </w:r>
      <w:proofErr w:type="spellStart"/>
      <w:r>
        <w:t>Niedermüller</w:t>
      </w:r>
      <w:proofErr w:type="spellEnd"/>
      <w:r>
        <w:t xml:space="preserve"> Péter polgármestert </w:t>
      </w:r>
    </w:p>
    <w:p w14:paraId="68869CA5" w14:textId="77777777" w:rsidR="00AE6413" w:rsidRDefault="0015619D">
      <w:pPr>
        <w:spacing w:after="250"/>
        <w:ind w:left="218" w:right="40"/>
      </w:pPr>
      <w:r>
        <w:t xml:space="preserve">(cím: </w:t>
      </w:r>
      <w:r>
        <w:tab/>
        <w:t xml:space="preserve">1073 </w:t>
      </w:r>
      <w:r>
        <w:tab/>
        <w:t xml:space="preserve">Budapest, </w:t>
      </w:r>
      <w:r>
        <w:tab/>
        <w:t xml:space="preserve">Erzsébet </w:t>
      </w:r>
      <w:r>
        <w:tab/>
        <w:t xml:space="preserve">krt. </w:t>
      </w:r>
      <w:r>
        <w:tab/>
        <w:t xml:space="preserve">6., </w:t>
      </w:r>
      <w:r>
        <w:tab/>
        <w:t xml:space="preserve">tel: </w:t>
      </w:r>
      <w:r>
        <w:tab/>
        <w:t xml:space="preserve">061462-3203, </w:t>
      </w:r>
      <w:r>
        <w:tab/>
        <w:t xml:space="preserve">e-mail: niedermuller.peter@erzsebetvaros.hu) jelöli ki. </w:t>
      </w:r>
    </w:p>
    <w:p w14:paraId="0F34433B" w14:textId="77777777" w:rsidR="00AE6413" w:rsidRDefault="0015619D">
      <w:pPr>
        <w:ind w:left="218" w:right="40"/>
      </w:pPr>
      <w:r>
        <w:t xml:space="preserve">Jelen Megállapodás tekintetében operatív kapcsolattartóként a Fővárosi Önkormányzat részéről:  </w:t>
      </w:r>
    </w:p>
    <w:p w14:paraId="6303E761" w14:textId="77777777" w:rsidR="00AE6413" w:rsidRDefault="0015619D">
      <w:pPr>
        <w:ind w:left="218" w:right="40"/>
      </w:pPr>
      <w:r>
        <w:t xml:space="preserve">Németh László Főosztályvezető </w:t>
      </w:r>
    </w:p>
    <w:p w14:paraId="27D04FE1" w14:textId="77777777" w:rsidR="00AE6413" w:rsidRDefault="0015619D">
      <w:pPr>
        <w:ind w:left="218" w:right="40"/>
      </w:pPr>
      <w:r>
        <w:t xml:space="preserve">Városigazgatóság Főosztály </w:t>
      </w:r>
    </w:p>
    <w:p w14:paraId="7D9523D5" w14:textId="77777777" w:rsidR="00AE6413" w:rsidRDefault="0015619D">
      <w:pPr>
        <w:ind w:left="218" w:right="40"/>
      </w:pPr>
      <w:r>
        <w:t xml:space="preserve">1052 Budapest, Városház utca 9-11. </w:t>
      </w:r>
    </w:p>
    <w:p w14:paraId="5D8C8BF4" w14:textId="77777777" w:rsidR="00AE6413" w:rsidRDefault="0015619D">
      <w:pPr>
        <w:ind w:left="218" w:right="40"/>
      </w:pPr>
      <w:r>
        <w:t>Tel: 32</w:t>
      </w:r>
      <w:r>
        <w:t xml:space="preserve">7-1132 </w:t>
      </w:r>
    </w:p>
    <w:p w14:paraId="73E1E6EE" w14:textId="77777777" w:rsidR="00AE6413" w:rsidRDefault="0015619D">
      <w:pPr>
        <w:ind w:left="218" w:right="40"/>
      </w:pPr>
      <w:r>
        <w:t xml:space="preserve">Email: nemethl@budapest.hu  </w:t>
      </w:r>
    </w:p>
    <w:p w14:paraId="3C6529C1" w14:textId="77777777" w:rsidR="00AE6413" w:rsidRDefault="0015619D">
      <w:pPr>
        <w:spacing w:after="0" w:line="259" w:lineRule="auto"/>
        <w:ind w:left="211" w:firstLine="0"/>
        <w:jc w:val="left"/>
      </w:pPr>
      <w:r>
        <w:t xml:space="preserve"> </w:t>
      </w:r>
    </w:p>
    <w:p w14:paraId="0FFF9D2B" w14:textId="77777777" w:rsidR="00AE6413" w:rsidRDefault="0015619D">
      <w:pPr>
        <w:ind w:left="218" w:right="40"/>
      </w:pPr>
      <w:r>
        <w:t xml:space="preserve">VII. Kerületi Önkormányzat részéről: </w:t>
      </w:r>
    </w:p>
    <w:p w14:paraId="5C3D3C1B" w14:textId="77777777" w:rsidR="00AE6413" w:rsidRDefault="0015619D">
      <w:pPr>
        <w:ind w:left="218" w:right="40"/>
      </w:pPr>
      <w:r>
        <w:t xml:space="preserve">Nagy Nóra Irodavezető </w:t>
      </w:r>
    </w:p>
    <w:p w14:paraId="3437CE92" w14:textId="77777777" w:rsidR="00AE6413" w:rsidRDefault="0015619D">
      <w:pPr>
        <w:ind w:left="218" w:right="40"/>
      </w:pPr>
      <w:r>
        <w:t xml:space="preserve">Vagyongazdálkodási Iroda  </w:t>
      </w:r>
    </w:p>
    <w:p w14:paraId="5BFC8D0E" w14:textId="77777777" w:rsidR="00AE6413" w:rsidRDefault="0015619D">
      <w:pPr>
        <w:ind w:left="218" w:right="40"/>
      </w:pPr>
      <w:r>
        <w:t xml:space="preserve">Tel: 462-3135 </w:t>
      </w:r>
    </w:p>
    <w:p w14:paraId="02BC4003" w14:textId="77777777" w:rsidR="00AE6413" w:rsidRDefault="0015619D">
      <w:pPr>
        <w:ind w:left="218" w:right="5336"/>
      </w:pPr>
      <w:r>
        <w:t xml:space="preserve">Email: Nagy.Nora@erzsebetvaros.hu jelölik ki. </w:t>
      </w:r>
    </w:p>
    <w:p w14:paraId="0AF0521D" w14:textId="77777777" w:rsidR="00AE6413" w:rsidRDefault="0015619D">
      <w:pPr>
        <w:spacing w:after="261" w:line="259" w:lineRule="auto"/>
        <w:ind w:left="226" w:firstLine="0"/>
        <w:jc w:val="left"/>
      </w:pPr>
      <w:r>
        <w:t xml:space="preserve"> </w:t>
      </w:r>
    </w:p>
    <w:p w14:paraId="408ADDA8" w14:textId="77777777" w:rsidR="00AE6413" w:rsidRDefault="0015619D">
      <w:pPr>
        <w:spacing w:after="261" w:line="259" w:lineRule="auto"/>
        <w:ind w:left="226" w:firstLine="0"/>
        <w:jc w:val="left"/>
      </w:pPr>
      <w:r>
        <w:lastRenderedPageBreak/>
        <w:t xml:space="preserve"> </w:t>
      </w:r>
    </w:p>
    <w:p w14:paraId="2A664C91" w14:textId="77777777" w:rsidR="00AE6413" w:rsidRDefault="0015619D">
      <w:pPr>
        <w:spacing w:after="254"/>
        <w:ind w:left="218" w:right="40"/>
      </w:pPr>
      <w:r>
        <w:t xml:space="preserve">2.) A VII. kerületi Önkormányzat mindazon követelés tekintetében, mely követelések a Fővárosi Önkormányzat nevében kerültek érvényesítésre, a továbbiakban is eljár azzal, hogy az érvényesítés során beszedett díjakra vonatkozó elszámolási rend tekintetében </w:t>
      </w:r>
      <w:r>
        <w:t xml:space="preserve">a jelen megállapodásban rögzített elszámolási szabályok az </w:t>
      </w:r>
      <w:proofErr w:type="spellStart"/>
      <w:r>
        <w:t>irányadóak</w:t>
      </w:r>
      <w:proofErr w:type="spellEnd"/>
      <w:r>
        <w:t xml:space="preserve">.  </w:t>
      </w:r>
    </w:p>
    <w:p w14:paraId="3194195D" w14:textId="77777777" w:rsidR="00AE6413" w:rsidRDefault="0015619D">
      <w:pPr>
        <w:ind w:left="358" w:right="40"/>
      </w:pPr>
      <w:r>
        <w:t xml:space="preserve">A jelen Megállapodás 1. számú melléklete helyébe a „Fővárosi Önkormányzat tulajdonában álló, használatba adott Automaták és férőhelyek listája” melléklet kerül. </w:t>
      </w:r>
    </w:p>
    <w:p w14:paraId="199DD197" w14:textId="77777777" w:rsidR="00AE6413" w:rsidRDefault="0015619D">
      <w:pPr>
        <w:spacing w:after="9" w:line="259" w:lineRule="auto"/>
        <w:ind w:left="353" w:firstLine="0"/>
        <w:jc w:val="left"/>
      </w:pPr>
      <w:r>
        <w:t xml:space="preserve"> </w:t>
      </w:r>
    </w:p>
    <w:p w14:paraId="567E484C" w14:textId="77777777" w:rsidR="00AE6413" w:rsidRDefault="0015619D">
      <w:pPr>
        <w:ind w:left="358" w:right="40"/>
      </w:pPr>
      <w:r>
        <w:t>A jelen Megállapodá</w:t>
      </w:r>
      <w:r>
        <w:t xml:space="preserve">s 2. számú melléklete helyébe az „Elszámolható költség-tétel kimutatás” melléklet kerül. </w:t>
      </w:r>
    </w:p>
    <w:p w14:paraId="45A87F86" w14:textId="77777777" w:rsidR="00AE6413" w:rsidRDefault="0015619D">
      <w:pPr>
        <w:spacing w:after="261" w:line="259" w:lineRule="auto"/>
        <w:ind w:left="226" w:firstLine="0"/>
        <w:jc w:val="left"/>
      </w:pPr>
      <w:r>
        <w:t xml:space="preserve"> </w:t>
      </w:r>
    </w:p>
    <w:p w14:paraId="6C311171" w14:textId="77777777" w:rsidR="00AE6413" w:rsidRDefault="0015619D">
      <w:pPr>
        <w:ind w:left="218" w:right="40"/>
      </w:pPr>
      <w:r>
        <w:t xml:space="preserve">A jelen Megállapodás 4. sz. „Meghatalmazás számla kibocsátására” című melléklete 2020. július </w:t>
      </w:r>
    </w:p>
    <w:p w14:paraId="31770D1E" w14:textId="77777777" w:rsidR="00AE6413" w:rsidRDefault="0015619D">
      <w:pPr>
        <w:ind w:left="218" w:right="40"/>
      </w:pPr>
      <w:r>
        <w:t xml:space="preserve">31. napjával hatályát veszti, amellyel az abban foglalt meghatalmazás visszavonásra kerül. </w:t>
      </w:r>
    </w:p>
    <w:p w14:paraId="3F3F157C" w14:textId="77777777" w:rsidR="00AE6413" w:rsidRDefault="0015619D">
      <w:pPr>
        <w:spacing w:after="254"/>
        <w:ind w:left="218" w:right="40"/>
      </w:pPr>
      <w:r>
        <w:t>A jelen Megállapodás 5.sz. „Meghatalmazás pótdíjak érvényesítésére” c</w:t>
      </w:r>
      <w:r>
        <w:t xml:space="preserve">ímű melléklete a továbbiakban 3. sz. melléklete lesz, amelyet Felek kizárólag a 2020. június 30. napjáig keletkezett követelések vonatkozásában indult eljárásokra alkalmaznak.    </w:t>
      </w:r>
    </w:p>
    <w:p w14:paraId="72280ADD" w14:textId="77777777" w:rsidR="00AE6413" w:rsidRDefault="0015619D">
      <w:pPr>
        <w:spacing w:after="252"/>
        <w:ind w:left="218" w:right="40"/>
      </w:pPr>
      <w:r>
        <w:t>A jelen Megállapodás új, 4. sz. melléklete a „Beruházás elemeinek és költség</w:t>
      </w:r>
      <w:r>
        <w:t xml:space="preserve">einek kimutatása”. </w:t>
      </w:r>
    </w:p>
    <w:p w14:paraId="0535B1CE" w14:textId="77777777" w:rsidR="00AE6413" w:rsidRDefault="0015619D">
      <w:pPr>
        <w:spacing w:after="295"/>
        <w:ind w:left="218" w:right="40"/>
      </w:pPr>
      <w:r>
        <w:t>Felek rögzítik, hogy 2016. április 1. és 2020. június 27-e között a VII. kerületi Önkormányzat parkolás üzemeltetési feladatait a Budapest Közút Zrt. látta el. Az erre alapot adó feladatellátási megállapodás megszüntetésével egyidejűleg</w:t>
      </w:r>
      <w:r>
        <w:t xml:space="preserve"> a VII. kerületi Önkormányzat a Fővárosi Önkormányzattal szemben, az Együttműködési Megállapodás alapján a 2020. II. negyedévi fennálló közvetett és közvetlen költéseinek megtérítésére vonatkozó követelését a Budapest Közút Zrt.-re engedményezte. E tényekr</w:t>
      </w:r>
      <w:r>
        <w:t xml:space="preserve">e figyelemmel a Budapest Közút Zrt. jogosult érvényesíteni a 2020. II. negyedévre vonatkozó, a kerületi Önkormányzat által elfogadott költségelszámolását, melyről a VII. kerületi Önkormányzat a Fővárosi Önkormányzat felé számlát állít ki. </w:t>
      </w:r>
    </w:p>
    <w:p w14:paraId="77F2E680" w14:textId="77777777" w:rsidR="00AE6413" w:rsidRDefault="0015619D">
      <w:pPr>
        <w:numPr>
          <w:ilvl w:val="0"/>
          <w:numId w:val="11"/>
        </w:numPr>
        <w:ind w:right="40"/>
      </w:pPr>
      <w:r>
        <w:t>A jelen Megállap</w:t>
      </w:r>
      <w:r>
        <w:t xml:space="preserve">odásban nem szabályozott kérdésekben Magyarország jogszabályai, így különösen a mindenkori hatályos Polgári Törvénykönyvről szóló törvény vonatkozó rendelkezései az </w:t>
      </w:r>
      <w:proofErr w:type="spellStart"/>
      <w:r>
        <w:t>irányadóak</w:t>
      </w:r>
      <w:proofErr w:type="spellEnd"/>
      <w:r>
        <w:t xml:space="preserve">. </w:t>
      </w:r>
    </w:p>
    <w:p w14:paraId="3C81C552" w14:textId="77777777" w:rsidR="00AE6413" w:rsidRDefault="0015619D">
      <w:pPr>
        <w:spacing w:after="53" w:line="259" w:lineRule="auto"/>
        <w:ind w:left="226" w:firstLine="0"/>
        <w:jc w:val="left"/>
      </w:pPr>
      <w:r>
        <w:t xml:space="preserve"> </w:t>
      </w:r>
    </w:p>
    <w:p w14:paraId="597BA857" w14:textId="77777777" w:rsidR="00AE6413" w:rsidRDefault="0015619D">
      <w:pPr>
        <w:numPr>
          <w:ilvl w:val="0"/>
          <w:numId w:val="11"/>
        </w:numPr>
        <w:ind w:right="40"/>
      </w:pPr>
      <w:r>
        <w:t xml:space="preserve">A Megállapodás aláírására Budapest VII. kerületi Önkormányzat Képviselő-testületének 569/2020.(VI.25.) számú, továbbá Budapest Főváros Önkormányzat Közgyűlésének 930/2020. (VI. </w:t>
      </w:r>
    </w:p>
    <w:p w14:paraId="77F5EB5E" w14:textId="77777777" w:rsidR="00AE6413" w:rsidRDefault="0015619D">
      <w:pPr>
        <w:ind w:left="218" w:right="40"/>
      </w:pPr>
      <w:r>
        <w:t xml:space="preserve">24.) Főv. Kgy. számú felhatalmazó határozatai alapján került sor. </w:t>
      </w:r>
    </w:p>
    <w:p w14:paraId="30536637" w14:textId="77777777" w:rsidR="00AE6413" w:rsidRDefault="0015619D">
      <w:pPr>
        <w:spacing w:after="17" w:line="259" w:lineRule="auto"/>
        <w:ind w:left="919" w:firstLine="0"/>
        <w:jc w:val="left"/>
      </w:pPr>
      <w:r>
        <w:t xml:space="preserve"> </w:t>
      </w:r>
    </w:p>
    <w:p w14:paraId="0A852992" w14:textId="77777777" w:rsidR="00AE6413" w:rsidRDefault="0015619D">
      <w:pPr>
        <w:ind w:left="218" w:right="40"/>
      </w:pPr>
      <w:r>
        <w:rPr>
          <w:sz w:val="26"/>
        </w:rPr>
        <w:t>5.)</w:t>
      </w:r>
      <w:r>
        <w:rPr>
          <w:sz w:val="26"/>
        </w:rPr>
        <w:t xml:space="preserve"> </w:t>
      </w:r>
      <w:r>
        <w:t>Jelen</w:t>
      </w:r>
      <w:r>
        <w:t xml:space="preserve"> Megállapodás 8 (nyolc) eredeti példányban készül. Aláírására Budapest VII. kerületi Önkormányzat Képviselő-testületének ………………… számú, továbbá Budapest Főváros Önkormányzat Közgyűlésének ……………… Főv. Kgy. számú felhatalmazó határozatai alapján kerül sor. </w:t>
      </w:r>
    </w:p>
    <w:p w14:paraId="3198747F" w14:textId="77777777" w:rsidR="00AE6413" w:rsidRDefault="0015619D">
      <w:pPr>
        <w:spacing w:after="9" w:line="259" w:lineRule="auto"/>
        <w:ind w:left="226" w:firstLine="0"/>
        <w:jc w:val="left"/>
      </w:pPr>
      <w:r>
        <w:t xml:space="preserve"> </w:t>
      </w:r>
    </w:p>
    <w:p w14:paraId="40B9F74A" w14:textId="77777777" w:rsidR="00AE6413" w:rsidRDefault="0015619D">
      <w:pPr>
        <w:spacing w:after="12" w:line="259" w:lineRule="auto"/>
        <w:ind w:left="2736" w:firstLine="0"/>
        <w:jc w:val="left"/>
      </w:pPr>
      <w:r>
        <w:t xml:space="preserve"> </w:t>
      </w:r>
    </w:p>
    <w:p w14:paraId="3950B2D7" w14:textId="77777777" w:rsidR="00AE6413" w:rsidRDefault="0015619D">
      <w:pPr>
        <w:spacing w:after="9" w:line="259" w:lineRule="auto"/>
        <w:ind w:left="2736" w:firstLine="0"/>
        <w:jc w:val="left"/>
      </w:pPr>
      <w:r>
        <w:t xml:space="preserve"> </w:t>
      </w:r>
    </w:p>
    <w:p w14:paraId="67E9BD97" w14:textId="77777777" w:rsidR="00AE6413" w:rsidRDefault="0015619D">
      <w:pPr>
        <w:spacing w:after="12" w:line="259" w:lineRule="auto"/>
        <w:ind w:left="2736" w:firstLine="0"/>
        <w:jc w:val="left"/>
      </w:pPr>
      <w:r>
        <w:lastRenderedPageBreak/>
        <w:t xml:space="preserve"> </w:t>
      </w:r>
    </w:p>
    <w:p w14:paraId="0D1B41BF" w14:textId="77777777" w:rsidR="00AE6413" w:rsidRDefault="0015619D">
      <w:pPr>
        <w:spacing w:after="9" w:line="259" w:lineRule="auto"/>
        <w:ind w:left="2736" w:firstLine="0"/>
        <w:jc w:val="left"/>
      </w:pPr>
      <w:r>
        <w:t xml:space="preserve"> </w:t>
      </w:r>
    </w:p>
    <w:p w14:paraId="69B5E179" w14:textId="77777777" w:rsidR="00AE6413" w:rsidRDefault="0015619D">
      <w:pPr>
        <w:spacing w:after="12" w:line="259" w:lineRule="auto"/>
        <w:ind w:left="2736" w:firstLine="0"/>
        <w:jc w:val="left"/>
      </w:pPr>
      <w:r>
        <w:t xml:space="preserve"> </w:t>
      </w:r>
    </w:p>
    <w:p w14:paraId="0197DBCB" w14:textId="77777777" w:rsidR="00AE6413" w:rsidRDefault="0015619D">
      <w:pPr>
        <w:ind w:left="218" w:right="40"/>
      </w:pPr>
      <w:r>
        <w:t xml:space="preserve">Budapest, 2020. </w:t>
      </w:r>
    </w:p>
    <w:p w14:paraId="39D79F63" w14:textId="77777777" w:rsidR="00AE6413" w:rsidRDefault="0015619D">
      <w:pPr>
        <w:spacing w:after="12" w:line="259" w:lineRule="auto"/>
        <w:ind w:left="228" w:firstLine="0"/>
        <w:jc w:val="left"/>
      </w:pPr>
      <w:r>
        <w:t xml:space="preserve"> </w:t>
      </w:r>
    </w:p>
    <w:p w14:paraId="200A6BFD" w14:textId="77777777" w:rsidR="00AE6413" w:rsidRDefault="0015619D">
      <w:pPr>
        <w:spacing w:after="9" w:line="259" w:lineRule="auto"/>
        <w:ind w:left="228" w:firstLine="0"/>
        <w:jc w:val="left"/>
      </w:pPr>
      <w:r>
        <w:t xml:space="preserve"> </w:t>
      </w:r>
    </w:p>
    <w:p w14:paraId="4ADD91BD" w14:textId="77777777" w:rsidR="00AE6413" w:rsidRDefault="0015619D">
      <w:pPr>
        <w:spacing w:after="12" w:line="259" w:lineRule="auto"/>
        <w:ind w:left="228" w:firstLine="0"/>
        <w:jc w:val="left"/>
      </w:pPr>
      <w:r>
        <w:t xml:space="preserve"> </w:t>
      </w:r>
    </w:p>
    <w:p w14:paraId="23D13072" w14:textId="553B9041" w:rsidR="00AE6413" w:rsidRDefault="0015619D" w:rsidP="0015619D">
      <w:pPr>
        <w:spacing w:after="41" w:line="259" w:lineRule="auto"/>
        <w:ind w:left="228" w:firstLine="0"/>
        <w:jc w:val="left"/>
      </w:pPr>
      <w:r>
        <w:t xml:space="preserve"> </w:t>
      </w:r>
      <w:bookmarkStart w:id="0" w:name="_GoBack"/>
      <w:bookmarkEnd w:id="0"/>
      <w:r>
        <w:t xml:space="preserve"> </w:t>
      </w:r>
      <w:r>
        <w:tab/>
        <w:t xml:space="preserve"> </w:t>
      </w:r>
    </w:p>
    <w:p w14:paraId="2B3C4B53" w14:textId="1553FA56" w:rsidR="00AE6413" w:rsidRDefault="0015619D">
      <w:pPr>
        <w:tabs>
          <w:tab w:val="center" w:pos="2959"/>
          <w:tab w:val="right" w:pos="9805"/>
        </w:tabs>
        <w:spacing w:after="46"/>
        <w:ind w:left="0" w:firstLine="0"/>
        <w:jc w:val="left"/>
      </w:pPr>
      <w:r>
        <w:t>……………………………………………….</w:t>
      </w:r>
      <w:r>
        <w:tab/>
        <w:t>…………………………………………</w:t>
      </w:r>
    </w:p>
    <w:p w14:paraId="1BE34CFF" w14:textId="78BCE1C7" w:rsidR="00AE6413" w:rsidRDefault="0015619D" w:rsidP="0015619D">
      <w:pPr>
        <w:tabs>
          <w:tab w:val="center" w:pos="799"/>
          <w:tab w:val="center" w:pos="7759"/>
        </w:tabs>
        <w:spacing w:after="4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        </w:t>
      </w:r>
      <w:r>
        <w:t xml:space="preserve">     </w:t>
      </w:r>
      <w:proofErr w:type="spellStart"/>
      <w:r>
        <w:t>Niedermüller</w:t>
      </w:r>
      <w:proofErr w:type="spellEnd"/>
      <w:r>
        <w:t xml:space="preserve"> Péter </w:t>
      </w:r>
      <w:r>
        <w:tab/>
        <w:t xml:space="preserve">Karácsony Gergely </w:t>
      </w:r>
    </w:p>
    <w:p w14:paraId="7A0D89EE" w14:textId="67FFE0C4" w:rsidR="00AE6413" w:rsidRDefault="0015619D">
      <w:pPr>
        <w:tabs>
          <w:tab w:val="center" w:pos="1395"/>
          <w:tab w:val="center" w:pos="7760"/>
        </w:tabs>
        <w:spacing w:after="48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                 </w:t>
      </w:r>
      <w:r>
        <w:t xml:space="preserve">  polgármester </w:t>
      </w:r>
      <w:r>
        <w:tab/>
        <w:t xml:space="preserve">főpolgármester hatáskörében eljárva </w:t>
      </w:r>
    </w:p>
    <w:p w14:paraId="7471719C" w14:textId="4B1F5CC8" w:rsidR="00AE6413" w:rsidRDefault="0015619D">
      <w:pPr>
        <w:tabs>
          <w:tab w:val="center" w:pos="2116"/>
          <w:tab w:val="center" w:pos="7761"/>
        </w:tabs>
        <w:spacing w:after="5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    </w:t>
      </w:r>
      <w:r>
        <w:t xml:space="preserve"> Budapest Főváros VII. kerület </w:t>
      </w:r>
      <w:r>
        <w:tab/>
        <w:t xml:space="preserve">Tüttő Kata főpolgármester-helyettes </w:t>
      </w:r>
    </w:p>
    <w:p w14:paraId="3F205B24" w14:textId="77777777" w:rsidR="00AE6413" w:rsidRDefault="0015619D">
      <w:pPr>
        <w:pStyle w:val="Cmsor1"/>
        <w:numPr>
          <w:ilvl w:val="0"/>
          <w:numId w:val="0"/>
        </w:numPr>
        <w:tabs>
          <w:tab w:val="center" w:pos="319"/>
          <w:tab w:val="center" w:pos="2441"/>
          <w:tab w:val="center" w:pos="7761"/>
        </w:tabs>
        <w:spacing w:after="61"/>
        <w:ind w:right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Erzsébetváros Önkormányzata </w:t>
      </w:r>
      <w:r>
        <w:tab/>
      </w:r>
      <w:r>
        <w:t xml:space="preserve">Budapest Főváros Önkormányzata </w:t>
      </w:r>
    </w:p>
    <w:p w14:paraId="57555C74" w14:textId="77777777" w:rsidR="00AE6413" w:rsidRDefault="0015619D">
      <w:pPr>
        <w:spacing w:after="0" w:line="259" w:lineRule="auto"/>
        <w:ind w:left="319" w:firstLine="0"/>
        <w:jc w:val="left"/>
      </w:pPr>
      <w:r>
        <w:t xml:space="preserve"> </w:t>
      </w:r>
      <w:r>
        <w:tab/>
        <w:t xml:space="preserve"> </w:t>
      </w:r>
    </w:p>
    <w:tbl>
      <w:tblPr>
        <w:tblStyle w:val="TableGrid"/>
        <w:tblW w:w="9420" w:type="dxa"/>
        <w:tblInd w:w="3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508"/>
        <w:gridCol w:w="3912"/>
      </w:tblGrid>
      <w:tr w:rsidR="00AE6413" w14:paraId="0015B9A5" w14:textId="77777777">
        <w:trPr>
          <w:trHeight w:val="584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00C8A8F5" w14:textId="77777777" w:rsidR="00AE6413" w:rsidRDefault="0015619D">
            <w:pPr>
              <w:spacing w:after="16" w:line="259" w:lineRule="auto"/>
              <w:ind w:left="0" w:firstLine="0"/>
              <w:jc w:val="left"/>
            </w:pPr>
            <w:r>
              <w:t xml:space="preserve">Jogilag ellenőrizte: </w:t>
            </w:r>
          </w:p>
          <w:p w14:paraId="2D06782D" w14:textId="77777777" w:rsidR="00AE6413" w:rsidRDefault="0015619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6C3D2087" w14:textId="77777777" w:rsidR="00AE6413" w:rsidRDefault="0015619D">
            <w:pPr>
              <w:spacing w:after="0" w:line="259" w:lineRule="auto"/>
              <w:ind w:left="0" w:firstLine="0"/>
              <w:jc w:val="left"/>
            </w:pPr>
            <w:r>
              <w:t xml:space="preserve">Láttam: </w:t>
            </w:r>
          </w:p>
        </w:tc>
      </w:tr>
      <w:tr w:rsidR="00AE6413" w14:paraId="2ED36563" w14:textId="77777777">
        <w:trPr>
          <w:trHeight w:val="953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5C7F9BAC" w14:textId="77777777" w:rsidR="00AE6413" w:rsidRDefault="0015619D">
            <w:pPr>
              <w:spacing w:after="19" w:line="259" w:lineRule="auto"/>
              <w:ind w:left="0" w:right="158" w:firstLine="0"/>
              <w:jc w:val="center"/>
            </w:pPr>
            <w:r>
              <w:t xml:space="preserve"> </w:t>
            </w:r>
          </w:p>
          <w:p w14:paraId="2684002F" w14:textId="77777777" w:rsidR="00AE6413" w:rsidRDefault="0015619D">
            <w:pPr>
              <w:spacing w:after="0" w:line="259" w:lineRule="auto"/>
              <w:ind w:left="0" w:right="218" w:firstLine="0"/>
              <w:jc w:val="center"/>
            </w:pPr>
            <w:r>
              <w:t xml:space="preserve">……………………………………… 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3107E55D" w14:textId="77777777" w:rsidR="00AE6413" w:rsidRDefault="0015619D">
            <w:pPr>
              <w:spacing w:after="19" w:line="259" w:lineRule="auto"/>
              <w:ind w:left="12" w:firstLine="0"/>
              <w:jc w:val="center"/>
            </w:pPr>
            <w:r>
              <w:t xml:space="preserve"> </w:t>
            </w:r>
          </w:p>
          <w:p w14:paraId="16F6F5E8" w14:textId="77777777" w:rsidR="00AE6413" w:rsidRDefault="0015619D">
            <w:pPr>
              <w:spacing w:after="16" w:line="259" w:lineRule="auto"/>
              <w:ind w:left="12" w:firstLine="0"/>
            </w:pPr>
            <w:r>
              <w:t>…………………………………………</w:t>
            </w:r>
          </w:p>
          <w:p w14:paraId="1B4485F2" w14:textId="77777777" w:rsidR="00AE6413" w:rsidRDefault="0015619D">
            <w:pPr>
              <w:spacing w:after="0" w:line="259" w:lineRule="auto"/>
              <w:ind w:left="0" w:right="48" w:firstLine="0"/>
              <w:jc w:val="center"/>
            </w:pPr>
            <w:r>
              <w:t xml:space="preserve">……… </w:t>
            </w:r>
          </w:p>
        </w:tc>
      </w:tr>
      <w:tr w:rsidR="00AE6413" w14:paraId="4478DB0B" w14:textId="77777777">
        <w:trPr>
          <w:trHeight w:val="1904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EE563F3" w14:textId="77777777" w:rsidR="00AE6413" w:rsidRDefault="0015619D">
            <w:pPr>
              <w:spacing w:after="16" w:line="259" w:lineRule="auto"/>
              <w:ind w:left="0" w:right="219" w:firstLine="0"/>
              <w:jc w:val="center"/>
            </w:pPr>
            <w:r>
              <w:t xml:space="preserve">dr. Laza Margit jegyző </w:t>
            </w:r>
          </w:p>
          <w:p w14:paraId="41384B14" w14:textId="77777777" w:rsidR="00AE6413" w:rsidRDefault="0015619D">
            <w:pPr>
              <w:spacing w:after="19" w:line="259" w:lineRule="auto"/>
              <w:ind w:left="0" w:right="158" w:firstLine="0"/>
              <w:jc w:val="center"/>
            </w:pPr>
            <w:r>
              <w:t xml:space="preserve"> </w:t>
            </w:r>
          </w:p>
          <w:p w14:paraId="27A50407" w14:textId="77777777" w:rsidR="00AE6413" w:rsidRDefault="0015619D">
            <w:pPr>
              <w:spacing w:after="16" w:line="259" w:lineRule="auto"/>
              <w:ind w:left="0" w:right="158" w:firstLine="0"/>
              <w:jc w:val="center"/>
            </w:pPr>
            <w:r>
              <w:t xml:space="preserve"> </w:t>
            </w:r>
          </w:p>
          <w:p w14:paraId="00983825" w14:textId="77777777" w:rsidR="00AE6413" w:rsidRDefault="0015619D">
            <w:pPr>
              <w:spacing w:after="16" w:line="259" w:lineRule="auto"/>
              <w:ind w:left="0" w:firstLine="0"/>
              <w:jc w:val="left"/>
            </w:pPr>
            <w:r>
              <w:t xml:space="preserve">Budapest …………………………………… </w:t>
            </w:r>
          </w:p>
          <w:p w14:paraId="6AAE8E5F" w14:textId="77777777" w:rsidR="00AE6413" w:rsidRDefault="0015619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4598D5CA" w14:textId="77777777" w:rsidR="00AE6413" w:rsidRDefault="0015619D">
            <w:pPr>
              <w:spacing w:after="2" w:line="273" w:lineRule="auto"/>
              <w:ind w:left="1239" w:hanging="706"/>
              <w:jc w:val="left"/>
            </w:pPr>
            <w:r>
              <w:t xml:space="preserve">dr. Számadó Tamás főjegyző megbízásából: </w:t>
            </w:r>
          </w:p>
          <w:p w14:paraId="134E6E51" w14:textId="77777777" w:rsidR="00AE6413" w:rsidRDefault="0015619D">
            <w:pPr>
              <w:spacing w:after="16" w:line="259" w:lineRule="auto"/>
              <w:ind w:left="130" w:firstLine="0"/>
              <w:jc w:val="left"/>
            </w:pPr>
            <w:r>
              <w:t xml:space="preserve">Bárdonné dr. Benda Mónika aljegyző </w:t>
            </w:r>
          </w:p>
          <w:p w14:paraId="42EADB4A" w14:textId="77777777" w:rsidR="00AE6413" w:rsidRDefault="0015619D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14:paraId="46EB72C2" w14:textId="77777777" w:rsidR="00AE6413" w:rsidRDefault="0015619D">
            <w:pPr>
              <w:spacing w:after="16" w:line="259" w:lineRule="auto"/>
              <w:ind w:left="0" w:firstLine="0"/>
            </w:pPr>
            <w:r>
              <w:t xml:space="preserve">Budapest ……………………………… </w:t>
            </w:r>
          </w:p>
          <w:p w14:paraId="519E6440" w14:textId="77777777" w:rsidR="00AE6413" w:rsidRDefault="0015619D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</w:tr>
      <w:tr w:rsidR="00AE6413" w14:paraId="52CFD89C" w14:textId="77777777">
        <w:trPr>
          <w:trHeight w:val="318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6B780F22" w14:textId="77777777" w:rsidR="00AE6413" w:rsidRDefault="0015619D">
            <w:pPr>
              <w:spacing w:after="0" w:line="259" w:lineRule="auto"/>
              <w:ind w:left="0" w:firstLine="0"/>
              <w:jc w:val="left"/>
            </w:pPr>
            <w:r>
              <w:t xml:space="preserve">Pénzügyi ellenjegyzést végezte: 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77E978E5" w14:textId="77777777" w:rsidR="00AE6413" w:rsidRDefault="0015619D">
            <w:pPr>
              <w:spacing w:after="0" w:line="259" w:lineRule="auto"/>
              <w:ind w:left="1" w:firstLine="0"/>
              <w:jc w:val="left"/>
            </w:pPr>
            <w:r>
              <w:t xml:space="preserve">Pénzügyi ellenjegyzést végezte: </w:t>
            </w:r>
          </w:p>
        </w:tc>
      </w:tr>
      <w:tr w:rsidR="00AE6413" w14:paraId="7E2E3F45" w14:textId="77777777">
        <w:trPr>
          <w:trHeight w:val="952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0AB5B669" w14:textId="77777777" w:rsidR="00AE6413" w:rsidRDefault="0015619D">
            <w:pPr>
              <w:spacing w:after="16" w:line="259" w:lineRule="auto"/>
              <w:ind w:left="0" w:right="158" w:firstLine="0"/>
              <w:jc w:val="center"/>
            </w:pPr>
            <w:r>
              <w:t xml:space="preserve"> </w:t>
            </w:r>
          </w:p>
          <w:p w14:paraId="78239689" w14:textId="77777777" w:rsidR="00AE6413" w:rsidRDefault="0015619D">
            <w:pPr>
              <w:spacing w:after="16" w:line="259" w:lineRule="auto"/>
              <w:ind w:left="0" w:right="158" w:firstLine="0"/>
              <w:jc w:val="center"/>
            </w:pPr>
            <w:r>
              <w:t xml:space="preserve"> </w:t>
            </w:r>
          </w:p>
          <w:p w14:paraId="0852EF0C" w14:textId="77777777" w:rsidR="00AE6413" w:rsidRDefault="0015619D">
            <w:pPr>
              <w:spacing w:after="0" w:line="259" w:lineRule="auto"/>
              <w:ind w:left="365" w:firstLine="0"/>
              <w:jc w:val="left"/>
            </w:pPr>
            <w:r>
              <w:t xml:space="preserve">………………………………………………… 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70A95AC6" w14:textId="77777777" w:rsidR="00AE6413" w:rsidRDefault="0015619D">
            <w:pPr>
              <w:spacing w:after="16" w:line="259" w:lineRule="auto"/>
              <w:ind w:left="12" w:firstLine="0"/>
              <w:jc w:val="center"/>
            </w:pPr>
            <w:r>
              <w:t xml:space="preserve"> </w:t>
            </w:r>
          </w:p>
          <w:p w14:paraId="2C0C5FB5" w14:textId="77777777" w:rsidR="00AE6413" w:rsidRDefault="0015619D">
            <w:pPr>
              <w:spacing w:after="16" w:line="259" w:lineRule="auto"/>
              <w:ind w:left="12" w:firstLine="0"/>
              <w:jc w:val="center"/>
            </w:pPr>
            <w:r>
              <w:t xml:space="preserve"> </w:t>
            </w:r>
          </w:p>
          <w:p w14:paraId="71C06D4E" w14:textId="77777777" w:rsidR="00AE6413" w:rsidRDefault="0015619D">
            <w:pPr>
              <w:spacing w:after="0" w:line="259" w:lineRule="auto"/>
              <w:ind w:left="12" w:firstLine="0"/>
            </w:pPr>
            <w:r>
              <w:t xml:space="preserve">………………………………………… </w:t>
            </w:r>
          </w:p>
        </w:tc>
      </w:tr>
      <w:tr w:rsidR="00AE6413" w14:paraId="6E9A0479" w14:textId="77777777">
        <w:trPr>
          <w:trHeight w:val="902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4F3E36AC" w14:textId="77777777" w:rsidR="00AE6413" w:rsidRDefault="0015619D">
            <w:pPr>
              <w:spacing w:after="16" w:line="259" w:lineRule="auto"/>
              <w:ind w:left="0" w:right="218" w:firstLine="0"/>
              <w:jc w:val="center"/>
            </w:pPr>
            <w:r>
              <w:t xml:space="preserve">Gazdasági vezető </w:t>
            </w:r>
          </w:p>
          <w:p w14:paraId="20C44106" w14:textId="77777777" w:rsidR="00AE6413" w:rsidRDefault="0015619D">
            <w:pPr>
              <w:spacing w:after="16" w:line="259" w:lineRule="auto"/>
              <w:ind w:left="0" w:right="158" w:firstLine="0"/>
              <w:jc w:val="center"/>
            </w:pPr>
            <w:r>
              <w:t xml:space="preserve"> </w:t>
            </w:r>
          </w:p>
          <w:p w14:paraId="23FF432C" w14:textId="77777777" w:rsidR="00AE6413" w:rsidRDefault="0015619D">
            <w:pPr>
              <w:spacing w:after="0" w:line="259" w:lineRule="auto"/>
              <w:ind w:left="0" w:firstLine="0"/>
              <w:jc w:val="left"/>
            </w:pPr>
            <w:r>
              <w:t xml:space="preserve">Budapest, …………………………………… 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12C0A71C" w14:textId="77777777" w:rsidR="00AE6413" w:rsidRDefault="0015619D">
            <w:pPr>
              <w:spacing w:after="16" w:line="259" w:lineRule="auto"/>
              <w:ind w:left="0" w:right="49" w:firstLine="0"/>
              <w:jc w:val="center"/>
            </w:pPr>
            <w:r>
              <w:t xml:space="preserve">Verő Tibor főosztályvezető </w:t>
            </w:r>
          </w:p>
          <w:p w14:paraId="03D79286" w14:textId="77777777" w:rsidR="00AE6413" w:rsidRDefault="0015619D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14:paraId="001CDEBF" w14:textId="77777777" w:rsidR="00AE6413" w:rsidRDefault="0015619D">
            <w:pPr>
              <w:spacing w:after="0" w:line="259" w:lineRule="auto"/>
              <w:ind w:left="0" w:firstLine="0"/>
              <w:jc w:val="left"/>
            </w:pPr>
            <w:r>
              <w:t xml:space="preserve">Budapest, …………………………… </w:t>
            </w:r>
          </w:p>
        </w:tc>
      </w:tr>
    </w:tbl>
    <w:p w14:paraId="25AA93EA" w14:textId="77777777" w:rsidR="00AE6413" w:rsidRDefault="0015619D">
      <w:pPr>
        <w:spacing w:after="12" w:line="259" w:lineRule="auto"/>
        <w:ind w:left="211" w:firstLine="0"/>
        <w:jc w:val="left"/>
      </w:pPr>
      <w:r>
        <w:t xml:space="preserve"> </w:t>
      </w:r>
    </w:p>
    <w:p w14:paraId="1BF946E9" w14:textId="77777777" w:rsidR="00AE6413" w:rsidRDefault="0015619D">
      <w:pPr>
        <w:spacing w:after="50" w:line="259" w:lineRule="auto"/>
        <w:ind w:left="211" w:firstLine="0"/>
        <w:jc w:val="left"/>
      </w:pPr>
      <w:r>
        <w:t xml:space="preserve"> </w:t>
      </w:r>
    </w:p>
    <w:p w14:paraId="45221663" w14:textId="77777777" w:rsidR="00AE6413" w:rsidRDefault="0015619D">
      <w:pPr>
        <w:numPr>
          <w:ilvl w:val="0"/>
          <w:numId w:val="12"/>
        </w:numPr>
        <w:spacing w:after="42"/>
        <w:ind w:right="40" w:hanging="353"/>
      </w:pPr>
      <w:r>
        <w:t xml:space="preserve">számú melléklet: Fővárosi Önkormányzat tulajdonában álló, használatba adott Automaták és férőhelyek listája </w:t>
      </w:r>
    </w:p>
    <w:p w14:paraId="47C1A137" w14:textId="77777777" w:rsidR="00AE6413" w:rsidRDefault="0015619D">
      <w:pPr>
        <w:numPr>
          <w:ilvl w:val="0"/>
          <w:numId w:val="12"/>
        </w:numPr>
        <w:ind w:right="40" w:hanging="353"/>
      </w:pPr>
      <w:r>
        <w:t xml:space="preserve">számú melléklet: Elszámolható költség-tétel kimutatás </w:t>
      </w:r>
    </w:p>
    <w:p w14:paraId="6A529F3B" w14:textId="77777777" w:rsidR="00AE6413" w:rsidRDefault="0015619D">
      <w:pPr>
        <w:numPr>
          <w:ilvl w:val="0"/>
          <w:numId w:val="12"/>
        </w:numPr>
        <w:ind w:right="40" w:hanging="353"/>
      </w:pPr>
      <w:r>
        <w:t xml:space="preserve">számú melléklet: Meghatalmazás pótdíj érvényesítésére </w:t>
      </w:r>
    </w:p>
    <w:p w14:paraId="7EB39BFB" w14:textId="77777777" w:rsidR="00AE6413" w:rsidRDefault="0015619D">
      <w:pPr>
        <w:numPr>
          <w:ilvl w:val="0"/>
          <w:numId w:val="12"/>
        </w:numPr>
        <w:ind w:right="40" w:hanging="353"/>
      </w:pPr>
      <w:r>
        <w:t>számú melléklet: A Beruházás elemeine</w:t>
      </w:r>
      <w:r>
        <w:t xml:space="preserve">k és költségeinek kimutatása </w:t>
      </w:r>
    </w:p>
    <w:p w14:paraId="74353C6E" w14:textId="47805AC7" w:rsidR="00AE6413" w:rsidRDefault="00AE6413" w:rsidP="0015619D">
      <w:pPr>
        <w:spacing w:after="1178" w:line="259" w:lineRule="auto"/>
        <w:ind w:left="353" w:firstLine="0"/>
        <w:jc w:val="left"/>
      </w:pPr>
    </w:p>
    <w:sectPr w:rsidR="00AE6413">
      <w:footerReference w:type="even" r:id="rId8"/>
      <w:footerReference w:type="default" r:id="rId9"/>
      <w:footerReference w:type="first" r:id="rId10"/>
      <w:pgSz w:w="11906" w:h="16838"/>
      <w:pgMar w:top="1041" w:right="1204" w:bottom="1674" w:left="898" w:header="708" w:footer="8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0DC6" w14:textId="77777777" w:rsidR="00000000" w:rsidRDefault="0015619D">
      <w:pPr>
        <w:spacing w:after="0" w:line="240" w:lineRule="auto"/>
      </w:pPr>
      <w:r>
        <w:separator/>
      </w:r>
    </w:p>
  </w:endnote>
  <w:endnote w:type="continuationSeparator" w:id="0">
    <w:p w14:paraId="401B6A3A" w14:textId="77777777" w:rsidR="00000000" w:rsidRDefault="0015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96B41" w14:textId="77777777" w:rsidR="00AE6413" w:rsidRDefault="0015619D">
    <w:pPr>
      <w:spacing w:after="7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D447BD9" w14:textId="77777777" w:rsidR="00AE6413" w:rsidRDefault="0015619D">
    <w:pPr>
      <w:spacing w:after="0" w:line="259" w:lineRule="auto"/>
      <w:ind w:left="211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FA15" w14:textId="77777777" w:rsidR="00AE6413" w:rsidRDefault="0015619D">
    <w:pPr>
      <w:spacing w:after="7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20BA78" w14:textId="77777777" w:rsidR="00AE6413" w:rsidRDefault="0015619D">
    <w:pPr>
      <w:spacing w:after="0" w:line="259" w:lineRule="auto"/>
      <w:ind w:left="211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9FA9" w14:textId="77777777" w:rsidR="00AE6413" w:rsidRDefault="0015619D">
    <w:pPr>
      <w:spacing w:after="7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FDAE4D8" w14:textId="77777777" w:rsidR="00AE6413" w:rsidRDefault="0015619D">
    <w:pPr>
      <w:spacing w:after="0" w:line="259" w:lineRule="auto"/>
      <w:ind w:left="211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4BC48" w14:textId="77777777" w:rsidR="00000000" w:rsidRDefault="0015619D">
      <w:pPr>
        <w:spacing w:after="0" w:line="240" w:lineRule="auto"/>
      </w:pPr>
      <w:r>
        <w:separator/>
      </w:r>
    </w:p>
  </w:footnote>
  <w:footnote w:type="continuationSeparator" w:id="0">
    <w:p w14:paraId="25F7D632" w14:textId="77777777" w:rsidR="00000000" w:rsidRDefault="00156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C7CAC"/>
    <w:multiLevelType w:val="hybridMultilevel"/>
    <w:tmpl w:val="2E584CEC"/>
    <w:lvl w:ilvl="0" w:tplc="602CF158">
      <w:start w:val="2"/>
      <w:numFmt w:val="lowerRoman"/>
      <w:lvlText w:val="(%1)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284268">
      <w:start w:val="1"/>
      <w:numFmt w:val="lowerLetter"/>
      <w:lvlText w:val="%2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0C604">
      <w:start w:val="1"/>
      <w:numFmt w:val="lowerRoman"/>
      <w:lvlText w:val="%3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C037CA">
      <w:start w:val="1"/>
      <w:numFmt w:val="decimal"/>
      <w:lvlText w:val="%4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6476C">
      <w:start w:val="1"/>
      <w:numFmt w:val="lowerLetter"/>
      <w:lvlText w:val="%5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4C03A">
      <w:start w:val="1"/>
      <w:numFmt w:val="lowerRoman"/>
      <w:lvlText w:val="%6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AC050">
      <w:start w:val="1"/>
      <w:numFmt w:val="decimal"/>
      <w:lvlText w:val="%7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4FEDC">
      <w:start w:val="1"/>
      <w:numFmt w:val="lowerLetter"/>
      <w:lvlText w:val="%8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C65168">
      <w:start w:val="1"/>
      <w:numFmt w:val="lowerRoman"/>
      <w:lvlText w:val="%9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1D7671"/>
    <w:multiLevelType w:val="hybridMultilevel"/>
    <w:tmpl w:val="5F8E36A0"/>
    <w:lvl w:ilvl="0" w:tplc="E0687364">
      <w:start w:val="2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681F48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E6859E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52B81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C8B3FC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D061FE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4C9C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7A28DA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602DEE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4C34F6"/>
    <w:multiLevelType w:val="hybridMultilevel"/>
    <w:tmpl w:val="0D8E4B66"/>
    <w:lvl w:ilvl="0" w:tplc="F42271CC">
      <w:start w:val="3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62636C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58E3B1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FB077E0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23A503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07424DE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DA633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5CB93A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CD0FFE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D182A"/>
    <w:multiLevelType w:val="hybridMultilevel"/>
    <w:tmpl w:val="4F166FA4"/>
    <w:lvl w:ilvl="0" w:tplc="6CAEC4EC">
      <w:start w:val="1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4E26E6">
      <w:start w:val="1"/>
      <w:numFmt w:val="lowerLetter"/>
      <w:lvlText w:val="%2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8E214">
      <w:start w:val="1"/>
      <w:numFmt w:val="lowerRoman"/>
      <w:lvlText w:val="%3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6072C">
      <w:start w:val="1"/>
      <w:numFmt w:val="decimal"/>
      <w:lvlText w:val="%4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C4ECC">
      <w:start w:val="1"/>
      <w:numFmt w:val="lowerLetter"/>
      <w:lvlText w:val="%5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88155A">
      <w:start w:val="1"/>
      <w:numFmt w:val="lowerRoman"/>
      <w:lvlText w:val="%6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ABE50">
      <w:start w:val="1"/>
      <w:numFmt w:val="decimal"/>
      <w:lvlText w:val="%7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03D40">
      <w:start w:val="1"/>
      <w:numFmt w:val="lowerLetter"/>
      <w:lvlText w:val="%8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50CDDC">
      <w:start w:val="1"/>
      <w:numFmt w:val="lowerRoman"/>
      <w:lvlText w:val="%9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F074D2"/>
    <w:multiLevelType w:val="hybridMultilevel"/>
    <w:tmpl w:val="BA562B34"/>
    <w:lvl w:ilvl="0" w:tplc="F24CD9C8">
      <w:start w:val="2"/>
      <w:numFmt w:val="upperRoman"/>
      <w:pStyle w:val="Cmsor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F2DB72">
      <w:start w:val="1"/>
      <w:numFmt w:val="lowerLetter"/>
      <w:lvlText w:val="%2"/>
      <w:lvlJc w:val="left"/>
      <w:pPr>
        <w:ind w:left="3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F02F14">
      <w:start w:val="1"/>
      <w:numFmt w:val="lowerRoman"/>
      <w:lvlText w:val="%3"/>
      <w:lvlJc w:val="left"/>
      <w:pPr>
        <w:ind w:left="3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6C530C">
      <w:start w:val="1"/>
      <w:numFmt w:val="decimal"/>
      <w:lvlText w:val="%4"/>
      <w:lvlJc w:val="left"/>
      <w:pPr>
        <w:ind w:left="4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49E4">
      <w:start w:val="1"/>
      <w:numFmt w:val="lowerLetter"/>
      <w:lvlText w:val="%5"/>
      <w:lvlJc w:val="left"/>
      <w:pPr>
        <w:ind w:left="5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DEFA68">
      <w:start w:val="1"/>
      <w:numFmt w:val="lowerRoman"/>
      <w:lvlText w:val="%6"/>
      <w:lvlJc w:val="left"/>
      <w:pPr>
        <w:ind w:left="6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E67A5A">
      <w:start w:val="1"/>
      <w:numFmt w:val="decimal"/>
      <w:lvlText w:val="%7"/>
      <w:lvlJc w:val="left"/>
      <w:pPr>
        <w:ind w:left="6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C53A4">
      <w:start w:val="1"/>
      <w:numFmt w:val="lowerLetter"/>
      <w:lvlText w:val="%8"/>
      <w:lvlJc w:val="left"/>
      <w:pPr>
        <w:ind w:left="7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22D2E6">
      <w:start w:val="1"/>
      <w:numFmt w:val="lowerRoman"/>
      <w:lvlText w:val="%9"/>
      <w:lvlJc w:val="left"/>
      <w:pPr>
        <w:ind w:left="8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004EC8"/>
    <w:multiLevelType w:val="hybridMultilevel"/>
    <w:tmpl w:val="3EE4F9C6"/>
    <w:lvl w:ilvl="0" w:tplc="D73EFBBC">
      <w:start w:val="1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8A5D34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54BF18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06D61E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F8DD4C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42947E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94A7AC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7412CA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4A9976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98B13B7"/>
    <w:multiLevelType w:val="hybridMultilevel"/>
    <w:tmpl w:val="0F1AC9A8"/>
    <w:lvl w:ilvl="0" w:tplc="ADCCE768">
      <w:start w:val="1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9F283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42DE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A6A2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7865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ACEC5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BB84E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052D7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EDC15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D74BC0"/>
    <w:multiLevelType w:val="hybridMultilevel"/>
    <w:tmpl w:val="9EACDA3A"/>
    <w:lvl w:ilvl="0" w:tplc="854C1400">
      <w:start w:val="1"/>
      <w:numFmt w:val="lowerRoman"/>
      <w:lvlText w:val="(%1)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3A6EA8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8A3696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0CDE3E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E64E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986D54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D0F94A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5CC1E4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38FAC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8834E7"/>
    <w:multiLevelType w:val="hybridMultilevel"/>
    <w:tmpl w:val="81BA4B0E"/>
    <w:lvl w:ilvl="0" w:tplc="EA848472">
      <w:start w:val="1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EAD5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EF7DE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306914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6BDE8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2FBD6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94FFD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81E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ADA34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360749"/>
    <w:multiLevelType w:val="hybridMultilevel"/>
    <w:tmpl w:val="441E9EBC"/>
    <w:lvl w:ilvl="0" w:tplc="0214F2C6">
      <w:start w:val="1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428708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CE5E5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C3E06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66224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82E9E4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B28988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BE000E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E2DAF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033429"/>
    <w:multiLevelType w:val="hybridMultilevel"/>
    <w:tmpl w:val="89C4A112"/>
    <w:lvl w:ilvl="0" w:tplc="B672DB02">
      <w:start w:val="1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23A71C0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F4A824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C2C126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E862A82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F1006E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C6E7A90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D4445A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4423B0C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4662A2"/>
    <w:multiLevelType w:val="hybridMultilevel"/>
    <w:tmpl w:val="423A0EC6"/>
    <w:lvl w:ilvl="0" w:tplc="153ADA5C">
      <w:start w:val="3"/>
      <w:numFmt w:val="decimal"/>
      <w:lvlText w:val="%1.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7C55F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7CC52D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ECC22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AA866CC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944BCE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783E4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D6085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CB29B2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D23968"/>
    <w:multiLevelType w:val="hybridMultilevel"/>
    <w:tmpl w:val="23A265C6"/>
    <w:lvl w:ilvl="0" w:tplc="CF3CC3D2">
      <w:start w:val="4"/>
      <w:numFmt w:val="decimal"/>
      <w:lvlText w:val="%1.)"/>
      <w:lvlJc w:val="left"/>
      <w:pPr>
        <w:ind w:left="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BD691A6">
      <w:start w:val="1"/>
      <w:numFmt w:val="lowerRoman"/>
      <w:lvlText w:val="(%2)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FA8BC8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36901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FCC0C6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1CB08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06C08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1894A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9A7016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9"/>
  </w:num>
  <w:num w:numId="9">
    <w:abstractNumId w:val="12"/>
  </w:num>
  <w:num w:numId="10">
    <w:abstractNumId w:val="5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13"/>
    <w:rsid w:val="0015619D"/>
    <w:rsid w:val="00AE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9377"/>
  <w15:docId w15:val="{14AD746F-8137-42D1-8FA2-F3D10D8A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pPr>
      <w:spacing w:after="5" w:line="266" w:lineRule="auto"/>
      <w:ind w:left="233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numPr>
        <w:numId w:val="13"/>
      </w:numPr>
      <w:spacing w:after="0"/>
      <w:ind w:left="2880" w:right="2648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3846</Words>
  <Characters>26541</Characters>
  <Application>Microsoft Office Word</Application>
  <DocSecurity>0</DocSecurity>
  <Lines>221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FÅ‚vÃ¡rosi ÃŒnk. egyÃ¼ttmÅ±kÃ¶dÃ©si megÃ¡llapodÃ¡s 3.sz. mÃ³dosÃŁtÃ¡sa 09. 09_FÅ‚v. VÃ›GLEGES 09.23.Et.kieg.tiszta</vt:lpstr>
    </vt:vector>
  </TitlesOfParts>
  <Company/>
  <LinksUpToDate>false</LinksUpToDate>
  <CharactersWithSpaces>30327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FÅ‚vÃ¡rosi ÃŒnk. egyÃ¼ttmÅ±kÃ¶dÃ©si megÃ¡llapodÃ¡s 3.sz. mÃ³dosÃŁtÃ¡sa 09. 09_FÅ‚v. VÃ›GLEGES 09.23.Et.kieg.tiszta</dc:title>
  <dc:subject/>
  <dc:creator>debreczyzbd</dc:creator>
  <cp:keywords/>
  <cp:lastModifiedBy>Rupaszov Edit Judit dr.</cp:lastModifiedBy>
  <cp:revision>2</cp:revision>
  <cp:lastPrinted>2020-10-06T07:20:00Z</cp:lastPrinted>
  <dcterms:created xsi:type="dcterms:W3CDTF">2020-10-06T07:26:00Z</dcterms:created>
  <dcterms:modified xsi:type="dcterms:W3CDTF">2020-10-06T07:26:00Z</dcterms:modified>
</cp:coreProperties>
</file>