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A2042" w:rsidRPr="00AC7E2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AC7E2E" w:rsidRDefault="001B29D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7E2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C7E2E" w:rsidRDefault="001B29D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Pr="00AC7E2E">
                  <w:rPr>
                    <w:rFonts w:ascii="Times New Roman" w:hAnsi="Times New Roman"/>
                    <w:b/>
                    <w:sz w:val="24"/>
                  </w:rPr>
                  <w:t>Garai Dóra</w:t>
                </w:r>
              </w:sdtContent>
            </w:sdt>
            <w:r w:rsidR="00475F46" w:rsidRPr="00AC7E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Pr="00AC7E2E">
                      <w:rPr>
                        <w:rFonts w:ascii="Times New Roman" w:hAnsi="Times New Roman"/>
                        <w:b/>
                        <w:sz w:val="24"/>
                      </w:rPr>
                      <w:t>Képviselő</w:t>
                    </w:r>
                  </w:sdtContent>
                </w:sdt>
              </w:sdtContent>
            </w:sdt>
          </w:p>
        </w:tc>
      </w:tr>
    </w:tbl>
    <w:p w:rsidR="00CC0CD0" w:rsidRPr="005B03DE" w:rsidRDefault="001B29D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B29D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B29D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B29D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870760" w:rsidRPr="005B03DE" w:rsidRDefault="001B29D2" w:rsidP="00E74A1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5B03DE" w:rsidRDefault="001B29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AC7E2E" w:rsidRDefault="001B29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C7E2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AC7E2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C7E2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AC7E2E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AC7E2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AC7E2E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AC7E2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AC7E2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AC7E2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AC7E2E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AC7E2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C7E2E" w:rsidRDefault="001B29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7E2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AC7E2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AC7E2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AC7E2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C7E2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B29D2" w:rsidP="00AC7E2E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Budapest Főváros VII. kerület Erzsébetváros Önkormányzata Képviselő-testületének az üzletek éjszakai nyitvatartási rendjéről szóló 25/2020. (VI. 25.) önkormányzati rendelet módosítására</w:t>
          </w:r>
          <w:r w:rsidR="00AC7E2E">
            <w:rPr>
              <w:rFonts w:ascii="Times New Roman" w:hAnsi="Times New Roman"/>
              <w:sz w:val="24"/>
            </w:rPr>
            <w:t xml:space="preserve"> - </w:t>
          </w:r>
          <w:r w:rsidR="00AC7E2E">
            <w:rPr>
              <w:rFonts w:ascii="Times New Roman" w:hAnsi="Times New Roman"/>
              <w:sz w:val="24"/>
              <w:szCs w:val="24"/>
            </w:rPr>
            <w:t xml:space="preserve">a kerületben működő </w:t>
          </w:r>
          <w:r w:rsidR="00AC7E2E">
            <w:rPr>
              <w:rFonts w:ascii="Times New Roman" w:eastAsia="Calibri" w:hAnsi="Times New Roman"/>
              <w:sz w:val="24"/>
              <w:szCs w:val="24"/>
            </w:rPr>
            <w:t xml:space="preserve">vendéglátó üzletek 24 és 6 óra közötti kötelező </w:t>
          </w:r>
          <w:proofErr w:type="spellStart"/>
          <w:r w:rsidR="00AC7E2E">
            <w:rPr>
              <w:rFonts w:ascii="Times New Roman" w:eastAsia="Calibri" w:hAnsi="Times New Roman"/>
              <w:sz w:val="24"/>
              <w:szCs w:val="24"/>
            </w:rPr>
            <w:t>zárvatartásának</w:t>
          </w:r>
          <w:proofErr w:type="spellEnd"/>
          <w:r w:rsidR="00AC7E2E">
            <w:rPr>
              <w:rFonts w:ascii="Times New Roman" w:eastAsia="Calibri" w:hAnsi="Times New Roman"/>
              <w:sz w:val="24"/>
              <w:szCs w:val="24"/>
            </w:rPr>
            <w:t xml:space="preserve"> és az üzletek teraszainak főszabályként 22 és 6 óra közötti kötelező </w:t>
          </w:r>
          <w:proofErr w:type="spellStart"/>
          <w:r w:rsidR="00AC7E2E">
            <w:rPr>
              <w:rFonts w:ascii="Times New Roman" w:eastAsia="Calibri" w:hAnsi="Times New Roman"/>
              <w:sz w:val="24"/>
              <w:szCs w:val="24"/>
            </w:rPr>
            <w:t>zárvatartásának</w:t>
          </w:r>
          <w:proofErr w:type="spellEnd"/>
          <w:r w:rsidR="00AC7E2E">
            <w:rPr>
              <w:rFonts w:ascii="Times New Roman" w:eastAsia="Calibri" w:hAnsi="Times New Roman"/>
              <w:sz w:val="24"/>
              <w:szCs w:val="24"/>
            </w:rPr>
            <w:t xml:space="preserve"> elrendelésére</w:t>
          </w:r>
          <w:r w:rsidR="00AC7E2E">
            <w:rPr>
              <w:rFonts w:ascii="Times New Roman" w:eastAsia="Calibri" w:hAnsi="Times New Roman"/>
              <w:sz w:val="24"/>
              <w:szCs w:val="24"/>
            </w:rPr>
            <w:t xml:space="preserve"> 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B29D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B29D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Garai Dóra</w:t>
          </w:r>
        </w:sdtContent>
      </w:sdt>
    </w:p>
    <w:p w:rsidR="00CC0CD0" w:rsidRPr="005B03DE" w:rsidRDefault="001B29D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képviselő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A15" w:rsidRPr="005B03DE" w:rsidRDefault="00E74A1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B29D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B29D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B29D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A15" w:rsidRDefault="00E74A1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A15" w:rsidRDefault="00E74A1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0AA8" w:rsidRPr="005B03DE" w:rsidRDefault="00F60A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74A15" w:rsidRDefault="001B29D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74A1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74A1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74A15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1B29D2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74A15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</w:t>
      </w:r>
      <w:r w:rsidRPr="00E74A15">
        <w:rPr>
          <w:rFonts w:ascii="Times New Roman" w:hAnsi="Times New Roman"/>
          <w:b/>
          <w:bCs/>
          <w:sz w:val="24"/>
          <w:szCs w:val="24"/>
          <w:lang w:val="x-none"/>
        </w:rPr>
        <w:t>ített</w:t>
      </w:r>
      <w:r w:rsidRPr="00E74A1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60AA8" w:rsidRDefault="00F60AA8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3A2042" w:rsidRDefault="003A204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A07" w:rsidRDefault="00C63A0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belső-erzsébetvárosi lakók helyzete az elmúlt négy és fél év alatt még mindig nem lett rendezve, ső</w:t>
      </w:r>
      <w:r>
        <w:rPr>
          <w:rFonts w:ascii="Times New Roman" w:hAnsi="Times New Roman"/>
          <w:sz w:val="24"/>
          <w:szCs w:val="24"/>
        </w:rPr>
        <w:t>t, tovább romlott. Nagyon szomorú, hogy az úgynevezett „bulinegyed” kárvallottjai, erzsébetvárosi polgárok, a mai napig nem gyakorolhatják a pihenéshez, egészséges környezethez való jogukat, amit továbbra is</w:t>
      </w:r>
      <w:r>
        <w:rPr>
          <w:rFonts w:ascii="Times New Roman" w:hAnsi="Times New Roman"/>
          <w:sz w:val="24"/>
          <w:szCs w:val="24"/>
        </w:rPr>
        <w:t xml:space="preserve"> számtalan lakossági panasz, videofelvétel és ké</w:t>
      </w:r>
      <w:r>
        <w:rPr>
          <w:rFonts w:ascii="Times New Roman" w:hAnsi="Times New Roman"/>
          <w:sz w:val="24"/>
          <w:szCs w:val="24"/>
        </w:rPr>
        <w:t>pi dokumentáció igazol.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ősze óta számos próbálkozás volt arra, hogy valamifajta kompromisszum szülessen a természetszerűen profitorientált vállalkozások és a lakosság között, ezek a próbálkozások azonban láthatóan nem hozták meg az elvárt eredményt. </w:t>
      </w:r>
      <w:r>
        <w:rPr>
          <w:rFonts w:ascii="Times New Roman" w:hAnsi="Times New Roman"/>
          <w:sz w:val="24"/>
          <w:szCs w:val="24"/>
        </w:rPr>
        <w:t>Az elmúlt évek bebizonyították, hogy itt egy olyan érdekellentét áll fenn, amelyet mindkét fél számára megnyugtató módon rendezni nem lehet.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Ennél fogva az önkormányzatnak, a kerület képviselőinek el kell döntenie, kit képviselnek</w:t>
      </w:r>
      <w:r w:rsidR="005D6244">
        <w:rPr>
          <w:rFonts w:ascii="Times New Roman" w:hAnsi="Times New Roman"/>
          <w:sz w:val="24"/>
          <w:szCs w:val="24"/>
        </w:rPr>
        <w:t xml:space="preserve">. A </w:t>
      </w:r>
      <w:r>
        <w:rPr>
          <w:rFonts w:ascii="Times New Roman" w:hAnsi="Times New Roman"/>
          <w:sz w:val="24"/>
          <w:szCs w:val="24"/>
        </w:rPr>
        <w:t xml:space="preserve">kerületben működő, de </w:t>
      </w:r>
      <w:r>
        <w:rPr>
          <w:rFonts w:ascii="Times New Roman" w:hAnsi="Times New Roman"/>
          <w:sz w:val="24"/>
          <w:szCs w:val="24"/>
        </w:rPr>
        <w:t xml:space="preserve">nagyrészt máshová bejelentett vállalkozókat, vagy a kerületi polgárokat, akik </w:t>
      </w:r>
      <w:proofErr w:type="gramStart"/>
      <w:r>
        <w:rPr>
          <w:rFonts w:ascii="Times New Roman" w:hAnsi="Times New Roman"/>
          <w:sz w:val="24"/>
          <w:szCs w:val="24"/>
        </w:rPr>
        <w:t>azóta</w:t>
      </w:r>
      <w:proofErr w:type="gramEnd"/>
      <w:r>
        <w:rPr>
          <w:rFonts w:ascii="Times New Roman" w:hAnsi="Times New Roman"/>
          <w:sz w:val="24"/>
          <w:szCs w:val="24"/>
        </w:rPr>
        <w:t xml:space="preserve"> is számosan költöznek el a belső kerületrészből, megelégelve az áldatlan állapotokat. </w:t>
      </w:r>
    </w:p>
    <w:p w:rsidR="005D6244" w:rsidRDefault="005D62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probléma</w:t>
      </w:r>
      <w:proofErr w:type="gramEnd"/>
      <w:r>
        <w:rPr>
          <w:rFonts w:ascii="Times New Roman" w:hAnsi="Times New Roman"/>
          <w:sz w:val="24"/>
          <w:szCs w:val="24"/>
        </w:rPr>
        <w:t xml:space="preserve"> megoldására </w:t>
      </w:r>
      <w:proofErr w:type="spellStart"/>
      <w:r>
        <w:rPr>
          <w:rFonts w:ascii="Times New Roman" w:hAnsi="Times New Roman"/>
          <w:sz w:val="24"/>
          <w:szCs w:val="24"/>
        </w:rPr>
        <w:t>életrehívott</w:t>
      </w:r>
      <w:proofErr w:type="spellEnd"/>
      <w:r>
        <w:rPr>
          <w:rFonts w:ascii="Times New Roman" w:hAnsi="Times New Roman"/>
          <w:sz w:val="24"/>
          <w:szCs w:val="24"/>
        </w:rPr>
        <w:t xml:space="preserve"> Belső-Erzsébetvárosi Munkacsoport vezetője 2022-b</w:t>
      </w:r>
      <w:r>
        <w:rPr>
          <w:rFonts w:ascii="Times New Roman" w:hAnsi="Times New Roman"/>
          <w:sz w:val="24"/>
          <w:szCs w:val="24"/>
        </w:rPr>
        <w:t>en az alpolgármesterségről is lemondott, lemondása óta elérhetetlen volt, a delegáltak szerint nem is létezett a Munkacsoport, amely utolsó ülését 2022 január 12-én tartotta, és a Képviselő-testület a 301/2022. (XII.7.) számú határozatával döntött a Munkac</w:t>
      </w:r>
      <w:r>
        <w:rPr>
          <w:rFonts w:ascii="Times New Roman" w:hAnsi="Times New Roman"/>
          <w:sz w:val="24"/>
          <w:szCs w:val="24"/>
        </w:rPr>
        <w:t>soport megszüntetéséről, majdnem egy évvel az utolsó ülés után.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óta megéltünk betarthatatlan szabályozási kísérleteket, tesztidőszakokat, ideiglenes </w:t>
      </w:r>
      <w:r>
        <w:rPr>
          <w:rFonts w:ascii="Times New Roman" w:hAnsi="Times New Roman"/>
          <w:sz w:val="24"/>
          <w:szCs w:val="24"/>
        </w:rPr>
        <w:t>rendelkezéseket. Megpróbáltuk, nem működött. Miért nem próbáljuk meg akkor most azt, amit a belső-erzs</w:t>
      </w:r>
      <w:r>
        <w:rPr>
          <w:rFonts w:ascii="Times New Roman" w:hAnsi="Times New Roman"/>
          <w:sz w:val="24"/>
          <w:szCs w:val="24"/>
        </w:rPr>
        <w:t xml:space="preserve">ébetvárosiak kérnek? </w:t>
      </w:r>
    </w:p>
    <w:p w:rsidR="003A2042" w:rsidRDefault="001B29D2">
      <w:pPr>
        <w:suppressAutoHyphens/>
        <w:spacing w:after="0" w:line="240" w:lineRule="auto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Közel 800, életvitel-szerűen Belső-Erzsébetvárosban élő, valóban érintett helyi lakó támogató aláírása szól a 24 és 6 órai zárvatartás mellett.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"/>
        </w:rPr>
        <w:t xml:space="preserve">A 2018-as helyi népszavazás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óta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vagy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"/>
        </w:rPr>
        <w:t>azt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megelőz</w:t>
      </w:r>
      <w:r w:rsidR="00C63A07">
        <w:rPr>
          <w:rFonts w:ascii="Times New Roman" w:hAnsi="Times New Roman"/>
          <w:sz w:val="24"/>
          <w:szCs w:val="24"/>
          <w:lang w:val="en"/>
        </w:rPr>
        <w:t>ő</w:t>
      </w:r>
      <w:r>
        <w:rPr>
          <w:rFonts w:ascii="Times New Roman" w:hAnsi="Times New Roman"/>
          <w:sz w:val="24"/>
          <w:szCs w:val="24"/>
          <w:lang w:val="en"/>
        </w:rPr>
        <w:t>en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ismerve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például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Budapest Főváros VI.</w:t>
      </w:r>
      <w:r>
        <w:rPr>
          <w:rFonts w:ascii="Times New Roman" w:hAnsi="Times New Roman"/>
          <w:sz w:val="24"/>
          <w:szCs w:val="24"/>
          <w:lang w:val="en"/>
        </w:rPr>
        <w:t xml:space="preserve"> kerület Terézváros Önkormányzata Képviselő-testületének az üzletek éjszakai nyitva</w:t>
      </w:r>
      <w:bookmarkStart w:id="1" w:name="page3R_mcid0"/>
      <w:bookmarkEnd w:id="1"/>
      <w:r>
        <w:rPr>
          <w:rFonts w:ascii="Times New Roman" w:hAnsi="Times New Roman"/>
          <w:sz w:val="24"/>
          <w:szCs w:val="24"/>
          <w:lang w:val="en"/>
        </w:rPr>
        <w:t xml:space="preserve"> tartásának rendjéről szóló 20/2009. (VI. 29.) önkormányzati rendeletét, a világörökségi területen is szabályozhatja rendeletben a települési (a fővárosban a kerületi) önkor</w:t>
      </w:r>
      <w:r>
        <w:rPr>
          <w:rFonts w:ascii="Times New Roman" w:hAnsi="Times New Roman"/>
          <w:sz w:val="24"/>
          <w:szCs w:val="24"/>
          <w:lang w:val="en"/>
        </w:rPr>
        <w:t>mányzatok képviselő-testülete az üzletek éjszakai nyitvatartását. A Fővárosi Törvényszék a  2.Kpk.670.453/2017/4. végézésben rögzíti egyebek között azt, hogy: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val="en"/>
        </w:rPr>
        <w:t xml:space="preserve">„...a Kertv. </w:t>
      </w:r>
      <w:r>
        <w:rPr>
          <w:rFonts w:ascii="Times New Roman" w:hAnsi="Times New Roman"/>
          <w:sz w:val="24"/>
          <w:szCs w:val="24"/>
          <w:lang w:val="en"/>
        </w:rPr>
        <w:t xml:space="preserve">[a kereskedelemről szóló 2005. évi CLXIV. törvény] </w:t>
      </w:r>
      <w:r>
        <w:rPr>
          <w:rFonts w:ascii="Times New Roman" w:hAnsi="Times New Roman"/>
          <w:i/>
          <w:iCs/>
          <w:sz w:val="24"/>
          <w:szCs w:val="24"/>
          <w:lang w:val="en"/>
        </w:rPr>
        <w:t>6.§ (8) bekezdése ... a világörök</w:t>
      </w:r>
      <w:r>
        <w:rPr>
          <w:rFonts w:ascii="Times New Roman" w:hAnsi="Times New Roman"/>
          <w:i/>
          <w:iCs/>
          <w:sz w:val="24"/>
          <w:szCs w:val="24"/>
          <w:lang w:val="en"/>
        </w:rPr>
        <w:t>ségi terület tekintetében a jegyzőre ruházza át az üzletek 24.00 és 6.00 közötti nyitva tartásának engedélyezését. ... a Kertv. 6.§ (4) bekezdése az üzletek 22.00 és 6.00 közötti nyitva tartásának rendeletben való szabályozását az önkormányzati képviselő-t</w:t>
      </w:r>
      <w:r>
        <w:rPr>
          <w:rFonts w:ascii="Times New Roman" w:hAnsi="Times New Roman"/>
          <w:i/>
          <w:iCs/>
          <w:sz w:val="24"/>
          <w:szCs w:val="24"/>
          <w:lang w:val="en"/>
        </w:rPr>
        <w:t xml:space="preserve">estületre delegálja, ezzel szemben a Kertv. 6.§ (8) bekezdése a világörökségi területen működő üzlet 24.00 és 6.00 közötti nyitva tartásának engedélyezéséhez ad felhatalmazást a jegyzőnek. A 6.§ (8) bekezdés jogszabályba való beemelésére azért került sor, </w:t>
      </w:r>
      <w:r>
        <w:rPr>
          <w:rFonts w:ascii="Times New Roman" w:hAnsi="Times New Roman"/>
          <w:i/>
          <w:iCs/>
          <w:sz w:val="24"/>
          <w:szCs w:val="24"/>
          <w:lang w:val="en"/>
        </w:rPr>
        <w:t xml:space="preserve">mert </w:t>
      </w:r>
      <w:r>
        <w:rPr>
          <w:rFonts w:ascii="Times New Roman" w:hAnsi="Times New Roman"/>
          <w:i/>
          <w:iCs/>
          <w:sz w:val="24"/>
          <w:szCs w:val="24"/>
          <w:u w:val="single"/>
          <w:lang w:val="en"/>
        </w:rPr>
        <w:t>a világörökségi területbe tartozó kiemelt jelentőségű területeken az általánostól eltérően szigorúbb szabályozás érvényesül a nyitva tartás szempontjából, azonban ez a speciális törvényi rendelkezés nem vonja el a képviselő-testülettől a rendeletben t</w:t>
      </w:r>
      <w:r>
        <w:rPr>
          <w:rFonts w:ascii="Times New Roman" w:hAnsi="Times New Roman"/>
          <w:i/>
          <w:iCs/>
          <w:sz w:val="24"/>
          <w:szCs w:val="24"/>
          <w:u w:val="single"/>
          <w:lang w:val="en"/>
        </w:rPr>
        <w:t>örténő szabályozás lehetőségét</w:t>
      </w:r>
      <w:r>
        <w:rPr>
          <w:rFonts w:ascii="Times New Roman" w:hAnsi="Times New Roman"/>
          <w:i/>
          <w:iCs/>
          <w:sz w:val="24"/>
          <w:szCs w:val="24"/>
          <w:lang w:val="en"/>
        </w:rPr>
        <w:t xml:space="preserve">.ˮ </w:t>
      </w:r>
    </w:p>
    <w:p w:rsidR="003A2042" w:rsidRDefault="001B29D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döntést vizsgáló Kúria kifejtette, hogy „</w:t>
      </w:r>
      <w:r>
        <w:rPr>
          <w:rFonts w:ascii="Times New Roman" w:hAnsi="Times New Roman"/>
          <w:i/>
          <w:color w:val="000000"/>
          <w:sz w:val="24"/>
          <w:szCs w:val="24"/>
        </w:rPr>
        <w:t>A Kúria a fentiek hangsúlyozása mellett a fellebbezéssel támadott végzést a Pp.</w:t>
      </w:r>
      <w:r>
        <w:rPr>
          <w:rFonts w:ascii="Times New Roman" w:hAnsi="Times New Roman"/>
          <w:color w:val="000000"/>
          <w:sz w:val="24"/>
          <w:szCs w:val="24"/>
        </w:rPr>
        <w:t xml:space="preserve"> [a polgári perrendtartásról szóló 2016. évi CXXX. törvény]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259. §-a alapján alkalmazandó Pp. </w:t>
      </w:r>
      <w:r>
        <w:rPr>
          <w:rFonts w:ascii="Times New Roman" w:hAnsi="Times New Roman"/>
          <w:i/>
          <w:color w:val="000000"/>
          <w:sz w:val="24"/>
          <w:szCs w:val="24"/>
        </w:rPr>
        <w:t>253. § (2) bekezdése alapján helyes indokainál fogva helybenhagyta.”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Ezen többszintű bírósági jogi álláspontot osztva, továbbá, hogy </w:t>
      </w:r>
      <w:r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>a Magyarország helyi önkormányzat</w:t>
      </w:r>
      <w:r w:rsidR="0049751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>iról szóló 2011. évi CLXXXIX. törvény 133. § (3) bekezdésében biztosított jogkörében eljár</w:t>
      </w:r>
      <w:r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 xml:space="preserve">va Budapest Főváros XI. kerület Újbuda Önkormányzata (a továbbiakban: Újbuda Önkormányzata) Polgármesteri </w:t>
      </w:r>
      <w:r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lastRenderedPageBreak/>
        <w:t xml:space="preserve">Hivatal Hatósági Igazgatósága Igazgatójának Újbuda Önkormányzata jegyzőjének megbízásából szakmai segítségnyújtás tárgyában előterjesztett kérésére a </w:t>
      </w:r>
      <w:r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 xml:space="preserve">Kormányhivatal által Újbuda Önkormányzata jegyzőjének megküldött, BP/2800/00160-3/2023 iktatószámú, a Kormányhivatal főispánja által 2023. május 17-én, 16 óra 3 perc 48 másodpercében digitálisan aláírt, az üzletek éjszakai nyitvatartásának szabályozásával </w:t>
      </w:r>
      <w:r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>kapcsolatos szakmai segítségnyújtás-tárgyú tájékoztatás, jogi vélemény - a Miniszterelnökség Hatósági Ügyekért felelős Helyettes Államtitkárának TKF-1/155/6/2023. számú, 2023. május 3-án kelt, országosan valamennyi kormányhivatal főispánjának megküldött sz</w:t>
      </w:r>
      <w:r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>akmai állásfoglalása alapján - többek között az alábbiakat rögzíti: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>„A veszélyhelyzettel összefüggő átmeneti szabályokról szóló 2021. évi XCIX. törvény (a továbbiakban: Átmeneti tv.) valamennyi rendelkezése tekintetében – így a vendéglátó üzletek nyitvatar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>tására vonatkozóan is – irányadóak a 2. § előírásai, amely szerint „Ez a törvény a veszélyhelyzet következtében az állampolgárok élet-, egészség-, személyi-, vagyon- és jogbiztonságának, valamint a nemzetgazdaság stabilitásának garantálása érdekében szüksé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ges – így különösen egyes, veszélyhelyzet idején hozott rendkívüli intézkedésekkel összefüggő 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>átmeneti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 – szabályokat állapítja meg.”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>Az Átmeneti törvény 149. § (1) bekezdése értelmében „a közterület e törvény szerinti használatára</w:t>
      </w:r>
      <w:r w:rsidR="00497516"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 xml:space="preserve">2022. szeptember 30. 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>napjáig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 a közterülethez közvetlenül csatlakozó vendéglátó üzletnek az</w:t>
      </w:r>
      <w:r w:rsidR="00497516"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>üzemeltetője, bérlője vagy tulajdonosa (a továbbiakban együtt: használó) közterület-használati</w:t>
      </w:r>
      <w:r w:rsidR="00497516"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>hozzájárulás megfizetése nélkül ingyenesen jogosult”; a 149. § (8) bekezdése pedig kimondja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>, hogy „a vendéglátó üzlet nyitvatartására vonatkozóan a 2020. december 31. napján hatályos, a települési önkormányzat által alkotott szabályok az irányadóak azzal, hogy a vendéglátó üzlet számára előnyösebb működési feltételeket biztosító szabályok megáll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>apíthatóak.”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A Miniszterelnökség véleménye szerint, 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>ha a 149. § (8) bekezdésében foglalt rendelkezést a jogintézmény szabályozási környezetéből kiragadjuk, az olyan – az Átmeneti tv. 2. §-a szerinti általános rendelkezéssel ellentétes – megállapításhoz ve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>zethet, amely szerint a 149. § (8) bekezdése mindaddig alkalmazandó, amíg a törvény hatályban van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>. Kiemelte továbbá, hogy a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 xml:space="preserve">z előzőekben idézett 149. § (1) bekezdése átmeneti jogintézményről rendelkezik, amelyhez kapcsolódó kisegítő szabálynak tekinthető a 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>(8) bekezdés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>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i/>
          <w:iCs/>
          <w:color w:val="000000"/>
          <w:sz w:val="24"/>
          <w:szCs w:val="24"/>
          <w:shd w:val="clear" w:color="auto" w:fill="FFFFFF"/>
        </w:rPr>
        <w:t xml:space="preserve">Figyelemmel tehát arra, hogy az Átmeneti tv. 149. § (8) bekezdése az (1) bekezdés kisegítő szabálya, 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  <w:shd w:val="clear" w:color="auto" w:fill="FFFFFF"/>
        </w:rPr>
        <w:t>ez a rendelkezés is 2022. szeptember 30-ig volt alkalmazható, ezt követően e tárgykörben is visszaállt az önkormányzatok szabályozási szabads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  <w:shd w:val="clear" w:color="auto" w:fill="FFFFFF"/>
        </w:rPr>
        <w:t>ága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  <w:shd w:val="clear" w:color="auto" w:fill="FFFFFF"/>
        </w:rPr>
        <w:t>”</w:t>
      </w:r>
      <w:r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 xml:space="preserve"> - a Képviselő-testület 2022. október óta korlátozó veszélyhelyzeti rendelkezés nélkül ismét jogosult szabályozni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az üzletek éjszakai nyitvatartási rendjét az Önkormányzat teljes közigazgatási területén.</w:t>
      </w:r>
    </w:p>
    <w:p w:rsidR="003A2042" w:rsidRDefault="001B29D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egyedi esetekben igénybe vehető közigazgatási</w:t>
      </w:r>
      <w:r>
        <w:rPr>
          <w:rFonts w:ascii="Times New Roman" w:hAnsi="Times New Roman"/>
          <w:color w:val="000000"/>
          <w:sz w:val="24"/>
          <w:szCs w:val="24"/>
        </w:rPr>
        <w:t xml:space="preserve"> hatósági út nem adott megfelelő választ az üzletek éjszakai működéséből eredő helyi társadalmi feszültség kezelésére Belső-Erzsébetvárosban, amit az Alapvető Jogok Biztosának Hivatala AJB-4206-3/2017. számú állásfoglalása is alátámaszt:</w:t>
      </w:r>
    </w:p>
    <w:p w:rsidR="003A2042" w:rsidRDefault="003A204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2042" w:rsidRDefault="001B29D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„</w:t>
      </w:r>
      <w:r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Jogosan merül fel a kérdés, hogy elegendő-e a jogszabályszerű hatósági fellépés, ha annak ellenére sem változik érdemben a panaszok alapját képező állapot. A vizsgálatok alapján is egyértelműnek látszik, hogy a belső-erzsébetvárosi szórakozóhelyek oly nagy</w:t>
      </w:r>
      <w:r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 xml:space="preserve"> számban működnek, hogy </w:t>
      </w:r>
      <w:r>
        <w:rPr>
          <w:rFonts w:ascii="Times New Roman" w:hAnsi="Times New Roman"/>
          <w:i/>
          <w:iCs/>
          <w:color w:val="000000"/>
          <w:sz w:val="24"/>
          <w:szCs w:val="24"/>
          <w:u w:val="single"/>
          <w:shd w:val="clear" w:color="auto" w:fill="FFFFFF"/>
        </w:rPr>
        <w:t>a jegyző hatósági jogkörei adta lehetőségek, azaz pusztán az utólagos szankcionálás nem hoz kellő eredményt</w:t>
      </w:r>
      <w:r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.”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Az urbanizáltság foka és jellege, a terület beépítettsége és népsűrűsége, Belső-Erzsébetvárosban az elmúlt évek során a s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zabályozatlan vagy nem ellenőrzött nyitvatartást kihasználó, igénytelen vendéglátási formák tömeges megjelenése, az idegenforgalom és a vendéglátás egyoldalúan, a – lakófunkcióval összeegyeztethetetlen – szórakozónegyed-funkcióra alapozottsága, az éjszakai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szórakozóhelyek túlzott területi koncentrációja helyi sajátosságként indokolttá teszi, hogy az Önkormányzat – az egyedi és utólagos hatósági fellépési lehetőségeken túl – normatív módon, betartható jogi eszközökkel védje a helyi lakosság éjszakai nyugalmá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t. Ha 200 üzlet tarthat nyitva akár nonstop,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akkor továbbra is felvetődhet az alapvető jogokkal kapcsolatos visszá</w:t>
      </w:r>
      <w:r w:rsidR="000978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ság, amelyre az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AJB-4206-3/2017. számú állásfoglalás - a már hatályon kívül helyezett, az üzletek éjszakai nyitva tartásáról szóló 9/2013. (I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I. 22.) önkormányzati rendelet vonatkozásában, amely a területi hatály kapcsán is megegyezik a jelenlegi szabályozással – kitért: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„Az a szabályozási megoldás pedig, amely szerint a kerületnek épp azon részében nincs korlátozva az éjszakai nyitva tartás, a</w:t>
      </w:r>
      <w:r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melyben szinte egymást érik a vendéglátó üzletek, felveti az alapjogi visszásság gyanúját.”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rendelet a lakók egészséges környezethez való jogának biztosítása érdekében kétszáz, jelenleg 24 és 6 óra között nyitva tartó vendéglátó egység 24 óra utáni nyi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tvatartási idejét korlátozná - a </w:t>
      </w:r>
      <w:r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>kereskedők érdekeit is figyelembe véve, hiszen a vendéglátó üzletek éjszakai nyitvatartásának 24 és 6 óra közötti korlátozása a kereskedelemről szóló 2005. évi CLXIV. törvény 6. § (4) bekezdésében nevesített 22 és 6 óra köz</w:t>
      </w:r>
      <w:r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>ötti nyitvatartási idő korlátozásánál megengedőbb szabályozás.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rendelettervezet az arányosság elvének megfelelve nem foszt meg egyetlen vállalkozót, vagy vállalkozók meghatározott csoportját a vállalkozási szabadsághoz fűződő jogától, nem diszkriminatív,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az Önkormányzat közigazgatási területén működő valamennyi vendéglátó üzlet számára egyenlő versenyhelyzetet teremt és a kerületben élők pihenéshez, egészséges környezethez való jogát is egyenlő mértékben biztosítja. 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</w:t>
      </w:r>
      <w:r>
        <w:rPr>
          <w:rFonts w:ascii="Times New Roman" w:hAnsi="Times New Roman"/>
          <w:sz w:val="24"/>
          <w:szCs w:val="24"/>
        </w:rPr>
        <w:t>ét a Magyarország helyi önkormányzatairól szóló 2011. évi CLXXXIX. törvény 42.§ 1. pontja alapozza meg, mely szerint a képviselő-testület hatásköréből nem ruházható át a rendeletalkotás.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FAB" w:rsidRDefault="00436FA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3A2042" w:rsidRDefault="003A204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>Önkormányzata Képviselő-testületének a</w:t>
      </w:r>
      <w:r>
        <w:rPr>
          <w:rFonts w:ascii="Times New Roman" w:eastAsia="Calibri" w:hAnsi="Times New Roman"/>
          <w:bCs/>
          <w:sz w:val="24"/>
          <w:szCs w:val="24"/>
        </w:rPr>
        <w:t>z üzletek éjszakai nyitvatartási rendjéről szóló 25/2020. (VI.25.) önkormányzati rendelet módosítására irányuló rendelet</w:t>
      </w:r>
      <w:r>
        <w:rPr>
          <w:rFonts w:ascii="Times New Roman" w:hAnsi="Times New Roman"/>
          <w:sz w:val="24"/>
          <w:szCs w:val="24"/>
        </w:rPr>
        <w:t xml:space="preserve"> várható hatásai a jogalkotásról szóló 2010. évi CXXX. törvény 17. §-a szerint: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FAB" w:rsidRDefault="00436FA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A jogszabály t</w:t>
      </w:r>
      <w:r>
        <w:rPr>
          <w:rFonts w:ascii="Times New Roman" w:hAnsi="Times New Roman"/>
          <w:b/>
          <w:sz w:val="24"/>
          <w:szCs w:val="24"/>
        </w:rPr>
        <w:t>ársadalmi, gazdasági, költségvetési hatásai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vendéglátóhelynek a rendelet módosítása szerint éjfélkor be kell zárnia, az emberek partikultúrája normalizálódni fog, visszatér arra a nem is olyan régi, de már elfelejtett időbeosztásra, miszerint </w:t>
      </w:r>
      <w:r>
        <w:rPr>
          <w:rFonts w:ascii="Times New Roman" w:hAnsi="Times New Roman"/>
          <w:sz w:val="24"/>
          <w:szCs w:val="24"/>
        </w:rPr>
        <w:t>este hattól tizenegyig is meg lehet ugyanazt a találkozót ejteni, mint tizenegytől hajnali négyig. Aki ezután is szeretne bulizni, annak 1-2 kiválasztott klub teret adhat, ha a klubok visszatérhetnek az olyan, barna és ipari zónákban lévő, netán külterület</w:t>
      </w:r>
      <w:r>
        <w:rPr>
          <w:rFonts w:ascii="Times New Roman" w:hAnsi="Times New Roman"/>
          <w:sz w:val="24"/>
          <w:szCs w:val="24"/>
        </w:rPr>
        <w:t xml:space="preserve">i részekre, ahol nem zavarják a városlakókat. 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az éjjeli kontrollálatlan buli megszűnik, Erzsébetváros elkezdheti a nagytakarítást. Tisztább utcák, csökkenő bűnözés, jobb közhangulat. Pár év múlva újra vonzó célponttá válhat Erzsébetváros hajdanvolt lak</w:t>
      </w:r>
      <w:r>
        <w:rPr>
          <w:rFonts w:ascii="Times New Roman" w:hAnsi="Times New Roman"/>
          <w:sz w:val="24"/>
          <w:szCs w:val="24"/>
        </w:rPr>
        <w:t>óinak, az adófizető középosztálybelieknek és családosoknak, a belváros vonzóvá válik azok számára, akik családdal költöznének, vagy itt tervezik a családalapítást. A kerület takarítására és a vendéglátást folytató üzletek vendégköre által okozott szennyezé</w:t>
      </w:r>
      <w:r>
        <w:rPr>
          <w:rFonts w:ascii="Times New Roman" w:hAnsi="Times New Roman"/>
          <w:sz w:val="24"/>
          <w:szCs w:val="24"/>
        </w:rPr>
        <w:t>s, rongálás, anyagi károk helyreállítására fordított költségek lecsökkennek, az így felszabaduló forrás fordítható lesz a kerület fejlesztésére, akár a társasházak homlokzatának megújulására kiírt pályázatok tőkéjének növelésére, de a lehetőségek szerteága</w:t>
      </w:r>
      <w:r>
        <w:rPr>
          <w:rFonts w:ascii="Times New Roman" w:hAnsi="Times New Roman"/>
          <w:sz w:val="24"/>
          <w:szCs w:val="24"/>
        </w:rPr>
        <w:t>zóak.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város központja nem fog arrébb menni, a turizmus pedig világszerte növekszik, így a kerület továbbra is lehet a hátizsákos turisták mekkája, akik mellé sok nagyobb vásárlóerővel rendelkező vendég is érkezhet, ők pedig továbbra is el fogják tartani </w:t>
      </w:r>
      <w:r>
        <w:rPr>
          <w:rFonts w:ascii="Times New Roman" w:hAnsi="Times New Roman"/>
          <w:sz w:val="24"/>
          <w:szCs w:val="24"/>
        </w:rPr>
        <w:t xml:space="preserve">a kerületi vállalkozások közül azokat, akik hajlandóak az </w:t>
      </w:r>
      <w:r>
        <w:rPr>
          <w:rFonts w:ascii="Times New Roman" w:hAnsi="Times New Roman"/>
          <w:sz w:val="24"/>
          <w:szCs w:val="24"/>
        </w:rPr>
        <w:lastRenderedPageBreak/>
        <w:t>együttélés játékszabályai szerint játszani. A turizmus összetétele a városvezetés célkitűzésének megfelelően az igényesebb, kulturális turizmus felé fog elmozdulni. Az éttermek, színházak, kiállítóh</w:t>
      </w:r>
      <w:r>
        <w:rPr>
          <w:rFonts w:ascii="Times New Roman" w:hAnsi="Times New Roman"/>
          <w:sz w:val="24"/>
          <w:szCs w:val="24"/>
        </w:rPr>
        <w:t>elyek száma, és a városnéző, többet költő, de kárt, problémákat nem okozó középosztálybeli turisták száma nő, a keveset költő, kárt okozó bulituristák száma pedig csökkenni fog. Ennek következtében a szállásadóhelyek profilja is átalakul. Ha nincs olcsó tö</w:t>
      </w:r>
      <w:r>
        <w:rPr>
          <w:rFonts w:ascii="Times New Roman" w:hAnsi="Times New Roman"/>
          <w:sz w:val="24"/>
          <w:szCs w:val="24"/>
        </w:rPr>
        <w:t>meges buli, ezek a vendégek nem jönnek. Ezzel a problémás vendégeket kiszolgáló szálláshelyek, partyhosztelek is vissza fognak szorulni, az igényesebb, többet költő családos turistákkal együtt pedig a vendégéjszakák száma növekedni fog. Erzsébetváros megmu</w:t>
      </w:r>
      <w:r>
        <w:rPr>
          <w:rFonts w:ascii="Times New Roman" w:hAnsi="Times New Roman"/>
          <w:sz w:val="24"/>
          <w:szCs w:val="24"/>
        </w:rPr>
        <w:t>tathatja igazi arcát, a műemlékeit, történelmi emlékeit, lesz aki kíváncsi lesz kitatarozott házaira, tereire, gazdag és színes múltjára. Erzsébetvárosnak ez a kitörési pontja.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visszaköltöző lakóknak és az átalakuló turizmus-profilnak köszönhetően új, sz</w:t>
      </w:r>
      <w:r>
        <w:rPr>
          <w:rFonts w:ascii="Times New Roman" w:hAnsi="Times New Roman"/>
          <w:sz w:val="24"/>
          <w:szCs w:val="24"/>
        </w:rPr>
        <w:t>élesebb spektrumon mozgó vállalkozások jelennek meg. Várjuk az új cukrászdák, pékségek, és még több kávézó és étterem létrejöttét. Olyan vállalkozásokét, amik a lakosság igényeit szolgálják ki, akár az olyan lakosságét, például kisgyerekes családokét, akik</w:t>
      </w:r>
      <w:r>
        <w:rPr>
          <w:rFonts w:ascii="Times New Roman" w:hAnsi="Times New Roman"/>
          <w:sz w:val="24"/>
          <w:szCs w:val="24"/>
        </w:rPr>
        <w:t xml:space="preserve"> sajnos egyre kevesebben vannak a kerületben. Ezzel a turisták számára is egy valódi város képét mutatná a kerület. Mert ne feledjük, a legtöbben még mindig a városunk miatt, és nem az olcsó pia miatt jönnek. Azok, akik látva a normalizálódó állapotokat és</w:t>
      </w:r>
      <w:r>
        <w:rPr>
          <w:rFonts w:ascii="Times New Roman" w:hAnsi="Times New Roman"/>
          <w:sz w:val="24"/>
          <w:szCs w:val="24"/>
        </w:rPr>
        <w:t xml:space="preserve"> a békés, másfajta színvonalon működő pezsgést, Erzsébetvárost választják új otthonuknak, új életet hoznak a kerületbe. Érdekeltek lesznek a házak felújításában, szívükön viselik a kerület sorsát, mert nem csak messziről szemlélve, befektetési céllal terve</w:t>
      </w:r>
      <w:r>
        <w:rPr>
          <w:rFonts w:ascii="Times New Roman" w:hAnsi="Times New Roman"/>
          <w:sz w:val="24"/>
          <w:szCs w:val="24"/>
        </w:rPr>
        <w:t>znek.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kerület profilja tehát megváltozik, amint lerázza magáról azt a hazugságot, hogy mi itt mindent a kocsmáknak köszönhetünk. A szórakozóhelyeknek is lesz helye a gödörből kimászó Erzsébetvárosban, de csak azoknak, akik képesek a szabályok szerint ját</w:t>
      </w:r>
      <w:r>
        <w:rPr>
          <w:rFonts w:ascii="Times New Roman" w:hAnsi="Times New Roman"/>
          <w:sz w:val="24"/>
          <w:szCs w:val="24"/>
        </w:rPr>
        <w:t>szani. Ugyanis a hajnalig tartó belvárosi bulinak nincs létjogosultsága. Nem csak a lakók miatt. Városunk jövője miatt se!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FAB" w:rsidRDefault="00436FA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A jogszabály környezeti és egészségi következményei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Az éjszakai zajszennyezés jelentős csökkentése hozzájárul a lakosság </w:t>
      </w:r>
      <w:r>
        <w:rPr>
          <w:rFonts w:ascii="Times New Roman" w:hAnsi="Times New Roman"/>
          <w:sz w:val="24"/>
          <w:szCs w:val="24"/>
        </w:rPr>
        <w:t>Alaptörvény XX. cikk (1) bekezdésében meghatározott testi és lelki egészséghez; és egészséges környezethez való alapvető jogának érvényesüléséhez, valamint a kialvatlanság káros egészségügyi mellékhatásainak visszaszorításához. A tiszta, rendezett környeze</w:t>
      </w:r>
      <w:r>
        <w:rPr>
          <w:rFonts w:ascii="Times New Roman" w:hAnsi="Times New Roman"/>
          <w:sz w:val="24"/>
          <w:szCs w:val="24"/>
        </w:rPr>
        <w:t>t jótékony hatással lesz a helyiek közérzetére, testi, és mentális egészségére. (Egészségügyi ártalmak, tanulmány a mellékletek között.)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FAB" w:rsidRDefault="00436FA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A jogszabály adminisztratív terheket befolyásoló hatásai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Az adminisztratív terhek várhatóan csökkennek, a jogszabál</w:t>
      </w:r>
      <w:r>
        <w:rPr>
          <w:rFonts w:ascii="Times New Roman" w:hAnsi="Times New Roman"/>
          <w:sz w:val="24"/>
          <w:szCs w:val="24"/>
        </w:rPr>
        <w:t xml:space="preserve">y megalkotása ügyiratszám-csökkenéssel járhat. 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FAB" w:rsidRDefault="00436FA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A jogszabály megalkotásának szükségessége, a jogalkotás elmaradásának várható következményei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Jelen rendelet megalkotásának hiányában a kerület elveszítheti maradék lakosságát is. Továbbra is súlyosan sérü</w:t>
      </w:r>
      <w:r>
        <w:rPr>
          <w:rFonts w:ascii="Times New Roman" w:hAnsi="Times New Roman"/>
          <w:sz w:val="24"/>
          <w:szCs w:val="24"/>
        </w:rPr>
        <w:t>lhet vagy ellehetetlenülhet a Belső-Erzsébetváros területén élő lakosság testi és lelki egészséghez, egészséges környezethez való alapvető joga, még az albérlők se fognak hosszútávra tervezni. A kerület Budapest történelmi központja, de infrastruktúrája és</w:t>
      </w:r>
      <w:r>
        <w:rPr>
          <w:rFonts w:ascii="Times New Roman" w:hAnsi="Times New Roman"/>
          <w:sz w:val="24"/>
          <w:szCs w:val="24"/>
        </w:rPr>
        <w:t xml:space="preserve"> architektúrája nem permanens fesztiválhelyszínnek épült, így színvonala menthetetlenül leromlik, az állagmegóvás még a mostani szintet is alul fogja múlni. Ez a fajta használat a műemlékvédelem alatt álló 100-150 éves épületeket tönkreteszi. A lakások, üz</w:t>
      </w:r>
      <w:r>
        <w:rPr>
          <w:rFonts w:ascii="Times New Roman" w:hAnsi="Times New Roman"/>
          <w:sz w:val="24"/>
          <w:szCs w:val="24"/>
        </w:rPr>
        <w:t>lethelyiségek, és végső soron teljes házak minél olcsóbb megszerzése lesz az érintettek érdeke, így a még maradó lakókon folyamatosan növelni fogják a nyomást, míg nem marad itt olyan, aki tényleg itt él. Az iskolák, óvodák kiürülnek, melyek bezárása a mar</w:t>
      </w:r>
      <w:r>
        <w:rPr>
          <w:rFonts w:ascii="Times New Roman" w:hAnsi="Times New Roman"/>
          <w:sz w:val="24"/>
          <w:szCs w:val="24"/>
        </w:rPr>
        <w:t>adók körében újabb elégedetlenséget szül, mely az így is drasztikus elvándorlási hullámot tovább gerjeszti.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épített környezet romlása mellett mindent eluralnak az alacsony színvonalú szálláshelyek - amelyek már most is egyre inkább terjednek Belső-Erzsé</w:t>
      </w:r>
      <w:r>
        <w:rPr>
          <w:rFonts w:ascii="Times New Roman" w:hAnsi="Times New Roman"/>
          <w:sz w:val="24"/>
          <w:szCs w:val="24"/>
        </w:rPr>
        <w:t xml:space="preserve">betváros területén kívül is, az Erzsébet körút – Rákóczi út – Baross tér – Thököly út – Verseny utca – Dózsa György út – Városligeti fasor – Király utca által határolt területen (a továbbiakban: Középső- és Külső-Erzsébetváros), a probléma nem áll meg 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kör</w:t>
      </w:r>
      <w:r>
        <w:rPr>
          <w:rFonts w:ascii="Times New Roman" w:hAnsi="Times New Roman"/>
          <w:sz w:val="24"/>
          <w:szCs w:val="24"/>
        </w:rPr>
        <w:t>úton belül</w:t>
      </w:r>
      <w:r>
        <w:rPr>
          <w:rFonts w:ascii="Times New Roman" w:eastAsia="Calibri" w:hAnsi="Times New Roman"/>
          <w:i/>
          <w:iCs/>
          <w:color w:val="000000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- még alacsonyabb színvonalú kocsmákkal karöltve.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világ egy olyan irányba halad, hogy a mai huszonévesek szüleikkel ellentétben élményeket, nem anyagi javakat gyűjtenek, a turisztikai boom is ennek a folyamatnak a része. Ennek az élménygyűjté</w:t>
      </w:r>
      <w:r>
        <w:rPr>
          <w:rFonts w:ascii="Times New Roman" w:hAnsi="Times New Roman"/>
          <w:sz w:val="24"/>
          <w:szCs w:val="24"/>
        </w:rPr>
        <w:t>snek viszont sajnos egy bizonyos kör számára a korlátok nélküli olcsó lerészegedés a módja. Egy kiürült, lakosok nélküli, az alapvető arculatát és infrastruktúráját elveszítő városrész pedig kizárólag ennek a körnek fog tudni szórakozást nyújtani. Ez végső</w:t>
      </w:r>
      <w:r>
        <w:rPr>
          <w:rFonts w:ascii="Times New Roman" w:hAnsi="Times New Roman"/>
          <w:sz w:val="24"/>
          <w:szCs w:val="24"/>
        </w:rPr>
        <w:t xml:space="preserve"> soron megöli azt a fajta a turizmust, amit a magyar főváros felé valós érdeklődéssel közelítő turisták jelentenek. A kerület egy sötét folttá válik a térképen, ami szép lassan elkezdi mérgezni az egész várost. Budapest híre végleg belesüllyed az olcsó pia</w:t>
      </w:r>
      <w:r>
        <w:rPr>
          <w:rFonts w:ascii="Times New Roman" w:hAnsi="Times New Roman"/>
          <w:sz w:val="24"/>
          <w:szCs w:val="24"/>
        </w:rPr>
        <w:t>turizmus által generált mocsárba. A #chainbridge hashtaget felváltják a #drunkasfuck jellegű instagram képek, a kulturált közönség pedig megy máshova, ha Közép-Európába szeretne jönni. A vendégéjszakák száma tovább csökken, az országnak termelt bevétel roh</w:t>
      </w:r>
      <w:r>
        <w:rPr>
          <w:rFonts w:ascii="Times New Roman" w:hAnsi="Times New Roman"/>
          <w:sz w:val="24"/>
          <w:szCs w:val="24"/>
        </w:rPr>
        <w:t>amosan esik, ugyanis a kulturált vásárlóerővel rendelkező turizmus messze elkerül minket.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a változás mindenkit rosszul fog érinteni. Nem csak az itt élőket. Azokat is, akik ma a budapestiek kulturált szórakozásából, hetedik kerületi ingatlanbefektetésbő</w:t>
      </w:r>
      <w:r>
        <w:rPr>
          <w:rFonts w:ascii="Times New Roman" w:hAnsi="Times New Roman"/>
          <w:sz w:val="24"/>
          <w:szCs w:val="24"/>
        </w:rPr>
        <w:t xml:space="preserve">l vagy a normális turizmusból élnek. </w:t>
      </w:r>
      <w:r>
        <w:rPr>
          <w:rFonts w:ascii="Times New Roman" w:hAnsi="Times New Roman"/>
          <w:color w:val="000000"/>
          <w:sz w:val="24"/>
          <w:szCs w:val="24"/>
        </w:rPr>
        <w:t xml:space="preserve">És persze mindenkit, aki aggódik a világ egyik legszebb városának jövőjéért! Ugyanis végső soron a </w:t>
      </w:r>
      <w:r>
        <w:rPr>
          <w:rFonts w:ascii="Times New Roman" w:hAnsi="Times New Roman"/>
          <w:color w:val="000000"/>
          <w:sz w:val="24"/>
          <w:szCs w:val="24"/>
          <w:lang w:val="en"/>
        </w:rPr>
        <w:t>„</w:t>
      </w:r>
      <w:r>
        <w:rPr>
          <w:rFonts w:ascii="Times New Roman" w:hAnsi="Times New Roman"/>
          <w:color w:val="000000"/>
          <w:sz w:val="24"/>
          <w:szCs w:val="24"/>
        </w:rPr>
        <w:t>bulinegyed</w:t>
      </w:r>
      <w:r>
        <w:rPr>
          <w:rFonts w:ascii="Times New Roman" w:hAnsi="Times New Roman"/>
          <w:color w:val="000000"/>
          <w:sz w:val="24"/>
          <w:szCs w:val="24"/>
          <w:lang w:val="en"/>
        </w:rPr>
        <w:t>ˮ</w:t>
      </w:r>
      <w:r>
        <w:rPr>
          <w:rFonts w:ascii="Times New Roman" w:hAnsi="Times New Roman"/>
          <w:color w:val="000000"/>
          <w:sz w:val="24"/>
          <w:szCs w:val="24"/>
        </w:rPr>
        <w:t xml:space="preserve"> olyan állapotba fog kerülni, hogy már nem lesz lehetőség a helyreállításra, csak a házak többségének ledóze</w:t>
      </w:r>
      <w:r>
        <w:rPr>
          <w:rFonts w:ascii="Times New Roman" w:hAnsi="Times New Roman"/>
          <w:color w:val="000000"/>
          <w:sz w:val="24"/>
          <w:szCs w:val="24"/>
        </w:rPr>
        <w:t xml:space="preserve">rolására. 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Ennek jelenleg a 24. órájában vagyunk, de a helyzet még most sem irreverzibilis. 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 2022. év vonatkozásában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a Budapesti Rendőr-Főkapitányság VII. kerületi Rendőrkapitányság - a Képviselő-testület 104/2023. (IV.19.) számú határozatával elfogadott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- szakmai beszámolója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(a továbbiakban: BRFK VII. kerületi R. kapitányság szakmai beszámoló)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alapján Erzsébetvárosban kiemelten a több száz kereskedelmi és vendéglátó egység, és a nyári időszakban tömegesen Belső-Erzsébetvárosba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(Király utca - Károly körút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- Rákóczi út - Erzsébet körút által határolt terület)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szórakozási célzattal érkező turisták határozták meg a bűncselekmények volumenét, a bűncselekmények területi megoszlása is egyértelműen Belső-Erzsébetváros fertőzöttségét mutatja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 regisztrált bűncsel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ekmények tekintetében - a Budapesti Rendőr-Főkapitányság VII. kerületi Rendőrkapitányság szakmai beszámolója alapján tehát túlnyomórészt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az éjszakai szórakozóhelyek működésével összefüggésben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- 87 súlyos testi sértést követtek el,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2022. évben, ez a fővár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osban összesen elkövetett ilyen típusú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bűncselekmény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ek mintegy 11%-a, és közel 27%-kal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több, mint a szomszédos V-VI. kerületekben összesen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a kábítószer-terjesztés, garázdaság, rongálás vonatkozásában is siralmasak a mutatók. 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A BRFK VII. kerületi R. kapi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tányság szakmai beszámoló  kitér arra is, hogy 2022-ben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a VII. kerület vonatkozásában BRFK Tevékenység-irányítási Központba 12.419 bejelentés érkezett</w:t>
      </w:r>
      <w:r>
        <w:rPr>
          <w:rFonts w:ascii="Times New Roman" w:hAnsi="Times New Roman"/>
          <w:sz w:val="24"/>
          <w:szCs w:val="24"/>
          <w:shd w:val="clear" w:color="auto" w:fill="FFFFFF"/>
        </w:rPr>
        <w:t>. Ez naponta átlagosan 34 bejelentés, ami elképesztően magas szám, de önmagában már regisztrált bűncselekm</w:t>
      </w:r>
      <w:r>
        <w:rPr>
          <w:rFonts w:ascii="Times New Roman" w:hAnsi="Times New Roman"/>
          <w:sz w:val="24"/>
          <w:szCs w:val="24"/>
          <w:shd w:val="clear" w:color="auto" w:fill="FFFFFF"/>
        </w:rPr>
        <w:t>ények alapján, a rendelet megalkotásának elmaradása esetén az is kérdéses, hogyan lehet biztosítani a kulturált kikapcsolódást kereső idelátogatók biztonságát, testi épségét a közterületeken.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shd w:val="clear" w:color="auto" w:fill="FFFFFF"/>
        </w:rPr>
        <w:t>BRFK VII. kerületi R. kapitányság szakmai beszámolója a közren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dvédelmi szolgálatteljesítés gyakorlata vonatkozásában rögzíti, hogy: 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„a biztonsági intézkedések elsősorban a </w:t>
      </w:r>
      <w:r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>bódult vagy ittas állapotban lévő személyek mentővel történő elszállíttatás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át jelentik, mely </w:t>
      </w:r>
      <w:r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 xml:space="preserve">a „bulinegyed” jellegéből adódóan ugyancsak </w:t>
      </w:r>
      <w:r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>számottevő rendőri tevékenység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.”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A 24 és 6 óra közötti nyitvatartás biztosította, akár nonstop alkohol-, és esetlegesen kábítószer-fogyasztás aránytalanul leterheli a rendőrség (és a mentőszolgálat) személyi állományát, és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nem csak a kerületben, de más főv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árosi kerületekben élők számára is veszélyes lehet, ha esetlegesen egy ilyen biztonsági intézkedés miatt nem ér ki időben a rendőr vagy a mentő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A</w:t>
      </w:r>
      <w:r>
        <w:rPr>
          <w:rFonts w:ascii="Times New Roman" w:hAnsi="Times New Roman"/>
          <w:sz w:val="24"/>
          <w:szCs w:val="24"/>
          <w:shd w:val="clear" w:color="auto" w:fill="FFFFFF"/>
        </w:rPr>
        <w:t>z idelátogatók biztonsága szempontjából az is aggályos, ha a reggel 4-5-6-ig tartó, vagy akár korlátlan nyitva</w:t>
      </w:r>
      <w:r>
        <w:rPr>
          <w:rFonts w:ascii="Times New Roman" w:hAnsi="Times New Roman"/>
          <w:sz w:val="24"/>
          <w:szCs w:val="24"/>
          <w:shd w:val="clear" w:color="auto" w:fill="FFFFFF"/>
        </w:rPr>
        <w:t>tartás előnyeit kihasználó, erre alapozó üzleti konstrukcióval működő vállalkozások 150-180 éves romos, az Önkormányzat által 2-2.5 évtizede elidegenített, korábban lebontásra-  és életveszélyesnek ítélt ingatlanokban, műemlék-épületekben tartanak a zenés,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táncos rendezvények működésének biztonságosabbá tételéről szóló 23/2011. (III. 8.) Korm. rendelet (a továbbiakban: Lex West Balkán) szerinti zenés táncos rendezvényeket akár 1000-1500 embernek úgy, hogy hosszú órákon keresztül van lehetőség az alkohol- és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esetlegesen egyéb szerek fogyasztására, kérdés, a szűk, gépkocsikkal, taxikkal, és rengeteg emberrel, turistával – ideértve azokat is, akik százas sorokban várnak a szórakozóhelyekre való bejutásra a járdát teljes szélességében elfoglalva, a menekülési út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vonalat szűkítve, a közterület rendeltetésszerű használatát megnehezítve, vagy ellehetetlenítve, a gyalogosforgalmat a gépkocsik elé kényszerítve - teli keskeny utcákon, adott esetben egy bejáraton, amely egyben kijárat is (és előfordulhat, pl. a Kazinczy </w:t>
      </w:r>
      <w:r>
        <w:rPr>
          <w:rFonts w:ascii="Times New Roman" w:hAnsi="Times New Roman"/>
          <w:sz w:val="24"/>
          <w:szCs w:val="24"/>
          <w:shd w:val="clear" w:color="auto" w:fill="FFFFFF"/>
        </w:rPr>
        <w:t>utcában, hogy a menekülési útvonalat akár parkoló járművekkel akadályozzák, ami lehet egy oldalkocsis motorkerékpár is), ilyen körülmények között főleg, de úgy egyáltalán hogyan tudnak ezekből az épületekből biztonságosan kimenekíteni több száz ittas, bódu</w:t>
      </w:r>
      <w:r>
        <w:rPr>
          <w:rFonts w:ascii="Times New Roman" w:hAnsi="Times New Roman"/>
          <w:sz w:val="24"/>
          <w:szCs w:val="24"/>
          <w:shd w:val="clear" w:color="auto" w:fill="FFFFFF"/>
        </w:rPr>
        <w:t>lt embert egy esetleges tragédia esetében? Emellett több, akár tucatnyi olyan, hajnalig nyitvatartó zenés szórakozóhely is működhet Belső-Erzsébetvárosban, amelyek a  Lex West Balkánt az Országos Tűzvédelmi Szabályzatról szóló 54/2014. (XII. 5.) BM rendele</w:t>
      </w:r>
      <w:r>
        <w:rPr>
          <w:rFonts w:ascii="Times New Roman" w:hAnsi="Times New Roman"/>
          <w:sz w:val="24"/>
          <w:szCs w:val="24"/>
          <w:shd w:val="clear" w:color="auto" w:fill="FFFFFF"/>
        </w:rPr>
        <w:t>t biztosította kiskapu alapján játsszák ki - az országos településrendezési és építési követelményekről szóló 253/1997. (XII. 20.) Korm. rendelet, tömegtartózkodásra szolgáló építményre, tömegtartózkodásra szolgáló helyiségre vonatkozó rendelkezéseivel öss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zefüggésben –, és 290-299-300 fős befogadóképességet jelentenek be a kereskedelmi tevékenységek végzésének feltételeiről szóló 210/2009. (IX. 29.) szerint a jegyzőnek, illetve külön-külön üzlethelyiségekben folytatnak kereskedelmi tevékenységet, hiába egy </w:t>
      </w:r>
      <w:r>
        <w:rPr>
          <w:rFonts w:ascii="Times New Roman" w:hAnsi="Times New Roman"/>
          <w:sz w:val="24"/>
          <w:szCs w:val="24"/>
          <w:shd w:val="clear" w:color="auto" w:fill="FFFFFF"/>
        </w:rPr>
        <w:t>ingatlan, és hiába van átjárás ezek között, így elkerülik még azt a vendégek biztonsága szempontjából kulcsfontosság</w:t>
      </w:r>
      <w:r w:rsidR="00ED7DE0">
        <w:rPr>
          <w:rFonts w:ascii="Times New Roman" w:hAnsi="Times New Roman"/>
          <w:sz w:val="24"/>
          <w:szCs w:val="24"/>
          <w:shd w:val="clear" w:color="auto" w:fill="FFFFFF"/>
        </w:rPr>
        <w:t>ú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előzetes engedélyezési eljárást is a rendezvénytartás tekintetében, amely a 300 főnél nagyobb befogadóképességű ingatlan esetén szükséges </w:t>
      </w:r>
      <w:r>
        <w:rPr>
          <w:rFonts w:ascii="Times New Roman" w:hAnsi="Times New Roman"/>
          <w:sz w:val="24"/>
          <w:szCs w:val="24"/>
          <w:shd w:val="clear" w:color="auto" w:fill="FFFFFF"/>
        </w:rPr>
        <w:t>lenne, a szűkített nyitvatartási idő ezen is segíthetne. A Tisztelt Képviselő-testületnek ebben is nagyon komoly felelőssége lehet, ha nem teszi meg, nem is próbálja megtenni azt, amit saját hatáskörben megtehet: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 fentiek mellett említést érdemel az is, v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isszatérve az egyik elsődleges (de korántsem az egyetlen) problémára, a lakókat zavaró éjszakai zajra, hogy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en"/>
        </w:rPr>
        <w:t xml:space="preserve">rzsébetváros Rendészeti Igazgatóságára (a továbbiakban: ERI) több, mint 1000 zajjal kapcsolatos bejelentés érkezett 2020. január 1. és 2023. május </w:t>
      </w:r>
      <w:r>
        <w:rPr>
          <w:rFonts w:ascii="Times New Roman" w:hAnsi="Times New Roman"/>
          <w:sz w:val="24"/>
          <w:szCs w:val="24"/>
          <w:lang w:val="en"/>
        </w:rPr>
        <w:t>31. között, ugyanezen időszakban vendéglátó üzletekkel kapcsolatban közel 450 bejelentés érkezett a kereskedelmi hatósághoz és az ERI-hez. 2022. január 1. és 2023. május 31. között 859 bejelentés érkezett az ERI-hez, ebből 199 közvetlenül vendéglátó üzletr</w:t>
      </w:r>
      <w:r>
        <w:rPr>
          <w:rFonts w:ascii="Times New Roman" w:hAnsi="Times New Roman"/>
          <w:sz w:val="24"/>
          <w:szCs w:val="24"/>
          <w:lang w:val="en"/>
        </w:rPr>
        <w:t>e. A mintegy fél négyzetkilométeren található csaknem 200, 24 és 6 óra között nyitvatartó vendéglátóhely körülbelül felére, 96 üzletre volt hivatalosan, a kereskedelmi hatósághoz, ERI-hez érkezett lakossági panaszbejelentés. Súlyosbítja a helyzetet, hogy a</w:t>
      </w:r>
      <w:r>
        <w:rPr>
          <w:rFonts w:ascii="Times New Roman" w:hAnsi="Times New Roman"/>
          <w:sz w:val="24"/>
          <w:szCs w:val="24"/>
          <w:lang w:val="en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szórakozóhelyek érkező, távozó vendégei által közterületen megvalósított, a lakosság pihenését zavaró  csendháborítás szabálysértést, garázdaságot sokszor be sem jelentik a lakók, mert mire kiérkezne a rendőrség, vagy a közterület-felügyelet, megszűnik a </w:t>
      </w: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jogsértés, és ez előfordulhat akkor is, ha a rendőrség hatáskörébe tartozó garázdaság (akár a szabálysértési akár a bűncselekményi alakzata) valósul meg.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az üzletek éjszakai nyitvatartási rendjéről szóló 25/2020. (VI. 25.) </w:t>
      </w:r>
      <w:r>
        <w:rPr>
          <w:rFonts w:ascii="Times New Roman" w:hAnsi="Times New Roman"/>
          <w:sz w:val="24"/>
          <w:szCs w:val="24"/>
        </w:rPr>
        <w:t>önkormányzati rendelet (a továbbiakban: Nyitvatartási Rendelet) megalkotásakor a 24 és 6 óra közötti nyitvatartás vonatkozásában a helyi sajátosságokat – talán szándékosan - nem megfelelően felmérve, figyelmen kívül hagyva az akár korlátlan nyitvatartást a</w:t>
      </w:r>
      <w:r>
        <w:rPr>
          <w:rFonts w:ascii="Times New Roman" w:hAnsi="Times New Roman"/>
          <w:sz w:val="24"/>
          <w:szCs w:val="24"/>
        </w:rPr>
        <w:t xml:space="preserve">kár korlátlan számú – ezt az üzletek éjszakai nyitvatartási rendjéről szóló 25/2020. (VI. 25.) önkormányzati rendelet módosításáról szóló 26/2023. (X. 18.) önkormányzati rendelet 2. §-a a Nyitvatartási Rendelet 6. </w:t>
      </w:r>
      <w:proofErr w:type="gramStart"/>
      <w:r>
        <w:rPr>
          <w:rFonts w:ascii="Times New Roman" w:hAnsi="Times New Roman"/>
          <w:sz w:val="24"/>
          <w:szCs w:val="24"/>
        </w:rPr>
        <w:t xml:space="preserve">§-ának módosításával kétszázban maximálta </w:t>
      </w:r>
      <w:r>
        <w:rPr>
          <w:rFonts w:ascii="Times New Roman" w:hAnsi="Times New Roman"/>
          <w:sz w:val="24"/>
          <w:szCs w:val="24"/>
        </w:rPr>
        <w:t>- vendéglátó üzlet részére a kerület azon részén engedélyezte, ahol nagy szám</w:t>
      </w:r>
      <w:r w:rsidR="00ED7DE0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 xml:space="preserve"> vendéglátó üzlet található, és ahol az Önkormányzat megrendelésére 2015. és 2018. között készült akusztikai szakvélemények alapján korábban is világos volt, hogy a nagy szám</w:t>
      </w:r>
      <w:r w:rsidR="00ED7DE0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 xml:space="preserve"> sz</w:t>
      </w:r>
      <w:r>
        <w:rPr>
          <w:rFonts w:ascii="Times New Roman" w:hAnsi="Times New Roman"/>
          <w:sz w:val="24"/>
          <w:szCs w:val="24"/>
        </w:rPr>
        <w:t xml:space="preserve">órakozóhely közvetlen zajszennyezése, és a közvetett (például az érkező/távozó vendégek generálta) zajszennyezés következtében súlyosan sérülhet </w:t>
      </w:r>
      <w:r>
        <w:rPr>
          <w:rFonts w:ascii="Times New Roman" w:hAnsi="Times New Roman"/>
          <w:sz w:val="24"/>
          <w:szCs w:val="24"/>
        </w:rPr>
        <w:lastRenderedPageBreak/>
        <w:t xml:space="preserve">vagy ellehetetlenülhet az Önkormányzat Király utca - Károly körút - Rákóczi út - Erzsébet körút által határolt </w:t>
      </w:r>
      <w:r>
        <w:rPr>
          <w:rFonts w:ascii="Times New Roman" w:hAnsi="Times New Roman"/>
          <w:sz w:val="24"/>
          <w:szCs w:val="24"/>
        </w:rPr>
        <w:t>területén élő lakosság, az Alaptörvény XX. cikk</w:t>
      </w:r>
      <w:proofErr w:type="gramEnd"/>
      <w:r>
        <w:rPr>
          <w:rFonts w:ascii="Times New Roman" w:hAnsi="Times New Roman"/>
          <w:sz w:val="24"/>
          <w:szCs w:val="24"/>
        </w:rPr>
        <w:t xml:space="preserve"> (1) bekezdés szerinti testi és lelki egészséghez, és a XXI. cikk (1) bekezdése szerinti egészséges környezethez való alapvető joga, és hogy a jegyző hatósági jogkörei adta pusztán utólagos szankcionálás (lsd.</w:t>
      </w:r>
      <w:r>
        <w:rPr>
          <w:rFonts w:ascii="Times New Roman" w:hAnsi="Times New Roman"/>
          <w:sz w:val="24"/>
          <w:szCs w:val="24"/>
        </w:rPr>
        <w:t xml:space="preserve"> az </w:t>
      </w:r>
      <w:r>
        <w:rPr>
          <w:rFonts w:ascii="Times New Roman" w:hAnsi="Times New Roman"/>
          <w:color w:val="000000"/>
          <w:sz w:val="24"/>
          <w:szCs w:val="24"/>
        </w:rPr>
        <w:t>AJB-4206-3/2017. számú állásfogalást) nem</w:t>
      </w:r>
      <w:r>
        <w:rPr>
          <w:rFonts w:ascii="Times New Roman" w:hAnsi="Times New Roman"/>
          <w:sz w:val="24"/>
          <w:szCs w:val="24"/>
        </w:rPr>
        <w:t xml:space="preserve"> hoz kellő eredményt. 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Nyitvatartási Rendeletben foglaltak szerint </w:t>
      </w:r>
      <w:r>
        <w:rPr>
          <w:rFonts w:ascii="Times New Roman" w:hAnsi="Times New Roman"/>
          <w:sz w:val="24"/>
          <w:szCs w:val="24"/>
          <w:u w:val="single"/>
        </w:rPr>
        <w:t>a jegyző által vezetett, 2024. február 26-ai nyilvántartásban 200 üzletnek van 24 és 6 óra közötti külön nyitvatartási engedélye, az üzletek t</w:t>
      </w:r>
      <w:r>
        <w:rPr>
          <w:rFonts w:ascii="Times New Roman" w:hAnsi="Times New Roman"/>
          <w:sz w:val="24"/>
          <w:szCs w:val="24"/>
          <w:u w:val="single"/>
        </w:rPr>
        <w:t>eljes befogadóképessége 21477 fő</w:t>
      </w:r>
      <w:r>
        <w:rPr>
          <w:rFonts w:ascii="Times New Roman" w:hAnsi="Times New Roman"/>
          <w:sz w:val="24"/>
          <w:szCs w:val="24"/>
        </w:rPr>
        <w:t>, és ebben nincsenek benne a vendéglátó teraszok.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Ezzel szemben 2020. és 2023. között Erzsébetváros Rendészeti Igazgatósága az Igazgatóság alapító által engedélyezett létszáma a Járőr Csoport tekintetében 24.14%-kal, a Hatós</w:t>
      </w:r>
      <w:r>
        <w:rPr>
          <w:rFonts w:ascii="Times New Roman" w:hAnsi="Times New Roman"/>
          <w:sz w:val="24"/>
          <w:szCs w:val="24"/>
        </w:rPr>
        <w:t>ági és Ügyfélszolgálati Csoport tekintetében 25%-kal csökkent, eközben a 24 és 6 óra közötti külön nyitvatartási engedélyek száma a Nyitvatartási Rendelet hatályba lépését követően fokozatosan, mintegy 43%-kal emelkedett.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számok önmagukban sokat elmondan</w:t>
      </w:r>
      <w:r>
        <w:rPr>
          <w:rFonts w:ascii="Times New Roman" w:hAnsi="Times New Roman"/>
          <w:sz w:val="24"/>
          <w:szCs w:val="24"/>
        </w:rPr>
        <w:t>ak, rendészeti eszközökkel, valamint a jegyző általi pusztán utólagos szankcionálással a fenti adatok, statisztikák, tények ismeretében is lehetetlen biztosítani azt, hogy a lakosság egészséges környezethez való alapvető joga érvényre juthasson.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shd w:val="clear" w:color="auto" w:fill="FFFFFF"/>
          <w:lang w:val="en"/>
        </w:rPr>
        <w:t>A jövő nem</w:t>
      </w:r>
      <w:r>
        <w:rPr>
          <w:rFonts w:ascii="Times New Roman" w:eastAsia="Calibri" w:hAnsi="Times New Roman"/>
          <w:sz w:val="24"/>
          <w:szCs w:val="24"/>
          <w:shd w:val="clear" w:color="auto" w:fill="FFFFFF"/>
          <w:lang w:val="en"/>
        </w:rPr>
        <w:t xml:space="preserve">zedékek országgyűlési biztosa a JNO-525-1/2011. számú állásfoglalásában rögzítette, hogy: 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„</w:t>
      </w:r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 xml:space="preserve">A </w:t>
      </w:r>
      <w:proofErr w:type="spellStart"/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pihenés</w:t>
      </w:r>
      <w:proofErr w:type="spellEnd"/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 xml:space="preserve"> </w:t>
      </w:r>
      <w:proofErr w:type="spellStart"/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teljes</w:t>
      </w:r>
      <w:proofErr w:type="spellEnd"/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 xml:space="preserve"> </w:t>
      </w:r>
      <w:proofErr w:type="spellStart"/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lehetetlenné</w:t>
      </w:r>
      <w:proofErr w:type="spellEnd"/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 xml:space="preserve"> válása, a zajterhelés voltaképpeni állandósulása azonban már az alapjog lényegi tartalmának sérelmét jelenti. Visszásságot eredményez</w:t>
      </w:r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 xml:space="preserve"> tehát az olyan  szabályozás, illetve az olyan hatósági gyakorlat, amely minderre lehet</w:t>
      </w:r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</w:rPr>
        <w:t>ő</w:t>
      </w:r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séget teremt</w:t>
      </w:r>
      <w:r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.ˮ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shd w:val="clear" w:color="auto" w:fill="FFFFFF"/>
          <w:lang w:val="en"/>
        </w:rPr>
        <w:t xml:space="preserve"> Az Alaptörvény T) cikk (3) bekezdése szerint: </w:t>
      </w:r>
      <w:r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 xml:space="preserve">„Jogszabály nem lehet ellentétes az Alaptörvénnyel.ˮ </w:t>
      </w:r>
      <w:r>
        <w:rPr>
          <w:rFonts w:ascii="Times New Roman" w:eastAsia="Calibri" w:hAnsi="Times New Roman"/>
          <w:sz w:val="24"/>
          <w:szCs w:val="24"/>
          <w:shd w:val="clear" w:color="auto" w:fill="FFFFFF"/>
          <w:lang w:val="en"/>
        </w:rPr>
        <w:t xml:space="preserve">Az Alaptörvény T) cikk (2) bekezdése szerint: </w:t>
      </w:r>
      <w:r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„</w:t>
      </w:r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Jogsz</w:t>
      </w:r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abály a törvény</w:t>
      </w:r>
      <w:r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 xml:space="preserve">, a kormányrendelet, a miniszterelnöki rendelet, a miniszteri rendelet, a Magyar Nemzeti Bank elnökének rendelete, az önálló szabályozó szerv vezetőjének rendelete </w:t>
      </w:r>
      <w:r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és az önkormányzati rendelet</w:t>
      </w:r>
      <w:r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.ˮ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shd w:val="clear" w:color="auto" w:fill="FFFFFF"/>
          <w:lang w:val="en"/>
        </w:rPr>
        <w:t xml:space="preserve"> </w:t>
      </w:r>
      <w:r>
        <w:rPr>
          <w:rFonts w:ascii="Times New Roman" w:eastAsia="Calibri" w:hAnsi="Times New Roman"/>
          <w:sz w:val="24"/>
          <w:szCs w:val="24"/>
          <w:u w:val="single"/>
          <w:shd w:val="clear" w:color="auto" w:fill="FFFFFF"/>
          <w:lang w:val="en"/>
        </w:rPr>
        <w:t>A jelenlegi szabályozás nem csak a kerület la</w:t>
      </w:r>
      <w:r>
        <w:rPr>
          <w:rFonts w:ascii="Times New Roman" w:eastAsia="Calibri" w:hAnsi="Times New Roman"/>
          <w:sz w:val="24"/>
          <w:szCs w:val="24"/>
          <w:u w:val="single"/>
          <w:shd w:val="clear" w:color="auto" w:fill="FFFFFF"/>
          <w:lang w:val="en"/>
        </w:rPr>
        <w:t>kóit különbözteti meg hátrányosan, de a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kerületben működő vállalkozások között is diszkriminatív módon piaci versenyt torzító hatást, egyenlőtlen versenyhelyzetet eredményez</w:t>
      </w:r>
      <w:r>
        <w:rPr>
          <w:rFonts w:ascii="Times New Roman" w:hAnsi="Times New Roman"/>
          <w:sz w:val="24"/>
          <w:szCs w:val="24"/>
          <w:shd w:val="clear" w:color="auto" w:fill="FFFFFF"/>
        </w:rPr>
        <w:t>, és nem csak a Belső-Erzsébetvárosban és a Középső- és Külső-Erzsébetvárosban műkö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dő vendéglátó üzletek üzemeltetői között, hanem a jelenleg hatályban lévő, a Nyitvatartási Rendelethez hasonlóan szintén diszkriminatív - és egyébként indokolatlan, párhuzamos szabályozást alkalmazó -,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az önkormányzat tulajdonában lévő közterületen elhelye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zett vendéglátó-ipari teraszok működésének rendjéről szóló 46/2012. (XII.17.) önkormányzati rendeletben (a továbbiakban: Terasz. Ör.) foglaltak szerint működő kerületi vendéglátó üzletek, valamit azon kerületi vendéglátó üzletek illetve az üzletek üzemelte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tői között, melyeknek nem az Önkormányzat tulajdonában lévő közterületen működik a vendéglátó terasza, előkertje (amelyek így a lakók, társasázi tulajdonosok hozzájárulása nélkül is addig tarthatnak nyitva, ameddig az üzlet, jelenleg akár a hajnali órákig,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vagy nonstop) – a Terasz Ör. jelen Rendelettel szintén hatályon kívül helyezendő, a vendéglátó üzletek teraszainak nyitvatartása, ahogy más fővárosi kerületek (pl. Budapest Főváros V. kerület Belváros-Lipótváros, Budapest Főváros VI. kerület Terézváros, B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udapest Főváros VIII. kerület Józsefváros stb.) esetében is, beépülne az üzletek éjszakai nyitvatartási rendjét szabályozó rendeletbe, hiszen a terasz az üzlettől függetlenül működni nem tud, attól elválaszthatatlan, annak kibővített fogyasztótere –.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Külö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nösen aggályos még a Nyitvatartási Rendelet 7. § (2) bekezdés c) pontja is, amely értelmében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az Önkormányzat jelenleg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úgy </w:t>
      </w:r>
      <w:proofErr w:type="gramStart"/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asszisztál</w:t>
      </w:r>
      <w:proofErr w:type="gramEnd"/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a piaci verseny korlátozásához egyes vállalkozások társulásának előnybe juttatása tekintetében külön jogszabályban egyébkén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t tiltott módon</w:t>
      </w:r>
      <w:r w:rsidR="00ED7DE0">
        <w:rPr>
          <w:rFonts w:ascii="Times New Roman" w:hAnsi="Times New Roman"/>
          <w:sz w:val="24"/>
          <w:szCs w:val="24"/>
          <w:u w:val="single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hogy csak az az üzlet lehet nyitva 24 óra után 2024. március 31. napját követően, amelynek üzemeltetője igazolta, illetve igazolja, hogy a köztisztaságot és közbiztonságot segító közreműködése érdekében az Önkormányzattal ezen feladatok ell</w:t>
      </w:r>
      <w:r>
        <w:rPr>
          <w:rFonts w:ascii="Times New Roman" w:hAnsi="Times New Roman"/>
          <w:sz w:val="24"/>
          <w:szCs w:val="24"/>
          <w:shd w:val="clear" w:color="auto" w:fill="FFFFFF"/>
        </w:rPr>
        <w:t>átására szerződéssel rendelkező civil szervezet igazolt tagja. Az Önkormányzattal a jelenleg rendelkezésre álló adatok szerint egyetlen ilyen civil szervezet áll szerződésben, a Közös Erzsébetvárosért Egyesület (a továbbiakban: KEE), melynek elnöke, és eln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ökségi tagjai gazdasági érdekeltségébe tartozó nagy befogadóképességű üzletek, zenés, táncos szórakozóhelyek, romkocsmák </w:t>
      </w: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tartoznak többek között, az egyesület tagjainak tagdíj-fizetési kötelezettségük van, a Polgári Törvénykönyvről szóló </w:t>
      </w:r>
      <w:bookmarkStart w:id="2" w:name="pr1id"/>
      <w:bookmarkEnd w:id="2"/>
      <w:r>
        <w:rPr>
          <w:rFonts w:ascii="Times New Roman" w:hAnsi="Times New Roman"/>
          <w:sz w:val="24"/>
          <w:szCs w:val="24"/>
          <w:shd w:val="clear" w:color="auto" w:fill="FFFFFF"/>
        </w:rPr>
        <w:t>2013. évi V. törvé</w:t>
      </w:r>
      <w:r>
        <w:rPr>
          <w:rFonts w:ascii="Times New Roman" w:hAnsi="Times New Roman"/>
          <w:sz w:val="24"/>
          <w:szCs w:val="24"/>
          <w:shd w:val="clear" w:color="auto" w:fill="FFFFFF"/>
        </w:rPr>
        <w:t>ny (a továbbiakban: Ptk.) 3:67.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§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(1) bekezdése értelmében pedig az egyesületi tagság vonatkozásában a közgyűlés fogadja el a belépési kérelmet, azaz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az egyesület közgyűlése (elnöksége) önállóan mérlegelhet a tagság tekintetében, akár el is utasíthatja a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kérelmező vállalkozást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(vagy esetlegesen olyan összegű tagdíjat állapíthatnak meg, amelyet egyes tagok, vállalkozások nem tudnak megfizetni),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ami még jelentősebben torzíthatja a gazdasági versenyt a Belső-Erzsébetvárosban működő vállalkozások között is.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sz w:val="24"/>
          <w:szCs w:val="24"/>
          <w:shd w:val="clear" w:color="auto" w:fill="FFFFFF"/>
        </w:rPr>
        <w:t>KEE</w:t>
      </w:r>
      <w:r>
        <w:rPr>
          <w:rFonts w:ascii="Times New Roman" w:hAnsi="Times New Roman"/>
          <w:sz w:val="24"/>
          <w:szCs w:val="24"/>
          <w:shd w:val="clear" w:color="auto" w:fill="FFFFFF"/>
          <w:lang w:val="en-GB"/>
        </w:rPr>
        <w:t xml:space="preserve"> elnökének, elnökségi tagjainak gazdasági előnyhöz juttatása ellentétes lehet a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tisztességtelen piaci magatartás és a versenykorlátozás tilalmáról </w:t>
      </w:r>
      <w:r>
        <w:rPr>
          <w:rFonts w:ascii="Times New Roman" w:hAnsi="Times New Roman"/>
          <w:sz w:val="24"/>
          <w:szCs w:val="24"/>
          <w:shd w:val="clear" w:color="auto" w:fill="FFFFFF"/>
          <w:lang w:val="en-GB"/>
        </w:rPr>
        <w:t>szóló 1996. évi LVII. Törvény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en-GB"/>
        </w:rPr>
        <w:t>11. § (2) bekezdés d) és f) pontjában foglaltakkal is.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Összegezve: világosa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n látszik, hogy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a jelenlegi szabályozás nem képes garantálni sem a lakók egészséges környezethez való jogát, nem jelentékeny módon járul hozzá közvetett módon a kerület közbiztonságának romlásához, az Önkormányzat számára jelentős (köztisztasági, közbizton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sági) többletfeladatokat jelent az éjszakai nyitvatartás, valamint a kerületi vállalkozók között sem biztosítja a tisztességes piaci versenyt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 jogalkotás esetleges elmaradása jogsértést okoz, és nem szünteti meg azt az esetleges jogsértést sem, hogy a j</w:t>
      </w:r>
      <w:r>
        <w:rPr>
          <w:rFonts w:ascii="Times New Roman" w:hAnsi="Times New Roman"/>
          <w:sz w:val="24"/>
          <w:szCs w:val="24"/>
          <w:shd w:val="clear" w:color="auto" w:fill="FFFFFF"/>
        </w:rPr>
        <w:t>elenleg hatályos Nyitvatartási Rendelet önmagában a helyi sajátosságok nem megfelelő felmérése, figyelmen kívül hagyása</w:t>
      </w:r>
      <w:r>
        <w:rPr>
          <w:rFonts w:ascii="Times New Roman" w:hAnsi="Times New Roman"/>
          <w:sz w:val="24"/>
          <w:szCs w:val="24"/>
          <w:shd w:val="clear" w:color="auto" w:fill="FFFFFF"/>
          <w:lang w:val="en-GB"/>
        </w:rPr>
        <w:t>, a joggal való visszaélés gyanúja miatt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törvénysértő. 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GB"/>
        </w:rPr>
        <w:t xml:space="preserve">Az, hogy az Önkormányzat közigazgatási területének egy meghatározott, önkényesen </w:t>
      </w:r>
      <w:r>
        <w:rPr>
          <w:rFonts w:ascii="Times New Roman" w:hAnsi="Times New Roman"/>
          <w:sz w:val="24"/>
          <w:szCs w:val="24"/>
          <w:shd w:val="clear" w:color="auto" w:fill="FFFFFF"/>
          <w:lang w:val="en-GB"/>
        </w:rPr>
        <w:t>kijelölt részén egyes meghatározott vállalkozásokat üzleti előnyhöz juttat a kerület nagyvárosias lakóterület-jellegének, az ott élő lakosság egészséges környezethez való jogának figyelmen kívül hagyásával biztosítva az akár nonstop nyitvatartást, - és ezt</w:t>
      </w:r>
      <w:r>
        <w:rPr>
          <w:rFonts w:ascii="Times New Roman" w:hAnsi="Times New Roman"/>
          <w:sz w:val="24"/>
          <w:szCs w:val="24"/>
          <w:shd w:val="clear" w:color="auto" w:fill="FFFFFF"/>
          <w:lang w:val="en-GB"/>
        </w:rPr>
        <w:t xml:space="preserve"> súlyosbítja a jelenlegi szabályozás a KEE-re vonatkozó versenytorzító rendelkezése -  felvetheti még 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Ptk. 1:5 § (1) bekezdése szerinti joggal való visszaélés tilalmának megsértését </w:t>
      </w:r>
      <w:r>
        <w:rPr>
          <w:rFonts w:ascii="Times New Roman" w:hAnsi="Times New Roman"/>
          <w:sz w:val="24"/>
          <w:szCs w:val="24"/>
          <w:shd w:val="clear" w:color="auto" w:fill="FFFFFF"/>
          <w:lang w:val="en-GB"/>
        </w:rPr>
        <w:t>is.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en-GB"/>
        </w:rPr>
        <w:t>A</w:t>
      </w:r>
      <w:r>
        <w:rPr>
          <w:rFonts w:ascii="Times New Roman" w:hAnsi="Times New Roman"/>
          <w:sz w:val="24"/>
          <w:szCs w:val="24"/>
          <w:shd w:val="clear" w:color="auto" w:fill="FFFFFF"/>
        </w:rPr>
        <w:t>z Alkotmánybíróság a 31/1998. (VI. 25.) AB határozatában utalt arra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hogy </w:t>
      </w:r>
      <w:r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„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alkotmányellenes az olyan rendelkezés is, amely amiatt ütközik az említett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tilalomba 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[</w:t>
      </w:r>
      <w:r>
        <w:rPr>
          <w:rFonts w:ascii="Times New Roman" w:hAnsi="Times New Roman"/>
          <w:sz w:val="24"/>
          <w:szCs w:val="24"/>
          <w:shd w:val="clear" w:color="auto" w:fill="FFFFFF"/>
          <w:lang w:val="en-GB"/>
        </w:rPr>
        <w:t xml:space="preserve">megj.: a 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joggal való visszaélés tilalm</w:t>
      </w:r>
      <w:r>
        <w:rPr>
          <w:rFonts w:ascii="Times New Roman" w:hAnsi="Times New Roman"/>
          <w:sz w:val="24"/>
          <w:szCs w:val="24"/>
          <w:shd w:val="clear" w:color="auto" w:fill="FFFFFF"/>
          <w:lang w:val="en-GB"/>
        </w:rPr>
        <w:t>a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]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, mert a jogalkotó valamely jogintézményt nem annak jogrendszeren belüli rendeltetése szerinti célra használt fel.</w:t>
      </w:r>
      <w:r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ˮ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A ke</w:t>
      </w: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reskedelemről szóló 2005. évi CLXIV. törvény (a továbbiakban: Kertv.) 6. § (4) bekezdés a) pontja szerint: 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[A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települési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Budapesten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 a kerületi) önkormányzat képviselő-testülete –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  <w:lang w:val="en"/>
        </w:rPr>
        <w:t>a helyi sajátosságok figyelembevételével</w:t>
      </w: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rendeletben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szabályozhatja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]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>„</w:t>
      </w:r>
      <w:proofErr w:type="spellStart"/>
      <w:proofErr w:type="gramStart"/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>az</w:t>
      </w:r>
      <w:proofErr w:type="spellEnd"/>
      <w:proofErr w:type="gramEnd"/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>üzletek</w:t>
      </w:r>
      <w:proofErr w:type="spellEnd"/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>éjszakai</w:t>
      </w:r>
      <w:proofErr w:type="spellEnd"/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 xml:space="preserve"> (22 és 6 óra közötti) nyitvatartási rendjétˮ.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  Kúria Önkormányzati Tanácsának Köf.5.011/2012/7. számú határozata rögzíti, hogy: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>„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A Ker.tv.  </w:t>
      </w:r>
      <w:r>
        <w:rPr>
          <w:rFonts w:ascii="Times New Roman" w:hAnsi="Times New Roman"/>
          <w:sz w:val="24"/>
          <w:szCs w:val="24"/>
          <w:shd w:val="clear" w:color="auto" w:fill="FFFFFF"/>
        </w:rPr>
        <w:t>[a kereskedelemről szóló 2005. évi CLXIV. törvény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]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 értelmében</w:t>
      </w:r>
      <w:proofErr w:type="gramEnd"/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>a</w:t>
      </w:r>
      <w:r w:rsidR="000E229D"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>megalapozott és helyesen f</w:t>
      </w:r>
      <w:r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>elmért ’helyi sajátosság’ figyelembe vétele tehát az önkormányzati jogalkotó számára az egyetlen olyan szempont, amely a törvényi felhatalmazás kereteit megadja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>ˮ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Erzsébetváros vonatkozásában gyakorlatilag majdnem megegyeznek a helyi sajátosságok, mint am</w:t>
      </w: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i a Kúria Önkormányzati Tanácsának Köf.5.011/2012/7. sz. határozatában Terézváros vonatkozásában megállapításra került:</w:t>
      </w:r>
    </w:p>
    <w:p w:rsidR="003A2042" w:rsidRDefault="001B29D2">
      <w:pPr>
        <w:suppressAutoHyphens/>
        <w:spacing w:after="0" w:line="240" w:lineRule="auto"/>
        <w:jc w:val="both"/>
        <w:rPr>
          <w:i/>
          <w:iCs/>
        </w:rPr>
      </w:pPr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 xml:space="preserve"> „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 xml:space="preserve">az érintett Önkormányzat a főváros sűrűn beépített, többségében társasházi formátumú, védett épületeket magában foglaló belvárosi részén terül elˮ.  </w:t>
      </w:r>
    </w:p>
    <w:p w:rsidR="000E229D" w:rsidRDefault="000E229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en"/>
        </w:rPr>
      </w:pPr>
    </w:p>
    <w:p w:rsidR="003A2042" w:rsidRDefault="001B29D2">
      <w:pPr>
        <w:suppressAutoHyphens/>
        <w:spacing w:after="0" w:line="240" w:lineRule="auto"/>
        <w:jc w:val="both"/>
      </w:pP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Majdnem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azzal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talán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 nem jelentékeny eltéréssel, hogy Erzsébetváros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a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 főváros legkisebb, legsűrűbben beé</w:t>
      </w: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pített kerülete. A Nemzeti Választási Iroda 2024. január 1-jei, a lakosságszám tekintetében vezetett </w:t>
      </w: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lastRenderedPageBreak/>
        <w:t>statisztikája szerint Erzsébetváros népsűrűsége 54.4%-kal nagyobb, mint a szomszédos Terézvárosé (és 237.78%-a Belváros-Lipótváros népsűrűségének).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 jog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alkotás elmaradásával a Nyitvatartási Rendelet továbbra is ellentétes lehet a Kertv. 6. § (4) bekezdés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a)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pontja szerinti felhatalmazó rendelkezésével. Az Alaptörvény 32. cikk (3) bekezdése szerint: 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>„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Az önkormányzati rendelet más jogszabállyal nem lehet 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ellentétes.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>ˮ</w:t>
      </w: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 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A jogalkotásról szóló </w:t>
      </w:r>
      <w:bookmarkStart w:id="3" w:name="pr26id"/>
      <w:bookmarkEnd w:id="3"/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2010. évi CXXX. törvény 2. § (4) belezdés a) pontja szerint:</w:t>
      </w: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>[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  <w:lang w:val="en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  <w:u w:val="single"/>
          <w:shd w:val="clear" w:color="auto" w:fill="FFFFFF"/>
          <w:lang w:val="en"/>
        </w:rPr>
        <w:t>jogszabályok</w:t>
      </w:r>
      <w:proofErr w:type="spellEnd"/>
      <w:r>
        <w:rPr>
          <w:rFonts w:ascii="Times New Roman" w:hAnsi="Times New Roman"/>
          <w:sz w:val="24"/>
          <w:szCs w:val="24"/>
          <w:u w:val="single"/>
          <w:shd w:val="clear" w:color="auto" w:fill="FFFFFF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  <w:shd w:val="clear" w:color="auto" w:fill="FFFFFF"/>
          <w:lang w:val="en"/>
        </w:rPr>
        <w:t>megalkotásakor</w:t>
      </w:r>
      <w:proofErr w:type="spellEnd"/>
      <w:r>
        <w:rPr>
          <w:rFonts w:ascii="Times New Roman" w:hAnsi="Times New Roman"/>
          <w:sz w:val="24"/>
          <w:szCs w:val="24"/>
          <w:u w:val="single"/>
          <w:shd w:val="clear" w:color="auto" w:fill="FFFFFF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  <w:shd w:val="clear" w:color="auto" w:fill="FFFFFF"/>
          <w:lang w:val="en"/>
        </w:rPr>
        <w:t>biztosítani</w:t>
      </w:r>
      <w:proofErr w:type="spellEnd"/>
      <w:r>
        <w:rPr>
          <w:rFonts w:ascii="Times New Roman" w:hAnsi="Times New Roman"/>
          <w:sz w:val="24"/>
          <w:szCs w:val="24"/>
          <w:u w:val="single"/>
          <w:shd w:val="clear" w:color="auto" w:fill="FFFFFF"/>
          <w:lang w:val="en"/>
        </w:rPr>
        <w:t xml:space="preserve"> kell, hogy a jogszabály</w:t>
      </w:r>
      <w:r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] </w:t>
      </w:r>
      <w:r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„</w:t>
      </w:r>
      <w:proofErr w:type="gramStart"/>
      <w:r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megfeleljen</w:t>
      </w:r>
      <w:proofErr w:type="gramEnd"/>
      <w:r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 xml:space="preserve"> az Alaptörvényből eredő tartalmi és formai követelményeknek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>,</w:t>
      </w:r>
      <w:r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ˮ</w:t>
      </w:r>
      <w:r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 xml:space="preserve"> 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Emlékeztetné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 a Tisztelt Képviselő-testület tagjait, és a T. Polgármestert urat - az alakuló ülésen tett, az Mötv. 1. melléklete szerinti eskünkre. Az Mötv. 1. melléklete szerint:</w:t>
      </w:r>
    </w:p>
    <w:p w:rsidR="003A2042" w:rsidRDefault="001B29D2">
      <w:pPr>
        <w:suppressAutoHyphens/>
        <w:spacing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„</w:t>
      </w:r>
      <w:r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A polgármester, az önkormányzati képviselő esküjének szövege</w:t>
      </w:r>
    </w:p>
    <w:p w:rsidR="003A2042" w:rsidRDefault="001B29D2">
      <w:pPr>
        <w:suppressAutoHyphens/>
        <w:spacing w:after="140" w:line="276" w:lineRule="exact"/>
        <w:ind w:first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„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Én, (eskütevő neve) becsületemre és lelkiismeretemre fogadom, hogy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Magyarországhoz és annak Alaptörvényéhez hű leszek; jogszabályait megtartom és másokkal is megtartatom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; (a tisztség megnevezése) tisztségemből eredő feladataimat a (vármegye vagy </w:t>
      </w:r>
      <w:proofErr w:type="gramStart"/>
      <w:r>
        <w:rPr>
          <w:rFonts w:ascii="Times New Roman" w:hAnsi="Times New Roman"/>
          <w:i/>
          <w:color w:val="000000"/>
          <w:sz w:val="24"/>
          <w:szCs w:val="24"/>
        </w:rPr>
        <w:t>település</w:t>
      </w:r>
      <w:proofErr w:type="gram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>vagy kerület) fejlődésének előmozdítása érdekében lelkiismeretesen teljesítem, tisztségemet a magyar nemzet javára gyakorlom.</w:t>
      </w:r>
    </w:p>
    <w:p w:rsidR="003A2042" w:rsidRDefault="001B29D2">
      <w:pPr>
        <w:suppressAutoHyphens/>
        <w:spacing w:after="140" w:line="276" w:lineRule="exact"/>
        <w:ind w:first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(Az eskütevő meggyőződése szerint)</w:t>
      </w:r>
    </w:p>
    <w:p w:rsidR="003A2042" w:rsidRDefault="001B29D2">
      <w:pPr>
        <w:suppressAutoHyphens/>
        <w:spacing w:after="140" w:line="276" w:lineRule="exact"/>
        <w:ind w:first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Isten engem úgy segéljen!”</w:t>
      </w:r>
    </w:p>
    <w:p w:rsidR="003A2042" w:rsidRDefault="001B29D2">
      <w:pPr>
        <w:suppressAutoHyphens/>
        <w:spacing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Azt is megjegyezném továbbá, hogy az Mötv. preambuluma szerint a Hel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yi Önkormányzatok Európai Chartájában foglalt alapelveket figyelembe véve alkotta a törvényt az Országgyűlés. </w:t>
      </w:r>
    </w:p>
    <w:p w:rsidR="003A2042" w:rsidRDefault="001B29D2" w:rsidP="000E229D">
      <w:pPr>
        <w:suppressAutoHyphens/>
        <w:spacing w:before="240" w:after="12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Helyi Önkormányzatok Európai Chartájáról szóló, 1985. október 15-én, Strasbourgban kelt egyezmény kihirdetéséről szóló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1997. évi XV. törvény al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apján a helyi önkormányzás fogalma tekintetében a  Helyi Önkormányzatok Európai Chartája 3. cikkének 1. pontja az alábbiak szerint rendelkezik:</w:t>
      </w:r>
    </w:p>
    <w:p w:rsidR="003A2042" w:rsidRDefault="001B29D2">
      <w:pPr>
        <w:suppressAutoHyphens/>
        <w:spacing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„</w:t>
      </w:r>
      <w:r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  <w:t>A helyi önkormányzás a helyi önkormányzatoknak azt a jogát és képességét jelenti, hogy - jogszabályi keretek kö</w:t>
      </w:r>
      <w:r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  <w:t xml:space="preserve">zött - a közügyek lényegi részét saját hatáskörükben szabályozzák és igazgassák </w:t>
      </w:r>
      <w:r>
        <w:rPr>
          <w:rFonts w:ascii="Times New Roman" w:hAnsi="Times New Roman"/>
          <w:b/>
          <w:i/>
          <w:color w:val="000000"/>
          <w:sz w:val="24"/>
          <w:szCs w:val="24"/>
          <w:u w:val="single"/>
          <w:shd w:val="clear" w:color="auto" w:fill="FFFFFF"/>
        </w:rPr>
        <w:t>a helyi lakosság érdekében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.ˮ 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Calibri"/>
          <w:sz w:val="24"/>
          <w:szCs w:val="24"/>
          <w:lang w:val="en"/>
        </w:rPr>
        <w:t xml:space="preserve">Az élhetetlenné vált lakókörnyezet, a menekülő lakók tekintetében fontos megemlíteni, hogy az Alaptörvény XXVII. cikk (1) bekezdése szerint: 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>„</w:t>
      </w:r>
      <w:r>
        <w:rPr>
          <w:rFonts w:ascii="Times New Roman" w:eastAsia="Calibri" w:hAnsi="Times New Roman" w:cs="Calibri"/>
          <w:i/>
          <w:iCs/>
          <w:sz w:val="24"/>
          <w:szCs w:val="24"/>
          <w:u w:val="single"/>
          <w:lang w:val="en"/>
        </w:rPr>
        <w:t>Mindenkinek, aki törvényesen tartózkodik Magyarország területén, joga van a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 xml:space="preserve"> szabad mozgáshoz és </w:t>
      </w:r>
      <w:r>
        <w:rPr>
          <w:rFonts w:ascii="Times New Roman" w:eastAsia="Calibri" w:hAnsi="Times New Roman" w:cs="Calibri"/>
          <w:i/>
          <w:iCs/>
          <w:sz w:val="24"/>
          <w:szCs w:val="24"/>
          <w:u w:val="single"/>
          <w:lang w:val="en"/>
        </w:rPr>
        <w:t>tartózkodási helye szabad megválasztásához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>.ˮ –</w:t>
      </w:r>
      <w:r>
        <w:rPr>
          <w:rFonts w:ascii="Times New Roman" w:eastAsia="Calibri" w:hAnsi="Times New Roman" w:cs="Calibri"/>
          <w:sz w:val="24"/>
          <w:szCs w:val="24"/>
          <w:lang w:val="en"/>
        </w:rPr>
        <w:t xml:space="preserve"> összhangban az Emberi Jogok Egyetemes Nyilatkozata 13. cikk 1. pontjával, amely kimondja, hogy: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Calibri"/>
          <w:sz w:val="24"/>
          <w:szCs w:val="24"/>
          <w:lang w:val="en"/>
        </w:rPr>
        <w:t xml:space="preserve"> 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>„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 xml:space="preserve">Az államon belül </w:t>
      </w:r>
      <w:r>
        <w:rPr>
          <w:rFonts w:ascii="Times New Roman" w:eastAsia="Calibri" w:hAnsi="Times New Roman" w:cs="Calibri"/>
          <w:i/>
          <w:iCs/>
          <w:sz w:val="24"/>
          <w:szCs w:val="24"/>
          <w:u w:val="single"/>
          <w:lang w:val="en"/>
        </w:rPr>
        <w:t>minden személynek joga van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 xml:space="preserve"> szabadon mozogni és </w:t>
      </w:r>
      <w:r>
        <w:rPr>
          <w:rFonts w:ascii="Times New Roman" w:eastAsia="Calibri" w:hAnsi="Times New Roman" w:cs="Calibri"/>
          <w:i/>
          <w:iCs/>
          <w:sz w:val="24"/>
          <w:szCs w:val="24"/>
          <w:u w:val="single"/>
          <w:lang w:val="en"/>
        </w:rPr>
        <w:t>lakóhelyét szabadon megválasztani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>.ˮ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Calibri"/>
          <w:sz w:val="24"/>
          <w:szCs w:val="24"/>
          <w:lang w:val="en"/>
        </w:rPr>
        <w:t xml:space="preserve">Számos kerületi lakó él önkormányzati lakásban, sok az idős, költöztethetetlen lakó, vannak, akik több évtizede a kerületben élnek, a Képviselő-testületnek </w:t>
      </w:r>
      <w:r>
        <w:rPr>
          <w:rFonts w:ascii="Times New Roman" w:eastAsia="Calibri" w:hAnsi="Times New Roman" w:cs="Calibri"/>
          <w:sz w:val="24"/>
          <w:szCs w:val="24"/>
          <w:lang w:val="en"/>
        </w:rPr>
        <w:t>kötelessége a lakosság mellé állni, nem lehet, és nem is szabad elvárni, hogy a lakosság költözzön el, rengeteg érintett kerületi lakó jelezte 2024-ben is a vendéglátó üzleteknek a kerület egészére kiterjedő 24 és 6 óra közötti kötelező zárvatartását támog</w:t>
      </w:r>
      <w:r>
        <w:rPr>
          <w:rFonts w:ascii="Times New Roman" w:eastAsia="Calibri" w:hAnsi="Times New Roman" w:cs="Calibri"/>
          <w:sz w:val="24"/>
          <w:szCs w:val="24"/>
          <w:lang w:val="en"/>
        </w:rPr>
        <w:t xml:space="preserve">ató aláírásukkal - amely ilyen nagy számú aláíró mellett gyakorlatilag reprezentatív mintának számít -, hogy ragaszkodnak az egészséges környezethez és az éjszakai pihenéshez, melyet a strasbourgi emberi jogi bíróságnál alkalmazott 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>Emberi jogok európai egy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>ezményének</w:t>
      </w:r>
      <w:r>
        <w:rPr>
          <w:rFonts w:ascii="Times New Roman" w:eastAsia="Calibri" w:hAnsi="Times New Roman" w:cs="Calibri"/>
          <w:sz w:val="24"/>
          <w:szCs w:val="24"/>
          <w:lang w:val="en"/>
        </w:rPr>
        <w:t xml:space="preserve"> 8. pontja is tartalmazza, az itt élők </w:t>
      </w:r>
      <w:r>
        <w:rPr>
          <w:rFonts w:ascii="Times New Roman" w:eastAsia="Calibri" w:hAnsi="Times New Roman" w:cs="Calibri"/>
          <w:sz w:val="24"/>
          <w:szCs w:val="24"/>
          <w:lang w:val="en"/>
        </w:rPr>
        <w:lastRenderedPageBreak/>
        <w:t>pihenéshez, egészséghez, egészséges környezethez való jogát szembeállítani, pláne alárendelni a vállalkozáshoz való jognak nem lehet.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A már működő vállalkozások tekintetében </w:t>
      </w:r>
      <w:r>
        <w:rPr>
          <w:rFonts w:ascii="Times New Roman" w:hAnsi="Times New Roman"/>
          <w:sz w:val="24"/>
          <w:szCs w:val="24"/>
        </w:rPr>
        <w:t>fontos említést tenni az alábbiak</w:t>
      </w:r>
      <w:r>
        <w:rPr>
          <w:rFonts w:ascii="Times New Roman" w:hAnsi="Times New Roman"/>
          <w:sz w:val="24"/>
          <w:szCs w:val="24"/>
        </w:rPr>
        <w:t>ról is.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"/>
        </w:rPr>
        <w:t>Az Alkotmánybíróság jogszabály alkotmányellenességének utólagos vizsgálatára irányuló indítvány tárgyában meghozta a 282/B/2007. AB határozatát, mely egyebek mellett az alábbiakat rögzíti: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val="en"/>
        </w:rPr>
        <w:t xml:space="preserve">„Az 54/1993. (X. 13.) AB határozatában az Alkotmánybíróság </w:t>
      </w:r>
      <w:r>
        <w:rPr>
          <w:rFonts w:ascii="Times New Roman" w:hAnsi="Times New Roman"/>
          <w:i/>
          <w:iCs/>
          <w:sz w:val="24"/>
          <w:szCs w:val="24"/>
          <w:lang w:val="en"/>
        </w:rPr>
        <w:t>a következőképpen értelmezte a vállalkozás jogát: "A vállalkozás joga a foglalkozás szabad megválasztásához való alkotmányos alapjog [Alkotmány 70/B. § (1) bekezdés] egyik aspektusa, annak egyik, a különös szintjén történő megfogalmazása. A vállalkozás jog</w:t>
      </w:r>
      <w:r>
        <w:rPr>
          <w:rFonts w:ascii="Times New Roman" w:hAnsi="Times New Roman"/>
          <w:i/>
          <w:iCs/>
          <w:sz w:val="24"/>
          <w:szCs w:val="24"/>
          <w:lang w:val="en"/>
        </w:rPr>
        <w:t xml:space="preserve">a azt jelenti, hogy bárkinek Alkotmány biztosította joga a vállalkozás, azaz üzleti tevékenység kifejtése. (...) A vállalkozás joga ugyanis a fentiek értelmében egy bizonyos, a vállalkozások számára az állam által teremtett közgazdasági feltételrendszerbe </w:t>
      </w:r>
      <w:r>
        <w:rPr>
          <w:rFonts w:ascii="Times New Roman" w:hAnsi="Times New Roman"/>
          <w:i/>
          <w:iCs/>
          <w:sz w:val="24"/>
          <w:szCs w:val="24"/>
          <w:lang w:val="en"/>
        </w:rPr>
        <w:t>való belépés lehetőségének biztosítását, más szóval a vállalkozóvá válás lehetőségének - esetenként szakmai szempontok által motivált feltételekhez kötött, korlátozott - biztosítását jelenti. A vállalkozás joga tehát nem abszolutizálható, és nem korlátozha</w:t>
      </w:r>
      <w:r>
        <w:rPr>
          <w:rFonts w:ascii="Times New Roman" w:hAnsi="Times New Roman"/>
          <w:i/>
          <w:iCs/>
          <w:sz w:val="24"/>
          <w:szCs w:val="24"/>
          <w:lang w:val="en"/>
        </w:rPr>
        <w:t>tatlan: s</w:t>
      </w:r>
      <w:r>
        <w:rPr>
          <w:rFonts w:ascii="Times New Roman" w:hAnsi="Times New Roman"/>
          <w:i/>
          <w:iCs/>
          <w:sz w:val="24"/>
          <w:szCs w:val="24"/>
          <w:u w:val="single"/>
          <w:lang w:val="en"/>
        </w:rPr>
        <w:t>enkinek sincs alanyi joga meghatározott foglalkozással kapcsolatos vállalkozás, sem pedig ennek adott vállalkozási jogi formában való gyakorlásához</w:t>
      </w:r>
      <w:r>
        <w:rPr>
          <w:rFonts w:ascii="Times New Roman" w:hAnsi="Times New Roman"/>
          <w:i/>
          <w:iCs/>
          <w:sz w:val="24"/>
          <w:szCs w:val="24"/>
          <w:lang w:val="en"/>
        </w:rPr>
        <w:t>. A vállalkozás joga annyit jelent - de annyit alkotmányos követelményként feltétlenül -, hogy az ál</w:t>
      </w:r>
      <w:r>
        <w:rPr>
          <w:rFonts w:ascii="Times New Roman" w:hAnsi="Times New Roman"/>
          <w:i/>
          <w:iCs/>
          <w:sz w:val="24"/>
          <w:szCs w:val="24"/>
          <w:lang w:val="en"/>
        </w:rPr>
        <w:t>lam ne akadályozza meg, ne tegye lehetetlenné a vállalkozóvá válást.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val="en"/>
        </w:rPr>
        <w:t>A vállalkozás jogától különböző kérdés az, hogy a vállalkozó milyen közgazdasági feltételrendszerbe lép be. E feltételrendszerrel kapcsolatban különösen az az alkotmányossági követelmény,</w:t>
      </w:r>
      <w:r>
        <w:rPr>
          <w:rFonts w:ascii="Times New Roman" w:hAnsi="Times New Roman"/>
          <w:i/>
          <w:iCs/>
          <w:sz w:val="24"/>
          <w:szCs w:val="24"/>
          <w:lang w:val="en"/>
        </w:rPr>
        <w:t xml:space="preserve"> hogy a feltételrendszer, így például az adórendszer megfeleljen a piacgazdaság Alkotmány rögzítette (9. §) követelményének, valamint hogy ne legyen diszkriminatív." (ABH 1993, 340, 341-342.)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val="en"/>
        </w:rPr>
        <w:t>A 13/1995. (III. 1.) AB határozatban az Alkotmánybíróság kifejte</w:t>
      </w:r>
      <w:r>
        <w:rPr>
          <w:rFonts w:ascii="Times New Roman" w:hAnsi="Times New Roman"/>
          <w:i/>
          <w:iCs/>
          <w:sz w:val="24"/>
          <w:szCs w:val="24"/>
          <w:lang w:val="en"/>
        </w:rPr>
        <w:t>tte: "A jogalkotónak nagy a szabadsága a vállalkozások keretéül szolgáló feltételrendszer (például az adórendszer) megteremtése tekintetében. A jogalkotót itt csak az a követelmény köti, hogy ne alakítson ki olyan feltételrendszert, amelynek keretei között</w:t>
      </w:r>
      <w:r>
        <w:rPr>
          <w:rFonts w:ascii="Times New Roman" w:hAnsi="Times New Roman"/>
          <w:i/>
          <w:iCs/>
          <w:sz w:val="24"/>
          <w:szCs w:val="24"/>
          <w:lang w:val="en"/>
        </w:rPr>
        <w:t xml:space="preserve"> lehetetlenné válna a vállalkozáshoz való alapjog gyakorlása." (ABH 1995, 77, 79.)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val="en"/>
        </w:rPr>
        <w:t>...</w:t>
      </w:r>
      <w:r>
        <w:rPr>
          <w:rFonts w:ascii="Times New Roman" w:hAnsi="Times New Roman"/>
          <w:i/>
          <w:iCs/>
          <w:sz w:val="24"/>
          <w:szCs w:val="24"/>
          <w:u w:val="single"/>
          <w:lang w:val="en"/>
        </w:rPr>
        <w:t>az önkormányzatok az üzletek</w:t>
      </w:r>
      <w:r>
        <w:rPr>
          <w:rFonts w:ascii="Times New Roman" w:hAnsi="Times New Roman"/>
          <w:i/>
          <w:iCs/>
          <w:sz w:val="24"/>
          <w:szCs w:val="24"/>
          <w:lang w:val="en"/>
        </w:rPr>
        <w:t xml:space="preserve"> működésére vonatkozó jogi környezet bizonyos elemének - jelesül az </w:t>
      </w:r>
      <w:r>
        <w:rPr>
          <w:rFonts w:ascii="Times New Roman" w:hAnsi="Times New Roman"/>
          <w:i/>
          <w:iCs/>
          <w:sz w:val="24"/>
          <w:szCs w:val="24"/>
          <w:u w:val="single"/>
          <w:lang w:val="en"/>
        </w:rPr>
        <w:t>éjszakai nyitva tartásnak - a meghatározására váltak jogosulttá. Ez nyilvá</w:t>
      </w:r>
      <w:r>
        <w:rPr>
          <w:rFonts w:ascii="Times New Roman" w:hAnsi="Times New Roman"/>
          <w:i/>
          <w:iCs/>
          <w:sz w:val="24"/>
          <w:szCs w:val="24"/>
          <w:u w:val="single"/>
          <w:lang w:val="en"/>
        </w:rPr>
        <w:t>nvalóan nem akadályozza meg, nem teszi lehetetlenné a vállalkozóvá válást, illetve a meglévő vállalkozások további működését. A vállalkozáshoz való jognak nem tulajdonítható olyan jelentés, amely szerint a már működő vállalkozásokra vonatkozó jogi környeze</w:t>
      </w:r>
      <w:r>
        <w:rPr>
          <w:rFonts w:ascii="Times New Roman" w:hAnsi="Times New Roman"/>
          <w:i/>
          <w:iCs/>
          <w:sz w:val="24"/>
          <w:szCs w:val="24"/>
          <w:u w:val="single"/>
          <w:lang w:val="en"/>
        </w:rPr>
        <w:t>t módosíthatatlan lenne.</w:t>
      </w:r>
      <w:r>
        <w:rPr>
          <w:rFonts w:ascii="Times New Roman" w:hAnsi="Times New Roman"/>
          <w:i/>
          <w:iCs/>
          <w:sz w:val="24"/>
          <w:szCs w:val="24"/>
          <w:lang w:val="en"/>
        </w:rPr>
        <w:t>ˮ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Calibri"/>
          <w:sz w:val="24"/>
          <w:szCs w:val="24"/>
          <w:lang w:val="en"/>
        </w:rPr>
        <w:t>Tehát az üzletek éjszakai nyitvatartási rendjének önkormányzati rendeletben történő szabályozása nem lehetetleníti el a vállalkozás szabadságához  fűződő jogot és az előterjesztésben ismertetett  tények rávilágítanak arra, hogy té</w:t>
      </w:r>
      <w:r>
        <w:rPr>
          <w:rFonts w:ascii="Times New Roman" w:eastAsia="Calibri" w:hAnsi="Times New Roman" w:cs="Calibri"/>
          <w:sz w:val="24"/>
          <w:szCs w:val="24"/>
          <w:lang w:val="en"/>
        </w:rPr>
        <w:t>vúton jártak azok a vállalkozók, illetve adott esetben egyes pártpolitikusok, akik eddig úgy vélték, hogy - a lakosság pihenéshez való jogának sérülését, vagy ellehetetlenülését, és számos egyéb jogsértést eredményező üzleti konstrukcióval működtetett - ze</w:t>
      </w:r>
      <w:r>
        <w:rPr>
          <w:rFonts w:ascii="Times New Roman" w:eastAsia="Calibri" w:hAnsi="Times New Roman" w:cs="Calibri"/>
          <w:sz w:val="24"/>
          <w:szCs w:val="24"/>
          <w:lang w:val="en"/>
        </w:rPr>
        <w:t xml:space="preserve">nés, táncos szórakozóhelyek, éjszakai bárok, kocsmák tömegeinek egy önkényesen meghatározott, a ténylegesen ott élők vonatkozásában mindenféle kártérítés és ellentételezés, valamint a megkérdezésük nélkül 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>„</w:t>
      </w:r>
      <w:r>
        <w:rPr>
          <w:rFonts w:ascii="Times New Roman" w:eastAsia="Calibri" w:hAnsi="Times New Roman" w:cs="Calibri"/>
          <w:sz w:val="24"/>
          <w:szCs w:val="24"/>
          <w:lang w:val="en"/>
        </w:rPr>
        <w:t>vigalmi negyedek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>ˮ</w:t>
      </w:r>
      <w:r>
        <w:rPr>
          <w:rFonts w:ascii="Times New Roman" w:eastAsia="Calibri" w:hAnsi="Times New Roman" w:cs="Calibri"/>
          <w:sz w:val="24"/>
          <w:szCs w:val="24"/>
          <w:lang w:val="en"/>
        </w:rPr>
        <w:t xml:space="preserve"> kijelölt, egyébként nagyvárosias</w:t>
      </w:r>
      <w:r>
        <w:rPr>
          <w:rFonts w:ascii="Times New Roman" w:eastAsia="Calibri" w:hAnsi="Times New Roman" w:cs="Calibri"/>
          <w:sz w:val="24"/>
          <w:szCs w:val="24"/>
          <w:lang w:val="en"/>
        </w:rPr>
        <w:t xml:space="preserve"> lakóterületen, a történelmi zsidónegyed szűk utcáin való 24 és 6 óra közötti üzemeltetése alapvető jog, de annyit még érdemes megjegyezni, hogy az Alkotmánybíróság a 3050/2016. (III. 22.) számú határozatában egyértelműen rögzíti azt is, hogy:</w:t>
      </w:r>
    </w:p>
    <w:p w:rsidR="003A2042" w:rsidRDefault="001B29D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 xml:space="preserve"> „a munkához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 xml:space="preserve"> való jog – hasonlóan mint a vállalkozáshoz való jog – nem biztosít alanyi jogot egy meghatározott foglalkozás végzéséhez ...Mint ahogy </w:t>
      </w:r>
      <w:r>
        <w:rPr>
          <w:rFonts w:ascii="Times New Roman" w:eastAsia="Calibri" w:hAnsi="Times New Roman" w:cs="Calibri"/>
          <w:i/>
          <w:iCs/>
          <w:sz w:val="24"/>
          <w:szCs w:val="24"/>
          <w:u w:val="single"/>
          <w:lang w:val="en"/>
        </w:rPr>
        <w:t>a vállalkozáshoz való jog nem biztosít alanyi jogot egy meghatározott vállalkozás végzéséhez, az Alaptörvény nem biztosí</w:t>
      </w:r>
      <w:r>
        <w:rPr>
          <w:rFonts w:ascii="Times New Roman" w:eastAsia="Calibri" w:hAnsi="Times New Roman" w:cs="Calibri"/>
          <w:i/>
          <w:iCs/>
          <w:sz w:val="24"/>
          <w:szCs w:val="24"/>
          <w:u w:val="single"/>
          <w:lang w:val="en"/>
        </w:rPr>
        <w:t xml:space="preserve">t senkinek alanyi jogot arra sem, </w:t>
      </w:r>
      <w:r>
        <w:rPr>
          <w:rFonts w:ascii="Times New Roman" w:eastAsia="Calibri" w:hAnsi="Times New Roman" w:cs="Calibri"/>
          <w:i/>
          <w:iCs/>
          <w:sz w:val="24"/>
          <w:szCs w:val="24"/>
          <w:u w:val="single"/>
          <w:lang w:val="en"/>
        </w:rPr>
        <w:lastRenderedPageBreak/>
        <w:t>hogy az általa megválasztott helyen végezhessen vállalkozást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 xml:space="preserve">. ...az Alaptörvény XII. cikk (1) bekezdésében biztosított munka és foglalkozás szabad megválasztásához, valamint </w:t>
      </w:r>
      <w:r>
        <w:rPr>
          <w:rFonts w:ascii="Times New Roman" w:eastAsia="Calibri" w:hAnsi="Times New Roman" w:cs="Calibri"/>
          <w:i/>
          <w:iCs/>
          <w:sz w:val="24"/>
          <w:szCs w:val="24"/>
          <w:u w:val="single"/>
          <w:lang w:val="en"/>
        </w:rPr>
        <w:t>a vállalkozáshoz való jog nem értelmezhető akkén</w:t>
      </w:r>
      <w:r>
        <w:rPr>
          <w:rFonts w:ascii="Times New Roman" w:eastAsia="Calibri" w:hAnsi="Times New Roman" w:cs="Calibri"/>
          <w:i/>
          <w:iCs/>
          <w:sz w:val="24"/>
          <w:szCs w:val="24"/>
          <w:u w:val="single"/>
          <w:lang w:val="en"/>
        </w:rPr>
        <w:t>t, hogy bárkinek joga lenne egy meghatározott vállalkozás – általa meghatározott – helyen történő végzésére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>ˮ</w:t>
      </w:r>
      <w:r>
        <w:rPr>
          <w:rFonts w:ascii="Times New Roman" w:eastAsia="Calibri" w:hAnsi="Times New Roman" w:cs="Calibri"/>
          <w:i/>
          <w:iCs/>
          <w:sz w:val="24"/>
          <w:szCs w:val="24"/>
          <w:lang w:val="en"/>
        </w:rPr>
        <w:t xml:space="preserve"> </w:t>
      </w:r>
    </w:p>
    <w:p w:rsidR="003A2042" w:rsidRDefault="001B29D2" w:rsidP="00436FA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Calibri"/>
          <w:sz w:val="24"/>
          <w:szCs w:val="24"/>
          <w:lang w:val="en"/>
        </w:rPr>
        <w:t>A jogszabály megalkotásának szükségessége a megfelelően felmért helyi sajátosságok alapján a kerületben lakók pihenéshez</w:t>
      </w:r>
      <w:r>
        <w:rPr>
          <w:rFonts w:ascii="Times New Roman" w:eastAsia="Calibri" w:hAnsi="Times New Roman" w:cs="Calibri"/>
          <w:sz w:val="24"/>
          <w:szCs w:val="24"/>
          <w:lang w:val="en"/>
        </w:rPr>
        <w:softHyphen/>
        <w:t>, egészséges környezethez</w:t>
      </w:r>
      <w:r>
        <w:rPr>
          <w:rFonts w:ascii="Times New Roman" w:eastAsia="Calibri" w:hAnsi="Times New Roman" w:cs="Calibri"/>
          <w:sz w:val="24"/>
          <w:szCs w:val="24"/>
          <w:lang w:val="en"/>
        </w:rPr>
        <w:t xml:space="preserve"> és a vállalkozók vállalkozásási szabadsághoz fűződő joga közötti egyensúly megteremtése, mindkettő érvényre juttatása szükséges és arányos mértékben, a lakók és a vállalkozók közötti diszkrimináció alkalmazása nélkül.</w:t>
      </w:r>
    </w:p>
    <w:p w:rsidR="00436FAB" w:rsidRDefault="00436FAB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436FAB" w:rsidRDefault="00436FAB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5. A jogszabály alkalmazásához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szükséges személyi, szervezeti, tárgyi és pénzügyi feltételek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jogszabály alkalmazásához szükséges személyi, szervezeti, tárgyi, és pénzügyi feltételek a Polgármesteri Hivatal keretein belül rendelkezésre állnak. Pénzügyi többletköltséget a rendelet végre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hajtásának biztosítása nem igényel.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58D1" w:rsidRDefault="008D58D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Kérem a Képviselő-testületet az előterjesztés megtárgyalására és a rendelettervezet elfogadására.</w:t>
      </w:r>
    </w:p>
    <w:p w:rsidR="003A2042" w:rsidRDefault="003A204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3A204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2042" w:rsidRDefault="003A204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2024. </w:t>
      </w:r>
      <w:r>
        <w:rPr>
          <w:rFonts w:ascii="Times New Roman" w:hAnsi="Times New Roman"/>
          <w:sz w:val="24"/>
          <w:szCs w:val="24"/>
          <w:lang w:val="en-GB"/>
        </w:rPr>
        <w:t>április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8</w:t>
      </w:r>
      <w:r>
        <w:rPr>
          <w:rFonts w:ascii="Times New Roman" w:hAnsi="Times New Roman"/>
          <w:sz w:val="24"/>
          <w:szCs w:val="24"/>
        </w:rPr>
        <w:t>.</w:t>
      </w:r>
    </w:p>
    <w:p w:rsidR="003A2042" w:rsidRDefault="003A2042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>Garai Dóra</w:t>
      </w:r>
    </w:p>
    <w:p w:rsidR="003A2042" w:rsidRDefault="001B29D2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</w:rPr>
        <w:t>önkormányzati képviselő</w:t>
      </w: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A2042" w:rsidRDefault="003A204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D58D1" w:rsidRDefault="008D58D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bookmarkStart w:id="4" w:name="_GoBack"/>
      <w:bookmarkEnd w:id="4"/>
    </w:p>
    <w:p w:rsidR="003A2042" w:rsidRDefault="001B29D2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u w:val="single"/>
        </w:rPr>
        <w:t>Melléklet:</w:t>
      </w:r>
      <w:r>
        <w:rPr>
          <w:rFonts w:ascii="Times New Roman" w:hAnsi="Times New Roman"/>
          <w:sz w:val="24"/>
          <w:szCs w:val="24"/>
        </w:rPr>
        <w:t xml:space="preserve"> Rendelet-tervezet </w:t>
      </w:r>
      <w:r>
        <w:rPr>
          <w:rFonts w:ascii="Times New Roman" w:eastAsia="Calibri" w:hAnsi="Times New Roman"/>
          <w:sz w:val="24"/>
          <w:szCs w:val="24"/>
        </w:rPr>
        <w:t xml:space="preserve">a Budapest </w:t>
      </w:r>
      <w:r>
        <w:rPr>
          <w:rFonts w:ascii="Times New Roman" w:eastAsia="Calibri" w:hAnsi="Times New Roman"/>
          <w:sz w:val="24"/>
          <w:szCs w:val="24"/>
        </w:rPr>
        <w:t>Főváros VII. kerület Erzsébetváros Önkormányzata Képviselő-testületének az üzletek éjszakai nyitvatartási rendjéről szóló 25/2020. (VI.25.) önkormányzati rendelet módosítására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2042" w:rsidRDefault="003A204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3A204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2042" w:rsidRDefault="001B29D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3A2042" w:rsidRDefault="001B29D2">
      <w:pPr>
        <w:widowControl w:val="0"/>
        <w:numPr>
          <w:ilvl w:val="6"/>
          <w:numId w:val="21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Környezeti zaj, és rezgésterhelési </w:t>
      </w:r>
      <w:r>
        <w:rPr>
          <w:rFonts w:ascii="Times New Roman" w:hAnsi="Times New Roman"/>
          <w:sz w:val="24"/>
          <w:szCs w:val="24"/>
        </w:rPr>
        <w:t>határértékek a belső-erzsébetvárosi állapotok tükrében – tanulmány + kivonatok az akusztikai szakvéleményből</w:t>
      </w:r>
    </w:p>
    <w:p w:rsidR="003A2042" w:rsidRDefault="001B29D2">
      <w:pPr>
        <w:widowControl w:val="0"/>
        <w:numPr>
          <w:ilvl w:val="6"/>
          <w:numId w:val="22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Egészségügyi tanulmány: WHO: „Night noise guidelines for Europe” – A zajártalom és alvásmegvonás következményei az emberi szervezetr</w:t>
      </w:r>
      <w:r>
        <w:rPr>
          <w:rFonts w:ascii="Times New Roman" w:hAnsi="Times New Roman"/>
          <w:sz w:val="24"/>
          <w:szCs w:val="24"/>
        </w:rPr>
        <w:t>e.</w:t>
      </w:r>
    </w:p>
    <w:p w:rsidR="003A2042" w:rsidRDefault="001B29D2">
      <w:pPr>
        <w:widowControl w:val="0"/>
        <w:numPr>
          <w:ilvl w:val="6"/>
          <w:numId w:val="23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bookmarkStart w:id="5" w:name="insertionPlace_01"/>
      <w:r>
        <w:rPr>
          <w:rFonts w:ascii="Times New Roman" w:hAnsi="Times New Roman"/>
          <w:sz w:val="24"/>
          <w:szCs w:val="24"/>
        </w:rPr>
        <w:t>sz. melléklet: ombudsmani ajánlás</w:t>
      </w:r>
      <w:bookmarkEnd w:id="5"/>
      <w:r>
        <w:rPr>
          <w:rFonts w:ascii="Times New Roman" w:hAnsi="Times New Roman"/>
          <w:sz w:val="24"/>
          <w:szCs w:val="24"/>
        </w:rPr>
        <w:t xml:space="preserve"> ( </w:t>
      </w:r>
      <w:r>
        <w:rPr>
          <w:rFonts w:ascii="Times New Roman" w:hAnsi="Times New Roman"/>
          <w:color w:val="000000"/>
          <w:sz w:val="24"/>
          <w:szCs w:val="24"/>
        </w:rPr>
        <w:t>AJB-4206-3/2017)</w:t>
      </w:r>
    </w:p>
    <w:p w:rsidR="003A2042" w:rsidRDefault="001B29D2">
      <w:pPr>
        <w:widowControl w:val="0"/>
        <w:numPr>
          <w:ilvl w:val="6"/>
          <w:numId w:val="2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Budapest Főváros Kormányhivatalának válasza Novák Gergely megkeresésére </w:t>
      </w:r>
    </w:p>
    <w:p w:rsidR="003A2042" w:rsidRDefault="001B29D2">
      <w:pPr>
        <w:widowControl w:val="0"/>
        <w:numPr>
          <w:ilvl w:val="6"/>
          <w:numId w:val="25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Kormányhivatal válaszlevelének melléklete </w:t>
      </w:r>
    </w:p>
    <w:p w:rsidR="003A2042" w:rsidRDefault="001B29D2">
      <w:pPr>
        <w:widowControl w:val="0"/>
        <w:numPr>
          <w:ilvl w:val="6"/>
          <w:numId w:val="26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Petíció a belső-erzsébetvárosi üzletek </w:t>
      </w:r>
      <w:r>
        <w:rPr>
          <w:rFonts w:ascii="Times New Roman" w:hAnsi="Times New Roman"/>
          <w:sz w:val="24"/>
          <w:szCs w:val="24"/>
        </w:rPr>
        <w:t>és szórakozóhelyek éjféli zárórájáért</w:t>
      </w:r>
    </w:p>
    <w:p w:rsidR="003A2042" w:rsidRPr="00D86941" w:rsidRDefault="001B29D2" w:rsidP="00D86941">
      <w:pPr>
        <w:widowControl w:val="0"/>
        <w:numPr>
          <w:ilvl w:val="6"/>
          <w:numId w:val="27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a vendéglátóhelyek kötelező 24 és 6 óra közötti egységes zárvatartását támogató, életvitel-szerűen Belső-Erzsébetvárosban élő, érintett lakók aláírásai</w:t>
      </w:r>
      <w:bookmarkEnd w:id="0"/>
    </w:p>
    <w:sectPr w:rsidR="003A2042" w:rsidRPr="00D86941" w:rsidSect="00F60AA8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9D2" w:rsidRDefault="001B29D2">
      <w:pPr>
        <w:spacing w:after="0" w:line="240" w:lineRule="auto"/>
      </w:pPr>
      <w:r>
        <w:separator/>
      </w:r>
    </w:p>
  </w:endnote>
  <w:endnote w:type="continuationSeparator" w:id="0">
    <w:p w:rsidR="001B29D2" w:rsidRDefault="001B2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436FAB" w:rsidRDefault="001B29D2" w:rsidP="00436FA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D58D1">
      <w:rPr>
        <w:rFonts w:ascii="Times New Roman" w:hAnsi="Times New Roman"/>
        <w:noProof/>
        <w:sz w:val="20"/>
        <w:szCs w:val="20"/>
      </w:rPr>
      <w:t>12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9D2" w:rsidRDefault="001B29D2">
      <w:pPr>
        <w:spacing w:after="0" w:line="240" w:lineRule="auto"/>
      </w:pPr>
      <w:r>
        <w:separator/>
      </w:r>
    </w:p>
  </w:footnote>
  <w:footnote w:type="continuationSeparator" w:id="0">
    <w:p w:rsidR="001B29D2" w:rsidRDefault="001B2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6D679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EEEF9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AE8D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7A3B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C0CD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1A30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623B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42A1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3882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9DE83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9C17FC" w:tentative="1">
      <w:start w:val="1"/>
      <w:numFmt w:val="lowerLetter"/>
      <w:lvlText w:val="%2."/>
      <w:lvlJc w:val="left"/>
      <w:pPr>
        <w:ind w:left="1440" w:hanging="360"/>
      </w:pPr>
    </w:lvl>
    <w:lvl w:ilvl="2" w:tplc="5C3AAB9A" w:tentative="1">
      <w:start w:val="1"/>
      <w:numFmt w:val="lowerRoman"/>
      <w:lvlText w:val="%3."/>
      <w:lvlJc w:val="right"/>
      <w:pPr>
        <w:ind w:left="2160" w:hanging="180"/>
      </w:pPr>
    </w:lvl>
    <w:lvl w:ilvl="3" w:tplc="E83E1BE6" w:tentative="1">
      <w:start w:val="1"/>
      <w:numFmt w:val="decimal"/>
      <w:lvlText w:val="%4."/>
      <w:lvlJc w:val="left"/>
      <w:pPr>
        <w:ind w:left="2880" w:hanging="360"/>
      </w:pPr>
    </w:lvl>
    <w:lvl w:ilvl="4" w:tplc="BAC6E3CC" w:tentative="1">
      <w:start w:val="1"/>
      <w:numFmt w:val="lowerLetter"/>
      <w:lvlText w:val="%5."/>
      <w:lvlJc w:val="left"/>
      <w:pPr>
        <w:ind w:left="3600" w:hanging="360"/>
      </w:pPr>
    </w:lvl>
    <w:lvl w:ilvl="5" w:tplc="9C04F350" w:tentative="1">
      <w:start w:val="1"/>
      <w:numFmt w:val="lowerRoman"/>
      <w:lvlText w:val="%6."/>
      <w:lvlJc w:val="right"/>
      <w:pPr>
        <w:ind w:left="4320" w:hanging="180"/>
      </w:pPr>
    </w:lvl>
    <w:lvl w:ilvl="6" w:tplc="CC4C3AA8" w:tentative="1">
      <w:start w:val="1"/>
      <w:numFmt w:val="decimal"/>
      <w:lvlText w:val="%7."/>
      <w:lvlJc w:val="left"/>
      <w:pPr>
        <w:ind w:left="5040" w:hanging="360"/>
      </w:pPr>
    </w:lvl>
    <w:lvl w:ilvl="7" w:tplc="A3CE895A" w:tentative="1">
      <w:start w:val="1"/>
      <w:numFmt w:val="lowerLetter"/>
      <w:lvlText w:val="%8."/>
      <w:lvlJc w:val="left"/>
      <w:pPr>
        <w:ind w:left="5760" w:hanging="360"/>
      </w:pPr>
    </w:lvl>
    <w:lvl w:ilvl="8" w:tplc="D8782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94EF7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BE83A8E" w:tentative="1">
      <w:start w:val="1"/>
      <w:numFmt w:val="lowerLetter"/>
      <w:lvlText w:val="%2."/>
      <w:lvlJc w:val="left"/>
      <w:pPr>
        <w:ind w:left="1800" w:hanging="360"/>
      </w:pPr>
    </w:lvl>
    <w:lvl w:ilvl="2" w:tplc="B57619D2" w:tentative="1">
      <w:start w:val="1"/>
      <w:numFmt w:val="lowerRoman"/>
      <w:lvlText w:val="%3."/>
      <w:lvlJc w:val="right"/>
      <w:pPr>
        <w:ind w:left="2520" w:hanging="180"/>
      </w:pPr>
    </w:lvl>
    <w:lvl w:ilvl="3" w:tplc="E578EDAC" w:tentative="1">
      <w:start w:val="1"/>
      <w:numFmt w:val="decimal"/>
      <w:lvlText w:val="%4."/>
      <w:lvlJc w:val="left"/>
      <w:pPr>
        <w:ind w:left="3240" w:hanging="360"/>
      </w:pPr>
    </w:lvl>
    <w:lvl w:ilvl="4" w:tplc="67AA43FC" w:tentative="1">
      <w:start w:val="1"/>
      <w:numFmt w:val="lowerLetter"/>
      <w:lvlText w:val="%5."/>
      <w:lvlJc w:val="left"/>
      <w:pPr>
        <w:ind w:left="3960" w:hanging="360"/>
      </w:pPr>
    </w:lvl>
    <w:lvl w:ilvl="5" w:tplc="6DE43880" w:tentative="1">
      <w:start w:val="1"/>
      <w:numFmt w:val="lowerRoman"/>
      <w:lvlText w:val="%6."/>
      <w:lvlJc w:val="right"/>
      <w:pPr>
        <w:ind w:left="4680" w:hanging="180"/>
      </w:pPr>
    </w:lvl>
    <w:lvl w:ilvl="6" w:tplc="03EE3200" w:tentative="1">
      <w:start w:val="1"/>
      <w:numFmt w:val="decimal"/>
      <w:lvlText w:val="%7."/>
      <w:lvlJc w:val="left"/>
      <w:pPr>
        <w:ind w:left="5400" w:hanging="360"/>
      </w:pPr>
    </w:lvl>
    <w:lvl w:ilvl="7" w:tplc="A03C8B86" w:tentative="1">
      <w:start w:val="1"/>
      <w:numFmt w:val="lowerLetter"/>
      <w:lvlText w:val="%8."/>
      <w:lvlJc w:val="left"/>
      <w:pPr>
        <w:ind w:left="6120" w:hanging="360"/>
      </w:pPr>
    </w:lvl>
    <w:lvl w:ilvl="8" w:tplc="33B62A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2221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242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894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9E0C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EE6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4618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CCE8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4E32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A0DD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461D6"/>
    <w:multiLevelType w:val="hybridMultilevel"/>
    <w:tmpl w:val="00000000"/>
    <w:lvl w:ilvl="0" w:tplc="42A417D6">
      <w:start w:val="1"/>
      <w:numFmt w:val="lowerLetter"/>
      <w:lvlText w:val="%1)"/>
      <w:lvlJc w:val="left"/>
      <w:pPr>
        <w:tabs>
          <w:tab w:val="num" w:pos="0"/>
        </w:tabs>
        <w:ind w:left="2770" w:hanging="360"/>
      </w:pPr>
      <w:rPr>
        <w:b w:val="0"/>
      </w:rPr>
    </w:lvl>
    <w:lvl w:ilvl="1" w:tplc="C6CE5D40">
      <w:start w:val="1"/>
      <w:numFmt w:val="lowerLetter"/>
      <w:lvlText w:val="%2."/>
      <w:lvlJc w:val="left"/>
      <w:pPr>
        <w:tabs>
          <w:tab w:val="num" w:pos="0"/>
        </w:tabs>
        <w:ind w:left="3490" w:hanging="360"/>
      </w:pPr>
    </w:lvl>
    <w:lvl w:ilvl="2" w:tplc="BDA6FBAA">
      <w:start w:val="1"/>
      <w:numFmt w:val="lowerRoman"/>
      <w:lvlText w:val="%3."/>
      <w:lvlJc w:val="right"/>
      <w:pPr>
        <w:tabs>
          <w:tab w:val="num" w:pos="0"/>
        </w:tabs>
        <w:ind w:left="4210" w:hanging="180"/>
      </w:pPr>
    </w:lvl>
    <w:lvl w:ilvl="3" w:tplc="6EC2A04C">
      <w:start w:val="1"/>
      <w:numFmt w:val="decimal"/>
      <w:lvlText w:val="%4."/>
      <w:lvlJc w:val="left"/>
      <w:pPr>
        <w:tabs>
          <w:tab w:val="num" w:pos="0"/>
        </w:tabs>
        <w:ind w:left="4930" w:hanging="360"/>
      </w:pPr>
    </w:lvl>
    <w:lvl w:ilvl="4" w:tplc="279A9312">
      <w:start w:val="1"/>
      <w:numFmt w:val="lowerLetter"/>
      <w:lvlText w:val="%5."/>
      <w:lvlJc w:val="left"/>
      <w:pPr>
        <w:tabs>
          <w:tab w:val="num" w:pos="0"/>
        </w:tabs>
        <w:ind w:left="5650" w:hanging="360"/>
      </w:pPr>
    </w:lvl>
    <w:lvl w:ilvl="5" w:tplc="8648053A">
      <w:start w:val="1"/>
      <w:numFmt w:val="lowerRoman"/>
      <w:lvlText w:val="%6."/>
      <w:lvlJc w:val="right"/>
      <w:pPr>
        <w:tabs>
          <w:tab w:val="num" w:pos="0"/>
        </w:tabs>
        <w:ind w:left="6370" w:hanging="180"/>
      </w:pPr>
    </w:lvl>
    <w:lvl w:ilvl="6" w:tplc="D8667282">
      <w:start w:val="1"/>
      <w:numFmt w:val="decimal"/>
      <w:lvlText w:val="%7."/>
      <w:lvlJc w:val="left"/>
      <w:pPr>
        <w:tabs>
          <w:tab w:val="num" w:pos="0"/>
        </w:tabs>
        <w:ind w:left="7090" w:hanging="360"/>
      </w:pPr>
    </w:lvl>
    <w:lvl w:ilvl="7" w:tplc="79DC7658">
      <w:start w:val="1"/>
      <w:numFmt w:val="lowerLetter"/>
      <w:lvlText w:val="%8."/>
      <w:lvlJc w:val="left"/>
      <w:pPr>
        <w:tabs>
          <w:tab w:val="num" w:pos="0"/>
        </w:tabs>
        <w:ind w:left="7810" w:hanging="360"/>
      </w:pPr>
    </w:lvl>
    <w:lvl w:ilvl="8" w:tplc="7966B162">
      <w:start w:val="1"/>
      <w:numFmt w:val="lowerRoman"/>
      <w:lvlText w:val="%9."/>
      <w:lvlJc w:val="right"/>
      <w:pPr>
        <w:tabs>
          <w:tab w:val="num" w:pos="0"/>
        </w:tabs>
        <w:ind w:left="853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BC67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A8A4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DC36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2C7A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40C7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44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5842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EA9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2643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6D60FE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B8AFE00" w:tentative="1">
      <w:start w:val="1"/>
      <w:numFmt w:val="lowerLetter"/>
      <w:lvlText w:val="%2."/>
      <w:lvlJc w:val="left"/>
      <w:pPr>
        <w:ind w:left="1146" w:hanging="360"/>
      </w:pPr>
    </w:lvl>
    <w:lvl w:ilvl="2" w:tplc="FF10D1AA" w:tentative="1">
      <w:start w:val="1"/>
      <w:numFmt w:val="lowerRoman"/>
      <w:lvlText w:val="%3."/>
      <w:lvlJc w:val="right"/>
      <w:pPr>
        <w:ind w:left="1866" w:hanging="180"/>
      </w:pPr>
    </w:lvl>
    <w:lvl w:ilvl="3" w:tplc="E5EA07DA" w:tentative="1">
      <w:start w:val="1"/>
      <w:numFmt w:val="decimal"/>
      <w:lvlText w:val="%4."/>
      <w:lvlJc w:val="left"/>
      <w:pPr>
        <w:ind w:left="2586" w:hanging="360"/>
      </w:pPr>
    </w:lvl>
    <w:lvl w:ilvl="4" w:tplc="73BEC18A" w:tentative="1">
      <w:start w:val="1"/>
      <w:numFmt w:val="lowerLetter"/>
      <w:lvlText w:val="%5."/>
      <w:lvlJc w:val="left"/>
      <w:pPr>
        <w:ind w:left="3306" w:hanging="360"/>
      </w:pPr>
    </w:lvl>
    <w:lvl w:ilvl="5" w:tplc="513CBFFE" w:tentative="1">
      <w:start w:val="1"/>
      <w:numFmt w:val="lowerRoman"/>
      <w:lvlText w:val="%6."/>
      <w:lvlJc w:val="right"/>
      <w:pPr>
        <w:ind w:left="4026" w:hanging="180"/>
      </w:pPr>
    </w:lvl>
    <w:lvl w:ilvl="6" w:tplc="1A3E3E60" w:tentative="1">
      <w:start w:val="1"/>
      <w:numFmt w:val="decimal"/>
      <w:lvlText w:val="%7."/>
      <w:lvlJc w:val="left"/>
      <w:pPr>
        <w:ind w:left="4746" w:hanging="360"/>
      </w:pPr>
    </w:lvl>
    <w:lvl w:ilvl="7" w:tplc="6832BCB6" w:tentative="1">
      <w:start w:val="1"/>
      <w:numFmt w:val="lowerLetter"/>
      <w:lvlText w:val="%8."/>
      <w:lvlJc w:val="left"/>
      <w:pPr>
        <w:ind w:left="5466" w:hanging="360"/>
      </w:pPr>
    </w:lvl>
    <w:lvl w:ilvl="8" w:tplc="327877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3C229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D4DB8A" w:tentative="1">
      <w:start w:val="1"/>
      <w:numFmt w:val="lowerLetter"/>
      <w:lvlText w:val="%2."/>
      <w:lvlJc w:val="left"/>
      <w:pPr>
        <w:ind w:left="1440" w:hanging="360"/>
      </w:pPr>
    </w:lvl>
    <w:lvl w:ilvl="2" w:tplc="BB380590" w:tentative="1">
      <w:start w:val="1"/>
      <w:numFmt w:val="lowerRoman"/>
      <w:lvlText w:val="%3."/>
      <w:lvlJc w:val="right"/>
      <w:pPr>
        <w:ind w:left="2160" w:hanging="180"/>
      </w:pPr>
    </w:lvl>
    <w:lvl w:ilvl="3" w:tplc="C1C8B440" w:tentative="1">
      <w:start w:val="1"/>
      <w:numFmt w:val="decimal"/>
      <w:lvlText w:val="%4."/>
      <w:lvlJc w:val="left"/>
      <w:pPr>
        <w:ind w:left="2880" w:hanging="360"/>
      </w:pPr>
    </w:lvl>
    <w:lvl w:ilvl="4" w:tplc="7FEC0364" w:tentative="1">
      <w:start w:val="1"/>
      <w:numFmt w:val="lowerLetter"/>
      <w:lvlText w:val="%5."/>
      <w:lvlJc w:val="left"/>
      <w:pPr>
        <w:ind w:left="3600" w:hanging="360"/>
      </w:pPr>
    </w:lvl>
    <w:lvl w:ilvl="5" w:tplc="4DB6A446" w:tentative="1">
      <w:start w:val="1"/>
      <w:numFmt w:val="lowerRoman"/>
      <w:lvlText w:val="%6."/>
      <w:lvlJc w:val="right"/>
      <w:pPr>
        <w:ind w:left="4320" w:hanging="180"/>
      </w:pPr>
    </w:lvl>
    <w:lvl w:ilvl="6" w:tplc="91168F3C" w:tentative="1">
      <w:start w:val="1"/>
      <w:numFmt w:val="decimal"/>
      <w:lvlText w:val="%7."/>
      <w:lvlJc w:val="left"/>
      <w:pPr>
        <w:ind w:left="5040" w:hanging="360"/>
      </w:pPr>
    </w:lvl>
    <w:lvl w:ilvl="7" w:tplc="6682FF44" w:tentative="1">
      <w:start w:val="1"/>
      <w:numFmt w:val="lowerLetter"/>
      <w:lvlText w:val="%8."/>
      <w:lvlJc w:val="left"/>
      <w:pPr>
        <w:ind w:left="5760" w:hanging="360"/>
      </w:pPr>
    </w:lvl>
    <w:lvl w:ilvl="8" w:tplc="7C8A3B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61A9DC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C32FE92">
      <w:start w:val="1"/>
      <w:numFmt w:val="lowerLetter"/>
      <w:lvlText w:val="%2."/>
      <w:lvlJc w:val="left"/>
      <w:pPr>
        <w:ind w:left="1365" w:hanging="360"/>
      </w:pPr>
    </w:lvl>
    <w:lvl w:ilvl="2" w:tplc="AC4A2A6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6B0B688" w:tentative="1">
      <w:start w:val="1"/>
      <w:numFmt w:val="decimal"/>
      <w:lvlText w:val="%4."/>
      <w:lvlJc w:val="left"/>
      <w:pPr>
        <w:ind w:left="2805" w:hanging="360"/>
      </w:pPr>
    </w:lvl>
    <w:lvl w:ilvl="4" w:tplc="0316A514" w:tentative="1">
      <w:start w:val="1"/>
      <w:numFmt w:val="lowerLetter"/>
      <w:lvlText w:val="%5."/>
      <w:lvlJc w:val="left"/>
      <w:pPr>
        <w:ind w:left="3525" w:hanging="360"/>
      </w:pPr>
    </w:lvl>
    <w:lvl w:ilvl="5" w:tplc="9FF02616" w:tentative="1">
      <w:start w:val="1"/>
      <w:numFmt w:val="lowerRoman"/>
      <w:lvlText w:val="%6."/>
      <w:lvlJc w:val="right"/>
      <w:pPr>
        <w:ind w:left="4245" w:hanging="180"/>
      </w:pPr>
    </w:lvl>
    <w:lvl w:ilvl="6" w:tplc="6BA88840" w:tentative="1">
      <w:start w:val="1"/>
      <w:numFmt w:val="decimal"/>
      <w:lvlText w:val="%7."/>
      <w:lvlJc w:val="left"/>
      <w:pPr>
        <w:ind w:left="4965" w:hanging="360"/>
      </w:pPr>
    </w:lvl>
    <w:lvl w:ilvl="7" w:tplc="8012B546" w:tentative="1">
      <w:start w:val="1"/>
      <w:numFmt w:val="lowerLetter"/>
      <w:lvlText w:val="%8."/>
      <w:lvlJc w:val="left"/>
      <w:pPr>
        <w:ind w:left="5685" w:hanging="360"/>
      </w:pPr>
    </w:lvl>
    <w:lvl w:ilvl="8" w:tplc="E54650F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FE43D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5463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ACA2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A42C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42E2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2A84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96FF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0453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5015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76ED2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9E40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5231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8A05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D662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D048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1069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26CB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4226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C8CDB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034C8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36FB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626D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60B5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B82A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2CED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280C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2C89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FC6D616">
      <w:start w:val="1"/>
      <w:numFmt w:val="upperLetter"/>
      <w:lvlText w:val="%1."/>
      <w:lvlJc w:val="left"/>
      <w:pPr>
        <w:ind w:left="720" w:hanging="360"/>
      </w:pPr>
    </w:lvl>
    <w:lvl w:ilvl="1" w:tplc="AB0A1B1A" w:tentative="1">
      <w:start w:val="1"/>
      <w:numFmt w:val="lowerLetter"/>
      <w:lvlText w:val="%2."/>
      <w:lvlJc w:val="left"/>
      <w:pPr>
        <w:ind w:left="1440" w:hanging="360"/>
      </w:pPr>
    </w:lvl>
    <w:lvl w:ilvl="2" w:tplc="FE1ADED2" w:tentative="1">
      <w:start w:val="1"/>
      <w:numFmt w:val="lowerRoman"/>
      <w:lvlText w:val="%3."/>
      <w:lvlJc w:val="right"/>
      <w:pPr>
        <w:ind w:left="2160" w:hanging="180"/>
      </w:pPr>
    </w:lvl>
    <w:lvl w:ilvl="3" w:tplc="DAE652E8" w:tentative="1">
      <w:start w:val="1"/>
      <w:numFmt w:val="decimal"/>
      <w:lvlText w:val="%4."/>
      <w:lvlJc w:val="left"/>
      <w:pPr>
        <w:ind w:left="2880" w:hanging="360"/>
      </w:pPr>
    </w:lvl>
    <w:lvl w:ilvl="4" w:tplc="28D020FA" w:tentative="1">
      <w:start w:val="1"/>
      <w:numFmt w:val="lowerLetter"/>
      <w:lvlText w:val="%5."/>
      <w:lvlJc w:val="left"/>
      <w:pPr>
        <w:ind w:left="3600" w:hanging="360"/>
      </w:pPr>
    </w:lvl>
    <w:lvl w:ilvl="5" w:tplc="6F581292" w:tentative="1">
      <w:start w:val="1"/>
      <w:numFmt w:val="lowerRoman"/>
      <w:lvlText w:val="%6."/>
      <w:lvlJc w:val="right"/>
      <w:pPr>
        <w:ind w:left="4320" w:hanging="180"/>
      </w:pPr>
    </w:lvl>
    <w:lvl w:ilvl="6" w:tplc="BD12E692" w:tentative="1">
      <w:start w:val="1"/>
      <w:numFmt w:val="decimal"/>
      <w:lvlText w:val="%7."/>
      <w:lvlJc w:val="left"/>
      <w:pPr>
        <w:ind w:left="5040" w:hanging="360"/>
      </w:pPr>
    </w:lvl>
    <w:lvl w:ilvl="7" w:tplc="19AC3D6A" w:tentative="1">
      <w:start w:val="1"/>
      <w:numFmt w:val="lowerLetter"/>
      <w:lvlText w:val="%8."/>
      <w:lvlJc w:val="left"/>
      <w:pPr>
        <w:ind w:left="5760" w:hanging="360"/>
      </w:pPr>
    </w:lvl>
    <w:lvl w:ilvl="8" w:tplc="75DAB6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74083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0621B5E" w:tentative="1">
      <w:start w:val="1"/>
      <w:numFmt w:val="lowerLetter"/>
      <w:lvlText w:val="%2."/>
      <w:lvlJc w:val="left"/>
      <w:pPr>
        <w:ind w:left="1800" w:hanging="360"/>
      </w:pPr>
    </w:lvl>
    <w:lvl w:ilvl="2" w:tplc="4FF6EF04" w:tentative="1">
      <w:start w:val="1"/>
      <w:numFmt w:val="lowerRoman"/>
      <w:lvlText w:val="%3."/>
      <w:lvlJc w:val="right"/>
      <w:pPr>
        <w:ind w:left="2520" w:hanging="180"/>
      </w:pPr>
    </w:lvl>
    <w:lvl w:ilvl="3" w:tplc="21ECC710" w:tentative="1">
      <w:start w:val="1"/>
      <w:numFmt w:val="decimal"/>
      <w:lvlText w:val="%4."/>
      <w:lvlJc w:val="left"/>
      <w:pPr>
        <w:ind w:left="3240" w:hanging="360"/>
      </w:pPr>
    </w:lvl>
    <w:lvl w:ilvl="4" w:tplc="5958DA26" w:tentative="1">
      <w:start w:val="1"/>
      <w:numFmt w:val="lowerLetter"/>
      <w:lvlText w:val="%5."/>
      <w:lvlJc w:val="left"/>
      <w:pPr>
        <w:ind w:left="3960" w:hanging="360"/>
      </w:pPr>
    </w:lvl>
    <w:lvl w:ilvl="5" w:tplc="842C3250" w:tentative="1">
      <w:start w:val="1"/>
      <w:numFmt w:val="lowerRoman"/>
      <w:lvlText w:val="%6."/>
      <w:lvlJc w:val="right"/>
      <w:pPr>
        <w:ind w:left="4680" w:hanging="180"/>
      </w:pPr>
    </w:lvl>
    <w:lvl w:ilvl="6" w:tplc="A7F4BF0A" w:tentative="1">
      <w:start w:val="1"/>
      <w:numFmt w:val="decimal"/>
      <w:lvlText w:val="%7."/>
      <w:lvlJc w:val="left"/>
      <w:pPr>
        <w:ind w:left="5400" w:hanging="360"/>
      </w:pPr>
    </w:lvl>
    <w:lvl w:ilvl="7" w:tplc="8F52A866" w:tentative="1">
      <w:start w:val="1"/>
      <w:numFmt w:val="lowerLetter"/>
      <w:lvlText w:val="%8."/>
      <w:lvlJc w:val="left"/>
      <w:pPr>
        <w:ind w:left="6120" w:hanging="360"/>
      </w:pPr>
    </w:lvl>
    <w:lvl w:ilvl="8" w:tplc="CC4AC6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A5E0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8A0594" w:tentative="1">
      <w:start w:val="1"/>
      <w:numFmt w:val="lowerLetter"/>
      <w:lvlText w:val="%2."/>
      <w:lvlJc w:val="left"/>
      <w:pPr>
        <w:ind w:left="1440" w:hanging="360"/>
      </w:pPr>
    </w:lvl>
    <w:lvl w:ilvl="2" w:tplc="477E1BEC" w:tentative="1">
      <w:start w:val="1"/>
      <w:numFmt w:val="lowerRoman"/>
      <w:lvlText w:val="%3."/>
      <w:lvlJc w:val="right"/>
      <w:pPr>
        <w:ind w:left="2160" w:hanging="180"/>
      </w:pPr>
    </w:lvl>
    <w:lvl w:ilvl="3" w:tplc="83F49680" w:tentative="1">
      <w:start w:val="1"/>
      <w:numFmt w:val="decimal"/>
      <w:lvlText w:val="%4."/>
      <w:lvlJc w:val="left"/>
      <w:pPr>
        <w:ind w:left="2880" w:hanging="360"/>
      </w:pPr>
    </w:lvl>
    <w:lvl w:ilvl="4" w:tplc="365EFD3C" w:tentative="1">
      <w:start w:val="1"/>
      <w:numFmt w:val="lowerLetter"/>
      <w:lvlText w:val="%5."/>
      <w:lvlJc w:val="left"/>
      <w:pPr>
        <w:ind w:left="3600" w:hanging="360"/>
      </w:pPr>
    </w:lvl>
    <w:lvl w:ilvl="5" w:tplc="6E8452A8" w:tentative="1">
      <w:start w:val="1"/>
      <w:numFmt w:val="lowerRoman"/>
      <w:lvlText w:val="%6."/>
      <w:lvlJc w:val="right"/>
      <w:pPr>
        <w:ind w:left="4320" w:hanging="180"/>
      </w:pPr>
    </w:lvl>
    <w:lvl w:ilvl="6" w:tplc="67963FB2" w:tentative="1">
      <w:start w:val="1"/>
      <w:numFmt w:val="decimal"/>
      <w:lvlText w:val="%7."/>
      <w:lvlJc w:val="left"/>
      <w:pPr>
        <w:ind w:left="5040" w:hanging="360"/>
      </w:pPr>
    </w:lvl>
    <w:lvl w:ilvl="7" w:tplc="0182306E" w:tentative="1">
      <w:start w:val="1"/>
      <w:numFmt w:val="lowerLetter"/>
      <w:lvlText w:val="%8."/>
      <w:lvlJc w:val="left"/>
      <w:pPr>
        <w:ind w:left="5760" w:hanging="360"/>
      </w:pPr>
    </w:lvl>
    <w:lvl w:ilvl="8" w:tplc="5E3EF6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3A66D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60AB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B036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B56AD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50A0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FC619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0BE95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FA38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D588B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E1037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3835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F438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86A8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446F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02B6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8C89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2A4A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5818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FA0D7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CA9328" w:tentative="1">
      <w:start w:val="1"/>
      <w:numFmt w:val="lowerLetter"/>
      <w:lvlText w:val="%2."/>
      <w:lvlJc w:val="left"/>
      <w:pPr>
        <w:ind w:left="1440" w:hanging="360"/>
      </w:pPr>
    </w:lvl>
    <w:lvl w:ilvl="2" w:tplc="CB340134" w:tentative="1">
      <w:start w:val="1"/>
      <w:numFmt w:val="lowerRoman"/>
      <w:lvlText w:val="%3."/>
      <w:lvlJc w:val="right"/>
      <w:pPr>
        <w:ind w:left="2160" w:hanging="180"/>
      </w:pPr>
    </w:lvl>
    <w:lvl w:ilvl="3" w:tplc="A5BE1C16" w:tentative="1">
      <w:start w:val="1"/>
      <w:numFmt w:val="decimal"/>
      <w:lvlText w:val="%4."/>
      <w:lvlJc w:val="left"/>
      <w:pPr>
        <w:ind w:left="2880" w:hanging="360"/>
      </w:pPr>
    </w:lvl>
    <w:lvl w:ilvl="4" w:tplc="CD6AD1B0" w:tentative="1">
      <w:start w:val="1"/>
      <w:numFmt w:val="lowerLetter"/>
      <w:lvlText w:val="%5."/>
      <w:lvlJc w:val="left"/>
      <w:pPr>
        <w:ind w:left="3600" w:hanging="360"/>
      </w:pPr>
    </w:lvl>
    <w:lvl w:ilvl="5" w:tplc="EEE8B914" w:tentative="1">
      <w:start w:val="1"/>
      <w:numFmt w:val="lowerRoman"/>
      <w:lvlText w:val="%6."/>
      <w:lvlJc w:val="right"/>
      <w:pPr>
        <w:ind w:left="4320" w:hanging="180"/>
      </w:pPr>
    </w:lvl>
    <w:lvl w:ilvl="6" w:tplc="E9B8E006" w:tentative="1">
      <w:start w:val="1"/>
      <w:numFmt w:val="decimal"/>
      <w:lvlText w:val="%7."/>
      <w:lvlJc w:val="left"/>
      <w:pPr>
        <w:ind w:left="5040" w:hanging="360"/>
      </w:pPr>
    </w:lvl>
    <w:lvl w:ilvl="7" w:tplc="F6C8FFC0" w:tentative="1">
      <w:start w:val="1"/>
      <w:numFmt w:val="lowerLetter"/>
      <w:lvlText w:val="%8."/>
      <w:lvlJc w:val="left"/>
      <w:pPr>
        <w:ind w:left="5760" w:hanging="360"/>
      </w:pPr>
    </w:lvl>
    <w:lvl w:ilvl="8" w:tplc="3220488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4"/>
    <w:lvlOverride w:ilvl="6">
      <w:startOverride w:val="1"/>
    </w:lvlOverride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9787B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229D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0AE4"/>
    <w:rsid w:val="001A63E2"/>
    <w:rsid w:val="001A6504"/>
    <w:rsid w:val="001A6BFA"/>
    <w:rsid w:val="001B29D2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B01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5D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042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AB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516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6244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02F0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7F5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8D1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E16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C7E2E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3A07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941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A15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DE0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0AA8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4BEE2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angslyozs">
    <w:name w:val="Hangsúlyozás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5207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5207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5207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5207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5207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5207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5207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5207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2072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CCA1A-AD72-4856-96BF-3D21ACD5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5502</Words>
  <Characters>37964</Characters>
  <Application>Microsoft Office Word</Application>
  <DocSecurity>0</DocSecurity>
  <Lines>316</Lines>
  <Paragraphs>86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25</cp:revision>
  <cp:lastPrinted>2015-06-19T08:32:00Z</cp:lastPrinted>
  <dcterms:created xsi:type="dcterms:W3CDTF">2022-09-21T10:20:00Z</dcterms:created>
  <dcterms:modified xsi:type="dcterms:W3CDTF">2024-04-10T08:18:00Z</dcterms:modified>
</cp:coreProperties>
</file>