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00A4A">
        <w:rPr>
          <w:rFonts w:ascii="Times New Roman" w:hAnsi="Times New Roman"/>
          <w:b/>
          <w:sz w:val="24"/>
          <w:szCs w:val="24"/>
        </w:rPr>
        <w:t>1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</w:t>
      </w:r>
      <w:r w:rsidR="00600A4A">
        <w:rPr>
          <w:rFonts w:ascii="Times New Roman" w:hAnsi="Times New Roman"/>
          <w:sz w:val="24"/>
          <w:szCs w:val="24"/>
        </w:rPr>
        <w:t>1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805C7A">
        <w:rPr>
          <w:rFonts w:ascii="Times New Roman" w:hAnsi="Times New Roman"/>
          <w:sz w:val="24"/>
          <w:szCs w:val="24"/>
        </w:rPr>
        <w:t>1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9" w:history="1">
        <w:r w:rsidRPr="006D4D60">
          <w:rPr>
            <w:rStyle w:val="Hiperhivatkozs"/>
            <w:rFonts w:ascii="Times New Roman" w:hAnsi="Times New Roman"/>
          </w:rPr>
          <w:t>varosgazdalkodas@erzsebetvaros.hu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9E7B70" w:rsidRPr="00EF1E0E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ifjítás, gallyazás, gyökérmetszés, odúkezelés, kötözés keletkezett sebfelületek </w:t>
      </w:r>
      <w:r w:rsidRPr="000A3DFE">
        <w:rPr>
          <w:rFonts w:ascii="Times New Roman" w:hAnsi="Times New Roman"/>
          <w:sz w:val="24"/>
          <w:szCs w:val="24"/>
        </w:rPr>
        <w:lastRenderedPageBreak/>
        <w:t>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CE4D50">
        <w:rPr>
          <w:rFonts w:ascii="Times New Roman" w:hAnsi="Times New Roman"/>
          <w:sz w:val="24"/>
          <w:szCs w:val="24"/>
        </w:rPr>
        <w:t>1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EB66CC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6C787A">
        <w:rPr>
          <w:rFonts w:ascii="Times New Roman" w:hAnsi="Times New Roman"/>
          <w:sz w:val="24"/>
          <w:szCs w:val="24"/>
        </w:rPr>
        <w:t xml:space="preserve"> feladni</w:t>
      </w:r>
      <w:r w:rsidR="00197D34">
        <w:rPr>
          <w:rFonts w:ascii="Times New Roman" w:hAnsi="Times New Roman"/>
          <w:sz w:val="24"/>
          <w:szCs w:val="24"/>
        </w:rPr>
        <w:t xml:space="preserve"> </w:t>
      </w:r>
      <w:r w:rsidR="00197D34" w:rsidRPr="00AC5CBF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EB66CC" w:rsidRPr="00F115FA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EB66CC" w:rsidRDefault="0099245D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személyesen </w:t>
      </w:r>
      <w:r w:rsidR="00EB66CC" w:rsidRPr="00504A78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papír alapon és egy </w:t>
      </w:r>
      <w:r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>
        <w:rPr>
          <w:rFonts w:ascii="Times New Roman" w:hAnsi="Times New Roman"/>
          <w:sz w:val="24"/>
          <w:szCs w:val="24"/>
        </w:rPr>
        <w:t xml:space="preserve"> </w:t>
      </w:r>
      <w:r w:rsidR="00EB66CC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EB66CC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EB66CC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EB66CC" w:rsidRPr="00F115FA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és egy </w:t>
      </w:r>
      <w:r w:rsidR="0099245D"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 w:rsidR="0099245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kell </w:t>
      </w:r>
      <w:r w:rsidRPr="003324CD">
        <w:rPr>
          <w:rFonts w:ascii="Times New Roman" w:hAnsi="Times New Roman"/>
          <w:sz w:val="24"/>
          <w:szCs w:val="24"/>
        </w:rPr>
        <w:t>az Önkormányzat címére (1073 Budapest, Erzsébet krt. 6.)</w:t>
      </w:r>
      <w:r w:rsidR="0099245D">
        <w:rPr>
          <w:rFonts w:ascii="Times New Roman" w:hAnsi="Times New Roman"/>
          <w:sz w:val="24"/>
          <w:szCs w:val="24"/>
        </w:rPr>
        <w:t xml:space="preserve"> kell feladni</w:t>
      </w:r>
      <w:r w:rsidRPr="003324CD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74E2D">
        <w:rPr>
          <w:rFonts w:ascii="Times New Roman" w:hAnsi="Times New Roman"/>
          <w:b/>
          <w:sz w:val="24"/>
          <w:szCs w:val="24"/>
        </w:rPr>
        <w:t>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F74E2D">
        <w:rPr>
          <w:rFonts w:ascii="Times New Roman" w:hAnsi="Times New Roman"/>
          <w:b/>
          <w:sz w:val="24"/>
          <w:szCs w:val="24"/>
        </w:rPr>
        <w:t>növényesítési pályázat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EB66CC" w:rsidRPr="00B651CE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513D8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D8B">
        <w:rPr>
          <w:rFonts w:ascii="Times New Roman" w:hAnsi="Times New Roman"/>
          <w:sz w:val="24"/>
          <w:szCs w:val="24"/>
        </w:rPr>
        <w:t>A</w:t>
      </w:r>
      <w:r w:rsidR="0004371E" w:rsidRPr="00513D8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513D8B">
        <w:rPr>
          <w:rFonts w:ascii="Times New Roman" w:hAnsi="Times New Roman"/>
          <w:sz w:val="24"/>
          <w:szCs w:val="24"/>
        </w:rPr>
        <w:t>z</w:t>
      </w:r>
      <w:r w:rsidR="0004371E" w:rsidRPr="00513D8B">
        <w:rPr>
          <w:rFonts w:ascii="Times New Roman" w:hAnsi="Times New Roman"/>
          <w:sz w:val="24"/>
          <w:szCs w:val="24"/>
        </w:rPr>
        <w:t xml:space="preserve"> </w:t>
      </w:r>
      <w:r w:rsidRPr="00513D8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513D8B">
        <w:rPr>
          <w:rFonts w:ascii="Times New Roman" w:hAnsi="Times New Roman"/>
          <w:sz w:val="24"/>
          <w:szCs w:val="24"/>
        </w:rPr>
        <w:t>Városüzemeltetési Bizottság</w:t>
      </w:r>
      <w:r w:rsidRPr="00513D8B">
        <w:rPr>
          <w:rFonts w:ascii="Times New Roman" w:hAnsi="Times New Roman"/>
          <w:sz w:val="24"/>
          <w:szCs w:val="24"/>
        </w:rPr>
        <w:t>a</w:t>
      </w:r>
      <w:r w:rsidR="0004371E" w:rsidRPr="00513D8B">
        <w:rPr>
          <w:rFonts w:ascii="Times New Roman" w:hAnsi="Times New Roman"/>
          <w:sz w:val="24"/>
          <w:szCs w:val="24"/>
        </w:rPr>
        <w:t xml:space="preserve"> </w:t>
      </w:r>
      <w:r w:rsidR="003923BE">
        <w:rPr>
          <w:rFonts w:ascii="Times New Roman" w:hAnsi="Times New Roman"/>
          <w:sz w:val="24"/>
          <w:szCs w:val="24"/>
        </w:rPr>
        <w:t>– vesz</w:t>
      </w:r>
      <w:r w:rsidR="00F10471">
        <w:rPr>
          <w:rFonts w:ascii="Times New Roman" w:hAnsi="Times New Roman"/>
          <w:sz w:val="24"/>
          <w:szCs w:val="24"/>
        </w:rPr>
        <w:t>é</w:t>
      </w:r>
      <w:r w:rsidR="003923BE">
        <w:rPr>
          <w:rFonts w:ascii="Times New Roman" w:hAnsi="Times New Roman"/>
          <w:sz w:val="24"/>
          <w:szCs w:val="24"/>
        </w:rPr>
        <w:t xml:space="preserve">lyhelyzet idején Polgármestere - </w:t>
      </w:r>
      <w:r w:rsidR="0004371E" w:rsidRPr="00513D8B">
        <w:rPr>
          <w:rFonts w:ascii="Times New Roman" w:hAnsi="Times New Roman"/>
          <w:sz w:val="24"/>
          <w:szCs w:val="24"/>
        </w:rPr>
        <w:t>bírálja el</w:t>
      </w:r>
      <w:r w:rsidR="00C47005" w:rsidRPr="00513D8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8344B5" w:rsidRPr="00F115FA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8344B5" w:rsidRDefault="00117C36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8344B5" w:rsidRPr="00117C36">
        <w:rPr>
          <w:rFonts w:ascii="Times New Roman" w:hAnsi="Times New Roman"/>
          <w:sz w:val="24"/>
          <w:szCs w:val="24"/>
        </w:rPr>
        <w:t>papír alapon</w:t>
      </w:r>
      <w:r w:rsidR="008344B5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000D81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000D81" w:rsidRPr="00504A78">
        <w:rPr>
          <w:rFonts w:ascii="Times New Roman" w:hAnsi="Times New Roman"/>
          <w:sz w:val="24"/>
          <w:szCs w:val="24"/>
        </w:rPr>
        <w:t xml:space="preserve"> </w:t>
      </w:r>
      <w:r w:rsidR="008344B5" w:rsidRPr="00504A78">
        <w:rPr>
          <w:rFonts w:ascii="Times New Roman" w:hAnsi="Times New Roman"/>
          <w:sz w:val="24"/>
          <w:szCs w:val="24"/>
        </w:rPr>
        <w:t xml:space="preserve">kell benyújtani </w:t>
      </w:r>
      <w:r w:rsidR="008344B5" w:rsidRPr="00504A78">
        <w:rPr>
          <w:rFonts w:ascii="Times New Roman" w:hAnsi="Times New Roman"/>
          <w:sz w:val="24"/>
          <w:szCs w:val="24"/>
        </w:rPr>
        <w:lastRenderedPageBreak/>
        <w:t xml:space="preserve">zárt borítékban </w:t>
      </w:r>
      <w:r w:rsidR="008344B5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8344B5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8344B5" w:rsidRPr="00F115FA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C22C6C" w:rsidRPr="00117C36">
        <w:rPr>
          <w:rFonts w:ascii="Times New Roman" w:hAnsi="Times New Roman"/>
          <w:sz w:val="24"/>
          <w:szCs w:val="24"/>
        </w:rPr>
        <w:t>papír alapon</w:t>
      </w:r>
      <w:r w:rsidR="00C22C6C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C22C6C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C22C6C" w:rsidRPr="00504A78">
        <w:rPr>
          <w:rFonts w:ascii="Times New Roman" w:hAnsi="Times New Roman"/>
          <w:sz w:val="24"/>
          <w:szCs w:val="24"/>
        </w:rPr>
        <w:t xml:space="preserve"> kell benyújtani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8344B5" w:rsidRPr="00B651CE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</w:t>
      </w:r>
      <w:r w:rsidR="00513D8B">
        <w:rPr>
          <w:rFonts w:ascii="Times New Roman" w:hAnsi="Times New Roman"/>
          <w:sz w:val="24"/>
          <w:szCs w:val="24"/>
        </w:rPr>
        <w:t>lyázó tudomásul veszi, hogy az I</w:t>
      </w:r>
      <w:r w:rsidRPr="003E35E1">
        <w:rPr>
          <w:rFonts w:ascii="Times New Roman" w:hAnsi="Times New Roman"/>
          <w:sz w:val="24"/>
          <w:szCs w:val="24"/>
        </w:rPr>
        <w:t>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1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r w:rsidR="00513D8B">
        <w:rPr>
          <w:rFonts w:ascii="Times New Roman" w:hAnsi="Times New Roman"/>
          <w:sz w:val="24"/>
          <w:szCs w:val="24"/>
        </w:rPr>
        <w:t>I</w:t>
      </w:r>
      <w:r w:rsidR="000F08F1">
        <w:rPr>
          <w:rFonts w:ascii="Times New Roman" w:hAnsi="Times New Roman"/>
          <w:sz w:val="24"/>
          <w:szCs w:val="24"/>
        </w:rPr>
        <w:t xml:space="preserve">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752B0" w:rsidRPr="003E35E1" w:rsidRDefault="00F752B0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>, Rutkai Noémi a 06-1-462-32</w:t>
      </w:r>
      <w:r w:rsidR="003923BE">
        <w:rPr>
          <w:rFonts w:ascii="Times New Roman" w:hAnsi="Times New Roman"/>
          <w:sz w:val="24"/>
          <w:szCs w:val="24"/>
        </w:rPr>
        <w:t>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A90D82">
        <w:rPr>
          <w:rFonts w:ascii="Times New Roman" w:hAnsi="Times New Roman"/>
          <w:sz w:val="24"/>
          <w:szCs w:val="24"/>
        </w:rPr>
        <w:t>1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2021.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F10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802AD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7B7C5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7B7C5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7B7C51">
        <w:rPr>
          <w:rFonts w:ascii="Times New Roman" w:hAnsi="Times New Roman"/>
          <w:sz w:val="20"/>
          <w:szCs w:val="20"/>
        </w:rPr>
        <w:t xml:space="preserve">Önkormányzatának </w:t>
      </w:r>
      <w:r w:rsidR="007B7C51" w:rsidRPr="007B7C51">
        <w:rPr>
          <w:rFonts w:ascii="Times New Roman" w:eastAsia="Calibri" w:hAnsi="Times New Roman"/>
          <w:sz w:val="20"/>
          <w:szCs w:val="20"/>
        </w:rPr>
        <w:t xml:space="preserve">Polgármestere </w:t>
      </w:r>
      <w:r w:rsidR="007B7C51" w:rsidRPr="007B7C51">
        <w:rPr>
          <w:rFonts w:ascii="Times New Roman" w:hAnsi="Times New Roman"/>
          <w:sz w:val="20"/>
          <w:szCs w:val="20"/>
        </w:rPr>
        <w:t>a katasztrófavédelemről és a hozzá kapcsolódó egyes törvények módosításáról szóló 2011. évi CXXVIII. törvény 46.§ (4) bekezdésében foglalt jogköre alapján a Városüzemeltetési Bizottság</w:t>
      </w:r>
      <w:r w:rsidR="007B7C51" w:rsidRPr="007B7C51">
        <w:rPr>
          <w:rFonts w:ascii="Times New Roman" w:hAnsi="Times New Roman"/>
          <w:bCs/>
          <w:sz w:val="20"/>
          <w:szCs w:val="20"/>
        </w:rPr>
        <w:t xml:space="preserve"> feladat- és hatáskörében eljárva </w:t>
      </w:r>
      <w:r w:rsidRPr="007B7C5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513D8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13D8B">
        <w:rPr>
          <w:rFonts w:ascii="Times New Roman" w:hAnsi="Times New Roman"/>
          <w:sz w:val="20"/>
          <w:szCs w:val="20"/>
        </w:rPr>
        <w:t xml:space="preserve">A pályázatokat a Városüzemeltetési Bizottság </w:t>
      </w:r>
      <w:r w:rsidR="007C0694">
        <w:rPr>
          <w:rFonts w:ascii="Times New Roman" w:hAnsi="Times New Roman"/>
          <w:sz w:val="20"/>
          <w:szCs w:val="20"/>
        </w:rPr>
        <w:t>– veszélyhelyzet idején a Polgármester -</w:t>
      </w:r>
      <w:r w:rsidRPr="00513D8B">
        <w:rPr>
          <w:rFonts w:ascii="Times New Roman" w:hAnsi="Times New Roman"/>
          <w:sz w:val="20"/>
          <w:szCs w:val="20"/>
        </w:rPr>
        <w:t>bírálja el és dönt a pályázóknak nyújtandó támogatásról. A Polgármesteri Hivatal a pályázat elbírálásáról írásban tájékoztatja a pályázati résztvevőket, továbbá a pályázat eredményét a helyben 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lastRenderedPageBreak/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</w:t>
      </w:r>
      <w:r w:rsidR="002802AD">
        <w:rPr>
          <w:rFonts w:ascii="Times New Roman" w:hAnsi="Times New Roman"/>
          <w:b/>
          <w:sz w:val="20"/>
          <w:szCs w:val="20"/>
        </w:rPr>
        <w:t>1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t>- a növények ápolásáról, öntözéséről szóló lakóközösségi (legalább a lakóközösség fele)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2802AD">
      <w:pPr>
        <w:pStyle w:val="Nincstrkz"/>
        <w:ind w:left="426"/>
        <w:jc w:val="both"/>
        <w:rPr>
          <w:rFonts w:ascii="Times New Roman" w:hAnsi="Times New Roman"/>
          <w:sz w:val="20"/>
          <w:szCs w:val="20"/>
          <w:lang w:val="en"/>
        </w:rPr>
      </w:pP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 xml:space="preserve">., 7.8., 7.9.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7.10. pontban 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</w:t>
      </w:r>
      <w:r w:rsidR="00155B23">
        <w:rPr>
          <w:rFonts w:ascii="Times New Roman" w:hAnsi="Times New Roman"/>
          <w:sz w:val="20"/>
          <w:szCs w:val="20"/>
        </w:rPr>
        <w:t>1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</w:t>
      </w:r>
      <w:r w:rsidR="006B7EF3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6727D3" w:rsidRDefault="006727D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3923BE">
        <w:rPr>
          <w:rFonts w:ascii="Times New Roman" w:hAnsi="Times New Roman"/>
          <w:b/>
          <w:bCs/>
          <w:spacing w:val="15"/>
          <w:sz w:val="24"/>
          <w:szCs w:val="24"/>
        </w:rPr>
        <w:t>Polgármestere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A569C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burkolat feltörése és eltávolítása, talajcsere 50-100 cm vastagságban, vagy hasonló </w:t>
      </w:r>
      <w:r w:rsidRPr="00424078">
        <w:rPr>
          <w:rFonts w:ascii="Times New Roman" w:hAnsi="Times New Roman"/>
        </w:rPr>
        <w:lastRenderedPageBreak/>
        <w:t>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3923B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3923B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</w:t>
      </w: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3923B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923BE" w:rsidRDefault="003923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F559C6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</w:t>
      </w:r>
      <w:r w:rsidR="00787A6E">
        <w:rPr>
          <w:rFonts w:ascii="Times New Roman" w:hAnsi="Times New Roman"/>
          <w:noProof/>
          <w:sz w:val="24"/>
          <w:szCs w:val="24"/>
        </w:rPr>
        <w:t xml:space="preserve"> / </w:t>
      </w:r>
      <w:r w:rsidR="00787A6E" w:rsidRPr="008867A7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787A6E" w:rsidRPr="008867A7"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jogkörében a </w:t>
      </w:r>
      <w:r w:rsidR="00787A6E" w:rsidRPr="008867A7">
        <w:rPr>
          <w:rFonts w:ascii="Times New Roman" w:hAnsi="Times New Roman"/>
          <w:bCs/>
          <w:sz w:val="24"/>
          <w:szCs w:val="24"/>
        </w:rPr>
        <w:t>746/2020. (XI. 06.)</w:t>
      </w:r>
      <w:r w:rsidR="00787A6E" w:rsidRPr="008867A7">
        <w:rPr>
          <w:rFonts w:ascii="Times New Roman" w:hAnsi="Times New Roman"/>
          <w:sz w:val="24"/>
          <w:szCs w:val="24"/>
        </w:rPr>
        <w:t xml:space="preserve"> számú határozattal a Városüzemeltetési Bizottságtól visszavont feladat- és hatáskörében meghozott</w:t>
      </w:r>
      <w:r w:rsidR="00787A6E" w:rsidRPr="00A37C6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…../20</w:t>
      </w:r>
      <w:r w:rsidR="00A569C2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</w:t>
      </w:r>
      <w:r w:rsidR="007A5435" w:rsidRPr="00A71E70">
        <w:rPr>
          <w:rFonts w:ascii="Times New Roman" w:hAnsi="Times New Roman"/>
          <w:sz w:val="24"/>
          <w:szCs w:val="24"/>
        </w:rPr>
        <w:lastRenderedPageBreak/>
        <w:t xml:space="preserve">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</w:t>
      </w:r>
      <w:r w:rsidRPr="00BB5B19">
        <w:rPr>
          <w:rFonts w:ascii="Times New Roman" w:hAnsi="Times New Roman"/>
          <w:sz w:val="24"/>
          <w:szCs w:val="24"/>
        </w:rPr>
        <w:lastRenderedPageBreak/>
        <w:t xml:space="preserve">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</w:t>
      </w:r>
      <w:r w:rsidR="001F237D">
        <w:rPr>
          <w:rFonts w:ascii="Times New Roman" w:hAnsi="Times New Roman"/>
          <w:bCs/>
          <w:spacing w:val="15"/>
          <w:sz w:val="24"/>
          <w:szCs w:val="24"/>
        </w:rPr>
        <w:t>1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322424">
        <w:rPr>
          <w:rFonts w:ascii="Times New Roman" w:hAnsi="Times New Roman"/>
          <w:bCs/>
          <w:sz w:val="24"/>
          <w:szCs w:val="24"/>
        </w:rPr>
        <w:t>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C559B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59BA">
        <w:rPr>
          <w:rFonts w:ascii="Times New Roman" w:hAnsi="Times New Roman"/>
          <w:b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 a pályázatot papír alapon, valamint elektronikus adathordozón (CD, DVD) PDF formátumban is, zárt borítékban, 1 példányban kell postai úton ajánlott küldeményként feladni, a borítékra rá kell írni: „202</w:t>
      </w:r>
      <w:r w:rsidR="00F77231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>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6440AA" w:rsidRDefault="006440AA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6440A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 szerződéskötéshez:</w:t>
      </w:r>
    </w:p>
    <w:p w:rsidR="00B443B7" w:rsidRDefault="00B443B7" w:rsidP="00F77231">
      <w:pPr>
        <w:jc w:val="both"/>
        <w:rPr>
          <w:rFonts w:ascii="Times New Roman" w:hAnsi="Times New Roman"/>
          <w:sz w:val="24"/>
          <w:szCs w:val="24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9558AC" w:rsidRPr="00780E48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az elszámoláshoz: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lastRenderedPageBreak/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során bemutatandó/benyújtandó dokumentumok: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</w:t>
      </w:r>
      <w:r w:rsidR="00F77231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>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 w:rsidR="001F237D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90" w:rsidRDefault="00D31D90" w:rsidP="00442200">
      <w:pPr>
        <w:spacing w:after="0" w:line="240" w:lineRule="auto"/>
      </w:pPr>
      <w:r>
        <w:separator/>
      </w:r>
    </w:p>
  </w:endnote>
  <w:endnote w:type="continuationSeparator" w:id="0">
    <w:p w:rsidR="00D31D90" w:rsidRDefault="00D31D9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90" w:rsidRDefault="00D31D90" w:rsidP="00442200">
      <w:pPr>
        <w:spacing w:after="0" w:line="240" w:lineRule="auto"/>
      </w:pPr>
      <w:r>
        <w:separator/>
      </w:r>
    </w:p>
  </w:footnote>
  <w:footnote w:type="continuationSeparator" w:id="0">
    <w:p w:rsidR="00D31D90" w:rsidRDefault="00D31D90" w:rsidP="00442200">
      <w:pPr>
        <w:spacing w:after="0" w:line="240" w:lineRule="auto"/>
      </w:pPr>
      <w:r>
        <w:continuationSeparator/>
      </w:r>
    </w:p>
  </w:footnote>
  <w:footnote w:id="1">
    <w:p w:rsidR="00513D8B" w:rsidRPr="00D9621B" w:rsidRDefault="00513D8B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513D8B" w:rsidRPr="007A78DB" w:rsidRDefault="00513D8B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1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4" w15:restartNumberingAfterBreak="0">
    <w:nsid w:val="4F30330D"/>
    <w:multiLevelType w:val="hybridMultilevel"/>
    <w:tmpl w:val="8DA6A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7"/>
  </w:num>
  <w:num w:numId="9">
    <w:abstractNumId w:val="33"/>
  </w:num>
  <w:num w:numId="10">
    <w:abstractNumId w:val="21"/>
  </w:num>
  <w:num w:numId="11">
    <w:abstractNumId w:val="32"/>
  </w:num>
  <w:num w:numId="12">
    <w:abstractNumId w:val="14"/>
  </w:num>
  <w:num w:numId="13">
    <w:abstractNumId w:val="37"/>
  </w:num>
  <w:num w:numId="14">
    <w:abstractNumId w:val="7"/>
  </w:num>
  <w:num w:numId="15">
    <w:abstractNumId w:val="8"/>
  </w:num>
  <w:num w:numId="16">
    <w:abstractNumId w:val="35"/>
  </w:num>
  <w:num w:numId="17">
    <w:abstractNumId w:val="4"/>
  </w:num>
  <w:num w:numId="18">
    <w:abstractNumId w:val="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36"/>
  </w:num>
  <w:num w:numId="25">
    <w:abstractNumId w:val="2"/>
  </w:num>
  <w:num w:numId="26">
    <w:abstractNumId w:val="1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12"/>
  </w:num>
  <w:num w:numId="32">
    <w:abstractNumId w:val="28"/>
  </w:num>
  <w:num w:numId="33">
    <w:abstractNumId w:val="38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trackRevisions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0E76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276B2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23BE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13D8B"/>
    <w:rsid w:val="005203AF"/>
    <w:rsid w:val="00522A92"/>
    <w:rsid w:val="00531D90"/>
    <w:rsid w:val="00532C77"/>
    <w:rsid w:val="0053384D"/>
    <w:rsid w:val="00533E55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0F3E"/>
    <w:rsid w:val="005F3401"/>
    <w:rsid w:val="005F3994"/>
    <w:rsid w:val="005F7607"/>
    <w:rsid w:val="00600A4A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40AA"/>
    <w:rsid w:val="00647870"/>
    <w:rsid w:val="006509B6"/>
    <w:rsid w:val="006532CD"/>
    <w:rsid w:val="0065493E"/>
    <w:rsid w:val="006573B7"/>
    <w:rsid w:val="00662E57"/>
    <w:rsid w:val="00670D22"/>
    <w:rsid w:val="0067171F"/>
    <w:rsid w:val="006727D3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A6E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C51"/>
    <w:rsid w:val="007C0694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5C7A"/>
    <w:rsid w:val="00807508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5EC3"/>
    <w:rsid w:val="00862F47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867A7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69C2"/>
    <w:rsid w:val="00A60E04"/>
    <w:rsid w:val="00A64707"/>
    <w:rsid w:val="00A65205"/>
    <w:rsid w:val="00A7031C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D2892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1D90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0471"/>
    <w:rsid w:val="00F113A4"/>
    <w:rsid w:val="00F11D15"/>
    <w:rsid w:val="00F13B69"/>
    <w:rsid w:val="00F151BA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801BC-2B06-423F-962E-049CFEB3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21</Pages>
  <Words>6292</Words>
  <Characters>43415</Characters>
  <Application>Microsoft Office Word</Application>
  <DocSecurity>0</DocSecurity>
  <Lines>361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99</cp:revision>
  <cp:lastPrinted>2019-02-14T19:37:00Z</cp:lastPrinted>
  <dcterms:created xsi:type="dcterms:W3CDTF">2021-03-08T14:35:00Z</dcterms:created>
  <dcterms:modified xsi:type="dcterms:W3CDTF">2021-03-10T09:45:00Z</dcterms:modified>
</cp:coreProperties>
</file>