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7C2" w:rsidRDefault="001967C2" w:rsidP="007D7F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…/</w:t>
      </w:r>
      <w:r w:rsidR="007569D5">
        <w:rPr>
          <w:rFonts w:ascii="Times New Roman" w:hAnsi="Times New Roman"/>
          <w:b/>
          <w:bCs/>
          <w:sz w:val="24"/>
          <w:szCs w:val="24"/>
        </w:rPr>
        <w:t>2022</w:t>
      </w:r>
      <w:r w:rsidRPr="001967C2">
        <w:rPr>
          <w:rFonts w:ascii="Times New Roman" w:hAnsi="Times New Roman"/>
          <w:b/>
          <w:bCs/>
          <w:sz w:val="24"/>
          <w:szCs w:val="24"/>
          <w:lang w:val="x-none"/>
        </w:rPr>
        <w:t>. (…) önkormányzati rendelete</w:t>
      </w:r>
    </w:p>
    <w:p w:rsidR="00CF3ABE" w:rsidRDefault="00CF3ABE" w:rsidP="007D7F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9E2">
        <w:rPr>
          <w:rFonts w:ascii="Times New Roman" w:hAnsi="Times New Roman"/>
          <w:b/>
          <w:sz w:val="24"/>
          <w:szCs w:val="24"/>
        </w:rPr>
        <w:t>a Budapest Főváros VII. kerület Erzsébetváros Önkormányzata tulajdonában lévő közterületek használatáról és rendjéről szóló</w:t>
      </w:r>
      <w:r w:rsidR="006C7D9D">
        <w:rPr>
          <w:rFonts w:ascii="Times New Roman" w:hAnsi="Times New Roman"/>
          <w:b/>
          <w:sz w:val="24"/>
          <w:szCs w:val="24"/>
        </w:rPr>
        <w:t xml:space="preserve"> </w:t>
      </w:r>
      <w:r w:rsidRPr="009169E2">
        <w:rPr>
          <w:rFonts w:ascii="Times New Roman" w:hAnsi="Times New Roman"/>
          <w:b/>
          <w:sz w:val="24"/>
          <w:szCs w:val="24"/>
        </w:rPr>
        <w:t>6/2017. (II.17.) önkormányzati rendelet módosításáról</w:t>
      </w:r>
    </w:p>
    <w:p w:rsidR="00CF3ABE" w:rsidRDefault="00CF3ABE" w:rsidP="007D7F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3ABE" w:rsidRDefault="001967C2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7C2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</w:t>
      </w:r>
      <w:r w:rsidR="0013086E" w:rsidRPr="00DE7FC4">
        <w:rPr>
          <w:rFonts w:ascii="Times New Roman" w:hAnsi="Times New Roman"/>
          <w:bCs/>
          <w:color w:val="000000"/>
          <w:sz w:val="24"/>
        </w:rPr>
        <w:t>Alaptö</w:t>
      </w:r>
      <w:r>
        <w:rPr>
          <w:rFonts w:ascii="Times New Roman" w:hAnsi="Times New Roman"/>
          <w:bCs/>
          <w:color w:val="000000"/>
          <w:sz w:val="24"/>
        </w:rPr>
        <w:t>rvény 32. cikk (2) bekezdésében</w:t>
      </w:r>
      <w:r w:rsidR="0013086E" w:rsidRPr="00DE7FC4">
        <w:rPr>
          <w:rFonts w:ascii="Times New Roman" w:hAnsi="Times New Roman"/>
          <w:bCs/>
          <w:color w:val="000000"/>
          <w:sz w:val="24"/>
        </w:rPr>
        <w:t>,</w:t>
      </w:r>
      <w:r w:rsidR="0013086E" w:rsidRPr="00DE7FC4">
        <w:rPr>
          <w:rFonts w:ascii="Times New Roman" w:hAnsi="Times New Roman"/>
          <w:sz w:val="24"/>
          <w:szCs w:val="24"/>
        </w:rPr>
        <w:t xml:space="preserve"> </w:t>
      </w:r>
      <w:r w:rsidR="00CF3ABE" w:rsidRPr="009169E2">
        <w:rPr>
          <w:rFonts w:ascii="Times New Roman" w:hAnsi="Times New Roman"/>
          <w:bCs/>
          <w:color w:val="000000"/>
          <w:sz w:val="24"/>
        </w:rPr>
        <w:t>valamint a Magyarország helyi önkormányzatairól szóló 2011. évi CLXXXIX. törvény 23. § (5) bekezdés 2. pontjában meghat</w:t>
      </w:r>
      <w:r w:rsidR="0013086E">
        <w:rPr>
          <w:rFonts w:ascii="Times New Roman" w:hAnsi="Times New Roman"/>
          <w:bCs/>
          <w:color w:val="000000"/>
          <w:sz w:val="24"/>
        </w:rPr>
        <w:t xml:space="preserve">ározott feladatkörében eljárva </w:t>
      </w:r>
      <w:r w:rsidR="00CF3ABE" w:rsidRPr="009169E2">
        <w:rPr>
          <w:rFonts w:ascii="Times New Roman" w:hAnsi="Times New Roman"/>
          <w:bCs/>
          <w:color w:val="000000"/>
          <w:sz w:val="24"/>
        </w:rPr>
        <w:t>a Budapest Főváros VII. kerület Erzsébetváros Önkormányzata tulajdonában lévő közterületek használatáról és rendjéről szóló 6/2017. (II.17.) önkormányzati rendelet módosításáról a következőket rendeli el</w:t>
      </w:r>
      <w:r w:rsidR="00CF3ABE">
        <w:rPr>
          <w:rFonts w:ascii="Times New Roman" w:hAnsi="Times New Roman"/>
          <w:sz w:val="24"/>
          <w:szCs w:val="24"/>
        </w:rPr>
        <w:t>:</w:t>
      </w:r>
    </w:p>
    <w:p w:rsidR="0034410A" w:rsidRDefault="0034410A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D61" w:rsidRDefault="007E0D61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19F" w:rsidRDefault="00F266D7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AC4F71" w:rsidRPr="002D14AE">
        <w:rPr>
          <w:rFonts w:ascii="Times New Roman" w:hAnsi="Times New Roman"/>
          <w:b/>
          <w:sz w:val="24"/>
          <w:szCs w:val="24"/>
        </w:rPr>
        <w:t>. §</w:t>
      </w:r>
      <w:r w:rsidR="00013E37" w:rsidRPr="002D14AE">
        <w:rPr>
          <w:rFonts w:ascii="Times New Roman" w:hAnsi="Times New Roman"/>
          <w:sz w:val="24"/>
          <w:szCs w:val="24"/>
        </w:rPr>
        <w:t xml:space="preserve"> A Budapest Főváros VII. kerület Erzsébetváros Önkormányzata tulajdonában lévő közterületek használatáról és rendjéről szóló 6/2017. (II.17.) önkormányzati re</w:t>
      </w:r>
      <w:r w:rsidR="008A051E">
        <w:rPr>
          <w:rFonts w:ascii="Times New Roman" w:hAnsi="Times New Roman"/>
          <w:sz w:val="24"/>
          <w:szCs w:val="24"/>
        </w:rPr>
        <w:t xml:space="preserve">ndelet </w:t>
      </w:r>
      <w:r w:rsidR="00B4014B">
        <w:rPr>
          <w:rFonts w:ascii="Times New Roman" w:hAnsi="Times New Roman"/>
          <w:sz w:val="24"/>
          <w:szCs w:val="24"/>
        </w:rPr>
        <w:t xml:space="preserve">(a továbbiakban: Rendelet) </w:t>
      </w:r>
      <w:r w:rsidR="00FF319F">
        <w:rPr>
          <w:rFonts w:ascii="Times New Roman" w:hAnsi="Times New Roman"/>
          <w:sz w:val="24"/>
          <w:szCs w:val="24"/>
        </w:rPr>
        <w:t>2. §</w:t>
      </w:r>
      <w:proofErr w:type="spellStart"/>
      <w:r w:rsidR="00FF319F">
        <w:rPr>
          <w:rFonts w:ascii="Times New Roman" w:hAnsi="Times New Roman"/>
          <w:sz w:val="24"/>
          <w:szCs w:val="24"/>
        </w:rPr>
        <w:t>-</w:t>
      </w:r>
      <w:proofErr w:type="gramStart"/>
      <w:r w:rsidR="00FF319F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="00FF319F">
        <w:rPr>
          <w:rFonts w:ascii="Times New Roman" w:hAnsi="Times New Roman"/>
          <w:sz w:val="24"/>
          <w:szCs w:val="24"/>
        </w:rPr>
        <w:t xml:space="preserve"> a következő 12-1</w:t>
      </w:r>
      <w:r w:rsidR="00FB2DE0">
        <w:rPr>
          <w:rFonts w:ascii="Times New Roman" w:hAnsi="Times New Roman"/>
          <w:sz w:val="24"/>
          <w:szCs w:val="24"/>
        </w:rPr>
        <w:t>6</w:t>
      </w:r>
      <w:r w:rsidR="00FF319F">
        <w:rPr>
          <w:rFonts w:ascii="Times New Roman" w:hAnsi="Times New Roman"/>
          <w:sz w:val="24"/>
          <w:szCs w:val="24"/>
        </w:rPr>
        <w:t>. ponttal egészül ki:</w:t>
      </w:r>
    </w:p>
    <w:p w:rsidR="00FF319F" w:rsidRDefault="00FF319F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19F" w:rsidRDefault="00FF319F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[E rendelet alkalmazásában:…]</w:t>
      </w:r>
    </w:p>
    <w:p w:rsidR="00FF319F" w:rsidRPr="00FF319F" w:rsidRDefault="00FF31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F319F">
        <w:rPr>
          <w:rFonts w:ascii="Times New Roman" w:hAnsi="Times New Roman"/>
          <w:i/>
          <w:sz w:val="24"/>
          <w:szCs w:val="24"/>
        </w:rPr>
        <w:t xml:space="preserve">„12. mikromobilitási eszköz: a kerékpár, a roller, továbbá az emberi erővel hajtott, illetve ennek segítésére vagy önálló hajtás céljából legfeljebb 350 W névleges teljesítményű és 25 km/h vagy azt meghaladó sebesség esetén a teljesítményleadást megszüntető elektromos motorral rendelkező és kifejezetten valamely személy szállítására szolgáló egyéb eszközök, így különösen az önkiegyensúlyozó eszközök (hoverboard, monocycle). </w:t>
      </w:r>
    </w:p>
    <w:p w:rsidR="00FF319F" w:rsidRPr="00FF319F" w:rsidRDefault="00FF31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F319F">
        <w:rPr>
          <w:rFonts w:ascii="Times New Roman" w:hAnsi="Times New Roman"/>
          <w:i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>m</w:t>
      </w:r>
      <w:r w:rsidRPr="00FF319F">
        <w:rPr>
          <w:rFonts w:ascii="Times New Roman" w:hAnsi="Times New Roman"/>
          <w:i/>
          <w:sz w:val="24"/>
          <w:szCs w:val="24"/>
        </w:rPr>
        <w:t>ikromobilitási pont: a közterületnek mikromobilitási eszközök elhelyezése, tárolása céljából kijelölt és ebből a célból üzemeltetett része, ide nem értve a közösségi kerékpáros rendszer gyűjtőállomásainak területét.</w:t>
      </w:r>
    </w:p>
    <w:p w:rsidR="00FF319F" w:rsidRPr="00FF319F" w:rsidRDefault="00FF31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F319F">
        <w:rPr>
          <w:rFonts w:ascii="Times New Roman" w:hAnsi="Times New Roman"/>
          <w:i/>
          <w:sz w:val="24"/>
          <w:szCs w:val="24"/>
        </w:rPr>
        <w:t xml:space="preserve">14. </w:t>
      </w:r>
      <w:r>
        <w:rPr>
          <w:rFonts w:ascii="Times New Roman" w:hAnsi="Times New Roman"/>
          <w:i/>
          <w:sz w:val="24"/>
          <w:szCs w:val="24"/>
        </w:rPr>
        <w:t>m</w:t>
      </w:r>
      <w:r w:rsidRPr="00FF319F">
        <w:rPr>
          <w:rFonts w:ascii="Times New Roman" w:hAnsi="Times New Roman"/>
          <w:i/>
          <w:sz w:val="24"/>
          <w:szCs w:val="24"/>
        </w:rPr>
        <w:t>ikromobilitási szolgáltató: kölcsönzési célú mikromobilitási eszközök üzemeltetője, aki üzletszerű gazdasági tevékenység keretében mikromobilitási eszköz bárki számára elérhető, jellemzően rövid távú bérbeadására irányuló szolgáltatási tevékenységet végez, ide nem értve a közösségi kerékpáros rendszer üzemeltetőjét.</w:t>
      </w:r>
    </w:p>
    <w:p w:rsidR="00206198" w:rsidRDefault="00FF31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F319F">
        <w:rPr>
          <w:rFonts w:ascii="Times New Roman" w:hAnsi="Times New Roman"/>
          <w:i/>
          <w:sz w:val="24"/>
          <w:szCs w:val="24"/>
        </w:rPr>
        <w:t>15.</w:t>
      </w:r>
      <w:r>
        <w:rPr>
          <w:rFonts w:ascii="Times New Roman" w:hAnsi="Times New Roman"/>
          <w:i/>
          <w:sz w:val="24"/>
          <w:szCs w:val="24"/>
        </w:rPr>
        <w:t xml:space="preserve"> k</w:t>
      </w:r>
      <w:r w:rsidRPr="00FF319F">
        <w:rPr>
          <w:rFonts w:ascii="Times New Roman" w:hAnsi="Times New Roman"/>
          <w:i/>
          <w:sz w:val="24"/>
          <w:szCs w:val="24"/>
        </w:rPr>
        <w:t>ölcsönzési célú mikromobilitási eszköz: mikromobilitási szolgáltató által üzletszerű gazdasági tevékenység keretében, szolgáltatás nyújtása céljából üzemeltetett mikromobilitási eszköz, ide nem értve a közösségi kerékpáros rendszerben bérelhető kerékpárt.</w:t>
      </w:r>
    </w:p>
    <w:p w:rsidR="00FF319F" w:rsidRDefault="00206198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16.</w:t>
      </w:r>
      <w:r w:rsidR="009F32EF">
        <w:rPr>
          <w:rFonts w:ascii="Times New Roman" w:hAnsi="Times New Roman"/>
          <w:i/>
          <w:sz w:val="24"/>
          <w:szCs w:val="24"/>
        </w:rPr>
        <w:t xml:space="preserve"> k</w:t>
      </w:r>
      <w:r w:rsidRPr="00206198">
        <w:rPr>
          <w:rFonts w:ascii="Times New Roman" w:hAnsi="Times New Roman"/>
          <w:i/>
          <w:sz w:val="24"/>
          <w:szCs w:val="24"/>
        </w:rPr>
        <w:t>özösségi kerékpáros rendszer: a személyszállítási szolgáltatásokról szóló 2012. évi XLI. törvény 22. § (4a) bekezdése alapján a fővárosi helyi személyszállítási szolgáltatásokba integrált közösségi kerékpáros rendszer.</w:t>
      </w:r>
      <w:r w:rsidR="00FF319F" w:rsidRPr="00FF319F">
        <w:rPr>
          <w:rFonts w:ascii="Times New Roman" w:hAnsi="Times New Roman"/>
          <w:i/>
          <w:sz w:val="24"/>
          <w:szCs w:val="24"/>
        </w:rPr>
        <w:t>”</w:t>
      </w:r>
    </w:p>
    <w:p w:rsidR="00FF319F" w:rsidRDefault="00FF319F" w:rsidP="007D7F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F319F" w:rsidRDefault="00FF319F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319F">
        <w:rPr>
          <w:rFonts w:ascii="Times New Roman" w:hAnsi="Times New Roman"/>
          <w:b/>
          <w:sz w:val="24"/>
          <w:szCs w:val="24"/>
        </w:rPr>
        <w:t>2. §</w:t>
      </w:r>
      <w:r w:rsidRPr="00FF319F">
        <w:rPr>
          <w:rFonts w:ascii="Times New Roman" w:hAnsi="Times New Roman"/>
          <w:sz w:val="24"/>
          <w:szCs w:val="24"/>
        </w:rPr>
        <w:t xml:space="preserve"> A Rendelet 9. § t) pontj</w:t>
      </w:r>
      <w:r w:rsidR="005328CD">
        <w:rPr>
          <w:rFonts w:ascii="Times New Roman" w:hAnsi="Times New Roman"/>
          <w:sz w:val="24"/>
          <w:szCs w:val="24"/>
        </w:rPr>
        <w:t xml:space="preserve">a </w:t>
      </w:r>
      <w:r w:rsidRPr="00FF319F">
        <w:rPr>
          <w:rFonts w:ascii="Times New Roman" w:hAnsi="Times New Roman"/>
          <w:sz w:val="24"/>
          <w:szCs w:val="24"/>
        </w:rPr>
        <w:t>helyébe a következő rendelkezés lép:</w:t>
      </w:r>
    </w:p>
    <w:p w:rsidR="00FF319F" w:rsidRDefault="00FF319F" w:rsidP="007D7F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319F" w:rsidRDefault="00FF319F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Pr="00FF319F">
        <w:rPr>
          <w:rFonts w:ascii="Times New Roman" w:hAnsi="Times New Roman"/>
          <w:sz w:val="24"/>
          <w:szCs w:val="24"/>
        </w:rPr>
        <w:t>Közterület-használati engedélyt kell beszerezni különösen:</w:t>
      </w:r>
      <w:r>
        <w:rPr>
          <w:rFonts w:ascii="Times New Roman" w:hAnsi="Times New Roman"/>
          <w:sz w:val="24"/>
          <w:szCs w:val="24"/>
        </w:rPr>
        <w:t>…]</w:t>
      </w:r>
    </w:p>
    <w:p w:rsidR="00FF319F" w:rsidRDefault="00FF31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F319F">
        <w:rPr>
          <w:rFonts w:ascii="Times New Roman" w:hAnsi="Times New Roman"/>
          <w:i/>
          <w:sz w:val="24"/>
          <w:szCs w:val="24"/>
        </w:rPr>
        <w:t>„t) kölcsönzési célú mikromobilitási eszközök közterületi elhelyezéséhez, tárolásához, ide nem értve a mikromobilitási eszközzel használat közben való olyan ideiglenesen megállást, ami az eszköz adott személy általi bérleti szerződés szerinti használatát (kölcsönzését) nem szakítja meg.”</w:t>
      </w:r>
    </w:p>
    <w:p w:rsidR="00FD1FE5" w:rsidRDefault="00FD1FE5" w:rsidP="007D7F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1FE5" w:rsidRDefault="005F1BD8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FD1FE5" w:rsidRPr="00260DCE">
        <w:rPr>
          <w:rFonts w:ascii="Times New Roman" w:hAnsi="Times New Roman"/>
          <w:b/>
          <w:sz w:val="24"/>
          <w:szCs w:val="24"/>
        </w:rPr>
        <w:t>. §</w:t>
      </w:r>
      <w:r w:rsidR="00FD1FE5">
        <w:rPr>
          <w:rFonts w:ascii="Times New Roman" w:hAnsi="Times New Roman"/>
          <w:sz w:val="24"/>
          <w:szCs w:val="24"/>
        </w:rPr>
        <w:t xml:space="preserve"> A Rendelet 23</w:t>
      </w:r>
      <w:r w:rsidR="004F2BE4">
        <w:rPr>
          <w:rFonts w:ascii="Times New Roman" w:hAnsi="Times New Roman"/>
          <w:sz w:val="24"/>
          <w:szCs w:val="24"/>
        </w:rPr>
        <w:t>.</w:t>
      </w:r>
      <w:r w:rsidR="00452461">
        <w:rPr>
          <w:rFonts w:ascii="Times New Roman" w:hAnsi="Times New Roman"/>
          <w:sz w:val="24"/>
          <w:szCs w:val="24"/>
        </w:rPr>
        <w:t xml:space="preserve"> </w:t>
      </w:r>
      <w:r w:rsidR="004F2BE4">
        <w:rPr>
          <w:rFonts w:ascii="Times New Roman" w:hAnsi="Times New Roman"/>
          <w:sz w:val="24"/>
          <w:szCs w:val="24"/>
        </w:rPr>
        <w:t>§</w:t>
      </w:r>
      <w:proofErr w:type="spellStart"/>
      <w:r w:rsidR="004F2BE4">
        <w:rPr>
          <w:rFonts w:ascii="Times New Roman" w:hAnsi="Times New Roman"/>
          <w:sz w:val="24"/>
          <w:szCs w:val="24"/>
        </w:rPr>
        <w:t>-</w:t>
      </w:r>
      <w:proofErr w:type="gramStart"/>
      <w:r w:rsidR="004F2BE4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="004F2BE4">
        <w:rPr>
          <w:rFonts w:ascii="Times New Roman" w:hAnsi="Times New Roman"/>
          <w:sz w:val="24"/>
          <w:szCs w:val="24"/>
        </w:rPr>
        <w:t xml:space="preserve"> </w:t>
      </w:r>
      <w:r w:rsidR="00FD1FE5">
        <w:rPr>
          <w:rFonts w:ascii="Times New Roman" w:hAnsi="Times New Roman"/>
          <w:sz w:val="24"/>
          <w:szCs w:val="24"/>
        </w:rPr>
        <w:t xml:space="preserve">a következő </w:t>
      </w:r>
      <w:r w:rsidR="004F2BE4">
        <w:rPr>
          <w:rFonts w:ascii="Times New Roman" w:hAnsi="Times New Roman"/>
          <w:sz w:val="24"/>
          <w:szCs w:val="24"/>
        </w:rPr>
        <w:t>(5)–(8) bekezdéssel egészül ki:</w:t>
      </w:r>
    </w:p>
    <w:p w:rsidR="00FD1FE5" w:rsidRDefault="00FD1FE5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FE5" w:rsidRPr="00260DCE" w:rsidRDefault="00FD1FE5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260DCE">
        <w:rPr>
          <w:rFonts w:ascii="Times New Roman" w:hAnsi="Times New Roman"/>
          <w:i/>
          <w:sz w:val="24"/>
          <w:szCs w:val="24"/>
        </w:rPr>
        <w:t>(</w:t>
      </w:r>
      <w:r w:rsidR="004F2BE4">
        <w:rPr>
          <w:rFonts w:ascii="Times New Roman" w:hAnsi="Times New Roman"/>
          <w:i/>
          <w:sz w:val="24"/>
          <w:szCs w:val="24"/>
        </w:rPr>
        <w:t>5</w:t>
      </w:r>
      <w:r w:rsidRPr="00260DCE">
        <w:rPr>
          <w:rFonts w:ascii="Times New Roman" w:hAnsi="Times New Roman"/>
          <w:i/>
          <w:sz w:val="24"/>
          <w:szCs w:val="24"/>
        </w:rPr>
        <w:t xml:space="preserve">) A vendéglátó előkert, terasz területén belül külön közterület-használati engedély nélkül elhelyezhető a vendéglátással közvetlenül összefüggő eszköz, reklámfelirattal ellátott, vagy </w:t>
      </w:r>
      <w:r w:rsidRPr="00260DCE">
        <w:rPr>
          <w:rFonts w:ascii="Times New Roman" w:hAnsi="Times New Roman"/>
          <w:i/>
          <w:sz w:val="24"/>
          <w:szCs w:val="24"/>
        </w:rPr>
        <w:lastRenderedPageBreak/>
        <w:t>reklámfelirat nélküli asztal, szék, tálaló pult, melegítő, kültéri hősugárzó gomba, virágláda, virágvályú, virágtartó oszlop.</w:t>
      </w:r>
    </w:p>
    <w:p w:rsidR="00FD1FE5" w:rsidRPr="00260DCE" w:rsidRDefault="00FD1FE5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260DCE">
        <w:rPr>
          <w:rFonts w:ascii="Times New Roman" w:hAnsi="Times New Roman"/>
          <w:i/>
          <w:sz w:val="24"/>
          <w:szCs w:val="24"/>
        </w:rPr>
        <w:t>(</w:t>
      </w:r>
      <w:r w:rsidR="004F2BE4">
        <w:rPr>
          <w:rFonts w:ascii="Times New Roman" w:hAnsi="Times New Roman"/>
          <w:i/>
          <w:sz w:val="24"/>
          <w:szCs w:val="24"/>
        </w:rPr>
        <w:t>6</w:t>
      </w:r>
      <w:r w:rsidRPr="00260DCE">
        <w:rPr>
          <w:rFonts w:ascii="Times New Roman" w:hAnsi="Times New Roman"/>
          <w:i/>
          <w:sz w:val="24"/>
          <w:szCs w:val="24"/>
        </w:rPr>
        <w:t>) A vendéglátó előkert, terasz területén belül külön közterület-használati engedély nélkül nem helyezhető el fagylaltos pult, ital automata, hűtőszekrény, elárusító pult, TV, vagy projektor.</w:t>
      </w:r>
    </w:p>
    <w:p w:rsidR="00FD1FE5" w:rsidRPr="00260DCE" w:rsidRDefault="00FD1FE5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260DCE">
        <w:rPr>
          <w:rFonts w:ascii="Times New Roman" w:hAnsi="Times New Roman"/>
          <w:i/>
          <w:sz w:val="24"/>
          <w:szCs w:val="24"/>
        </w:rPr>
        <w:t>(</w:t>
      </w:r>
      <w:r w:rsidR="004F2BE4">
        <w:rPr>
          <w:rFonts w:ascii="Times New Roman" w:hAnsi="Times New Roman"/>
          <w:i/>
          <w:sz w:val="24"/>
          <w:szCs w:val="24"/>
        </w:rPr>
        <w:t>7</w:t>
      </w:r>
      <w:r w:rsidRPr="00260DCE">
        <w:rPr>
          <w:rFonts w:ascii="Times New Roman" w:hAnsi="Times New Roman"/>
          <w:i/>
          <w:sz w:val="24"/>
          <w:szCs w:val="24"/>
        </w:rPr>
        <w:t>) Vendéglátó előkert, terasz területén zene szolgáltatása, valamint bármilyen szabadidős zajforrás üzemeltetése tilos.</w:t>
      </w:r>
    </w:p>
    <w:p w:rsidR="00FD1FE5" w:rsidRPr="00260DCE" w:rsidRDefault="00FD1FE5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260DCE">
        <w:rPr>
          <w:rFonts w:ascii="Times New Roman" w:hAnsi="Times New Roman"/>
          <w:i/>
          <w:sz w:val="24"/>
          <w:szCs w:val="24"/>
        </w:rPr>
        <w:t>(</w:t>
      </w:r>
      <w:r w:rsidR="004F2BE4">
        <w:rPr>
          <w:rFonts w:ascii="Times New Roman" w:hAnsi="Times New Roman"/>
          <w:i/>
          <w:sz w:val="24"/>
          <w:szCs w:val="24"/>
        </w:rPr>
        <w:t>8</w:t>
      </w:r>
      <w:r w:rsidRPr="00260DCE">
        <w:rPr>
          <w:rFonts w:ascii="Times New Roman" w:hAnsi="Times New Roman"/>
          <w:i/>
          <w:sz w:val="24"/>
          <w:szCs w:val="24"/>
        </w:rPr>
        <w:t>) Sportesemények időtartamára a vendéglátó előkert, terasz területén, az erre vonatkozó közterület-használati engedély alapján, és a vendéglátó terasz külön jogszabályban meghatározott üzemeltetési ideje alatt, továbbá kizárólag az esemény időtartamára TV, projektor hangosítás használata nélkül kihelyezhető.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FD1FE5" w:rsidRPr="00FF319F" w:rsidRDefault="00FD1FE5" w:rsidP="007D7F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F319F" w:rsidRDefault="005F1BD8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FF319F" w:rsidRPr="00FD1FE5">
        <w:rPr>
          <w:rFonts w:ascii="Times New Roman" w:hAnsi="Times New Roman"/>
          <w:b/>
          <w:sz w:val="24"/>
          <w:szCs w:val="24"/>
        </w:rPr>
        <w:t>. §</w:t>
      </w:r>
      <w:r w:rsidR="00FF319F">
        <w:rPr>
          <w:rFonts w:ascii="Times New Roman" w:hAnsi="Times New Roman"/>
          <w:sz w:val="24"/>
          <w:szCs w:val="24"/>
        </w:rPr>
        <w:t xml:space="preserve"> A Rendelet </w:t>
      </w:r>
      <w:r w:rsidR="001C356B">
        <w:rPr>
          <w:rFonts w:ascii="Times New Roman" w:hAnsi="Times New Roman"/>
          <w:sz w:val="24"/>
          <w:szCs w:val="24"/>
        </w:rPr>
        <w:t xml:space="preserve">a következő alcímmel egészül ki: </w:t>
      </w:r>
    </w:p>
    <w:p w:rsidR="009E217B" w:rsidRDefault="009E217B" w:rsidP="007D7FC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F319F" w:rsidRPr="0077327E" w:rsidRDefault="00FF319F" w:rsidP="007D7FC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7327E">
        <w:rPr>
          <w:rFonts w:ascii="Times New Roman" w:hAnsi="Times New Roman"/>
          <w:b/>
          <w:i/>
          <w:sz w:val="24"/>
          <w:szCs w:val="24"/>
        </w:rPr>
        <w:t>„9/</w:t>
      </w:r>
      <w:r w:rsidR="001C356B">
        <w:rPr>
          <w:rFonts w:ascii="Times New Roman" w:hAnsi="Times New Roman"/>
          <w:b/>
          <w:i/>
          <w:sz w:val="24"/>
          <w:szCs w:val="24"/>
        </w:rPr>
        <w:t>B</w:t>
      </w:r>
      <w:r w:rsidRPr="0077327E">
        <w:rPr>
          <w:rFonts w:ascii="Times New Roman" w:hAnsi="Times New Roman"/>
          <w:b/>
          <w:i/>
          <w:sz w:val="24"/>
          <w:szCs w:val="24"/>
        </w:rPr>
        <w:t>. Mikromobilitási eszközök elhelyezésének különös szabályai</w:t>
      </w:r>
    </w:p>
    <w:p w:rsidR="00FD1FE5" w:rsidRPr="0077327E" w:rsidRDefault="00FD1FE5" w:rsidP="007D7FC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F319F" w:rsidRPr="0077327E" w:rsidRDefault="00FD1FE5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b/>
          <w:i/>
          <w:sz w:val="24"/>
          <w:szCs w:val="24"/>
        </w:rPr>
        <w:t>24</w:t>
      </w:r>
      <w:r w:rsidR="00677F9F" w:rsidRPr="0077327E">
        <w:rPr>
          <w:rFonts w:ascii="Times New Roman" w:hAnsi="Times New Roman"/>
          <w:b/>
          <w:i/>
          <w:sz w:val="24"/>
          <w:szCs w:val="24"/>
        </w:rPr>
        <w:t>/A</w:t>
      </w:r>
      <w:r w:rsidRPr="0077327E">
        <w:rPr>
          <w:rFonts w:ascii="Times New Roman" w:hAnsi="Times New Roman"/>
          <w:b/>
          <w:i/>
          <w:sz w:val="24"/>
          <w:szCs w:val="24"/>
        </w:rPr>
        <w:t>. §</w:t>
      </w:r>
      <w:r w:rsidRPr="0077327E">
        <w:rPr>
          <w:rFonts w:ascii="Times New Roman" w:hAnsi="Times New Roman"/>
          <w:i/>
          <w:sz w:val="24"/>
          <w:szCs w:val="24"/>
        </w:rPr>
        <w:t xml:space="preserve"> </w:t>
      </w:r>
      <w:r w:rsidR="00FF319F" w:rsidRPr="0077327E">
        <w:rPr>
          <w:rFonts w:ascii="Times New Roman" w:hAnsi="Times New Roman"/>
          <w:i/>
          <w:sz w:val="24"/>
          <w:szCs w:val="24"/>
        </w:rPr>
        <w:t>(1)</w:t>
      </w:r>
      <w:r w:rsidRPr="0077327E">
        <w:rPr>
          <w:rFonts w:ascii="Times New Roman" w:hAnsi="Times New Roman"/>
          <w:i/>
          <w:sz w:val="24"/>
          <w:szCs w:val="24"/>
        </w:rPr>
        <w:t xml:space="preserve"> </w:t>
      </w:r>
      <w:r w:rsidR="00FF319F" w:rsidRPr="0077327E">
        <w:rPr>
          <w:rFonts w:ascii="Times New Roman" w:hAnsi="Times New Roman"/>
          <w:i/>
          <w:sz w:val="24"/>
          <w:szCs w:val="24"/>
        </w:rPr>
        <w:t>Kölcsönzési cél</w:t>
      </w:r>
      <w:r w:rsidR="000E0E0C" w:rsidRPr="0077327E">
        <w:rPr>
          <w:rFonts w:ascii="Times New Roman" w:hAnsi="Times New Roman"/>
          <w:i/>
          <w:sz w:val="24"/>
          <w:szCs w:val="24"/>
        </w:rPr>
        <w:t xml:space="preserve">ú mikromobilitási eszközöknek az 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Önkormányzat tulajdonában </w:t>
      </w:r>
      <w:r w:rsidR="00F93822" w:rsidRPr="0077327E">
        <w:rPr>
          <w:rFonts w:ascii="Times New Roman" w:hAnsi="Times New Roman"/>
          <w:i/>
          <w:sz w:val="24"/>
          <w:szCs w:val="24"/>
        </w:rPr>
        <w:t>lévő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 közterületeken történő elhely</w:t>
      </w:r>
      <w:r w:rsidR="00F93822" w:rsidRPr="0077327E">
        <w:rPr>
          <w:rFonts w:ascii="Times New Roman" w:hAnsi="Times New Roman"/>
          <w:i/>
          <w:sz w:val="24"/>
          <w:szCs w:val="24"/>
        </w:rPr>
        <w:t>ezése, tárolása vonatkozásában e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 rendelet szabályait a</w:t>
      </w:r>
      <w:r w:rsidR="00F93822" w:rsidRPr="0077327E">
        <w:rPr>
          <w:rFonts w:ascii="Times New Roman" w:hAnsi="Times New Roman"/>
          <w:i/>
          <w:sz w:val="24"/>
          <w:szCs w:val="24"/>
        </w:rPr>
        <w:t xml:space="preserve">z ebben az </w:t>
      </w:r>
      <w:r w:rsidR="00FF319F" w:rsidRPr="0077327E">
        <w:rPr>
          <w:rFonts w:ascii="Times New Roman" w:hAnsi="Times New Roman"/>
          <w:i/>
          <w:sz w:val="24"/>
          <w:szCs w:val="24"/>
        </w:rPr>
        <w:t>alcímben foglalt eltérésekkel kell alkalmazni.</w:t>
      </w:r>
    </w:p>
    <w:p w:rsidR="00FF319F" w:rsidRPr="0077327E" w:rsidRDefault="00677F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F32EF">
        <w:rPr>
          <w:rFonts w:ascii="Times New Roman" w:hAnsi="Times New Roman"/>
          <w:i/>
          <w:sz w:val="24"/>
          <w:szCs w:val="24"/>
        </w:rPr>
        <w:t xml:space="preserve">(2) </w:t>
      </w:r>
      <w:r w:rsidR="00FF319F" w:rsidRPr="009F32EF">
        <w:rPr>
          <w:rFonts w:ascii="Times New Roman" w:hAnsi="Times New Roman"/>
          <w:i/>
          <w:sz w:val="24"/>
          <w:szCs w:val="24"/>
        </w:rPr>
        <w:t xml:space="preserve">Nem adható közterület-használati </w:t>
      </w:r>
      <w:r w:rsidR="00F93822" w:rsidRPr="009F32EF">
        <w:rPr>
          <w:rFonts w:ascii="Times New Roman" w:hAnsi="Times New Roman"/>
          <w:i/>
          <w:sz w:val="24"/>
          <w:szCs w:val="24"/>
        </w:rPr>
        <w:t>engedély</w:t>
      </w:r>
      <w:r w:rsidR="00FF319F" w:rsidRPr="009F32EF">
        <w:rPr>
          <w:rFonts w:ascii="Times New Roman" w:hAnsi="Times New Roman"/>
          <w:i/>
          <w:sz w:val="24"/>
          <w:szCs w:val="24"/>
        </w:rPr>
        <w:t xml:space="preserve"> olyan kölcsönzési célú mikromobilitási eszköz elhelyezéséhez, tárolásához, amely a vonatkozó jogszabályok szerint megkövetelt műszaki követelményeknek nem felel meg, rendeltetésszerű használatra nem alkalmas.</w:t>
      </w:r>
    </w:p>
    <w:p w:rsidR="00D0453A" w:rsidRPr="0077327E" w:rsidRDefault="00677F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 xml:space="preserve">(3) </w:t>
      </w:r>
      <w:r w:rsidR="00FF319F" w:rsidRPr="0077327E">
        <w:rPr>
          <w:rFonts w:ascii="Times New Roman" w:hAnsi="Times New Roman"/>
          <w:i/>
          <w:sz w:val="24"/>
          <w:szCs w:val="24"/>
        </w:rPr>
        <w:t>A</w:t>
      </w:r>
      <w:r w:rsidR="00F93822" w:rsidRPr="0077327E">
        <w:rPr>
          <w:rFonts w:ascii="Times New Roman" w:hAnsi="Times New Roman"/>
          <w:i/>
          <w:sz w:val="24"/>
          <w:szCs w:val="24"/>
        </w:rPr>
        <w:t xml:space="preserve">z 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Önkormányzat tulajdonában </w:t>
      </w:r>
      <w:r w:rsidR="00F93822" w:rsidRPr="0077327E">
        <w:rPr>
          <w:rFonts w:ascii="Times New Roman" w:hAnsi="Times New Roman"/>
          <w:i/>
          <w:sz w:val="24"/>
          <w:szCs w:val="24"/>
        </w:rPr>
        <w:t>lévő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 közterületeken kölcsönzési célú mikromobilitási eszköz – ha e rendelet eltérően nem rendelkezik – kizárólag az erre a célra kijelölt mikromobilitási ponton helyezhető el és tárolható. Erre vonatkozó közterület-használati </w:t>
      </w:r>
      <w:r w:rsidR="00F93822" w:rsidRPr="0077327E">
        <w:rPr>
          <w:rFonts w:ascii="Times New Roman" w:hAnsi="Times New Roman"/>
          <w:i/>
          <w:sz w:val="24"/>
          <w:szCs w:val="24"/>
        </w:rPr>
        <w:t>engedélyt</w:t>
      </w:r>
      <w:r w:rsidR="00FF319F" w:rsidRPr="0077327E">
        <w:rPr>
          <w:rFonts w:ascii="Times New Roman" w:hAnsi="Times New Roman"/>
          <w:i/>
          <w:sz w:val="24"/>
          <w:szCs w:val="24"/>
        </w:rPr>
        <w:t xml:space="preserve"> a kölcsönzési célú mikromobilitási eszközökkel rendelkező mikromobilitási szolgáltató kérhet.</w:t>
      </w:r>
    </w:p>
    <w:p w:rsidR="00677F9F" w:rsidRPr="0077327E" w:rsidRDefault="00677F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(4) A kölcsönzési célú mikromobilitási eszközök elhelyezése szempontjából az Önkormányzat területe a következő mikromobilitási zónákra osztott:</w:t>
      </w:r>
    </w:p>
    <w:p w:rsidR="00677F9F" w:rsidRPr="0077327E" w:rsidRDefault="00677F9F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a) belvárosi zóna, amely az Erzsébet körút – Rákóczi út – Károly körút – Király utca által határolt terület.</w:t>
      </w:r>
    </w:p>
    <w:p w:rsidR="00677F9F" w:rsidRPr="0077327E" w:rsidRDefault="00677F9F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b) átmeneti zóna, amely az Erzsébet körút – Király utca – Lövölde tér – Városligeti fasor – Dózsa György út – Verseny utca – Thököly út – Baross tér – Rákóczi út által határolt terület,</w:t>
      </w:r>
    </w:p>
    <w:p w:rsidR="00677F9F" w:rsidRPr="0077327E" w:rsidRDefault="00677F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ide nem értve a Főváros Önkormányzat tulajdonában lévő közterületeket.</w:t>
      </w:r>
    </w:p>
    <w:p w:rsidR="00677F9F" w:rsidRPr="0077327E" w:rsidRDefault="00677F9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(5) A mikromobilitási szolgáltató az általa üzemeltetett kölcsönzési célú mikromobilitási eszközöket csak érvényes közterület-használati engedély birtokában helyezheti el és tárolhatja a közterületen.</w:t>
      </w:r>
    </w:p>
    <w:p w:rsidR="00A877D8" w:rsidRPr="0077327E" w:rsidRDefault="00D7585A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</w:t>
      </w:r>
      <w:r w:rsidR="00A877D8" w:rsidRPr="0077327E">
        <w:rPr>
          <w:rFonts w:ascii="Times New Roman" w:hAnsi="Times New Roman"/>
          <w:i/>
          <w:sz w:val="24"/>
          <w:szCs w:val="24"/>
        </w:rPr>
        <w:t>)</w:t>
      </w:r>
      <w:r w:rsidR="00A877D8" w:rsidRPr="0077327E">
        <w:rPr>
          <w:rFonts w:ascii="Times New Roman" w:hAnsi="Times New Roman"/>
          <w:i/>
          <w:sz w:val="24"/>
          <w:szCs w:val="24"/>
        </w:rPr>
        <w:tab/>
        <w:t xml:space="preserve">Az Önkormányzat </w:t>
      </w:r>
      <w:r w:rsidR="00B74EFF">
        <w:rPr>
          <w:rFonts w:ascii="Times New Roman" w:hAnsi="Times New Roman"/>
          <w:i/>
          <w:sz w:val="24"/>
          <w:szCs w:val="24"/>
        </w:rPr>
        <w:t xml:space="preserve">a </w:t>
      </w:r>
      <w:r w:rsidR="00A877D8" w:rsidRPr="0077327E">
        <w:rPr>
          <w:rFonts w:ascii="Times New Roman" w:hAnsi="Times New Roman"/>
          <w:i/>
          <w:sz w:val="24"/>
          <w:szCs w:val="24"/>
        </w:rPr>
        <w:t xml:space="preserve">tulajdonában álló közterületeken </w:t>
      </w:r>
      <w:r w:rsidR="00C921BC">
        <w:rPr>
          <w:rFonts w:ascii="Times New Roman" w:hAnsi="Times New Roman"/>
          <w:i/>
          <w:sz w:val="24"/>
          <w:szCs w:val="24"/>
        </w:rPr>
        <w:t xml:space="preserve">előre </w:t>
      </w:r>
      <w:r w:rsidR="00A877D8" w:rsidRPr="0077327E">
        <w:rPr>
          <w:rFonts w:ascii="Times New Roman" w:hAnsi="Times New Roman"/>
          <w:i/>
          <w:sz w:val="24"/>
          <w:szCs w:val="24"/>
        </w:rPr>
        <w:t xml:space="preserve">kijelölt mikromobilitási pontok </w:t>
      </w:r>
    </w:p>
    <w:p w:rsidR="00A877D8" w:rsidRPr="0077327E" w:rsidRDefault="00B74EFF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a) egyedi azonosítóját</w:t>
      </w:r>
      <w:r w:rsidR="0077327E" w:rsidRPr="0077327E">
        <w:rPr>
          <w:rFonts w:ascii="Times New Roman" w:hAnsi="Times New Roman"/>
          <w:i/>
          <w:sz w:val="24"/>
          <w:szCs w:val="24"/>
        </w:rPr>
        <w:t>;</w:t>
      </w:r>
    </w:p>
    <w:p w:rsidR="00A877D8" w:rsidRPr="0077327E" w:rsidRDefault="00A877D8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b) a 24/A. § (4) be</w:t>
      </w:r>
      <w:r w:rsidR="00B74EFF">
        <w:rPr>
          <w:rFonts w:ascii="Times New Roman" w:hAnsi="Times New Roman"/>
          <w:i/>
          <w:sz w:val="24"/>
          <w:szCs w:val="24"/>
        </w:rPr>
        <w:t>kezdése szerinti zóna-besorolás</w:t>
      </w:r>
      <w:r w:rsidR="000644DB">
        <w:rPr>
          <w:rFonts w:ascii="Times New Roman" w:hAnsi="Times New Roman"/>
          <w:i/>
          <w:sz w:val="24"/>
          <w:szCs w:val="24"/>
        </w:rPr>
        <w:t>á</w:t>
      </w:r>
      <w:r w:rsidR="00B74EFF">
        <w:rPr>
          <w:rFonts w:ascii="Times New Roman" w:hAnsi="Times New Roman"/>
          <w:i/>
          <w:sz w:val="24"/>
          <w:szCs w:val="24"/>
        </w:rPr>
        <w:t>t és földrajzi címét</w:t>
      </w:r>
      <w:r w:rsidRPr="0077327E">
        <w:rPr>
          <w:rFonts w:ascii="Times New Roman" w:hAnsi="Times New Roman"/>
          <w:i/>
          <w:sz w:val="24"/>
          <w:szCs w:val="24"/>
        </w:rPr>
        <w:t>,</w:t>
      </w:r>
    </w:p>
    <w:p w:rsidR="00A877D8" w:rsidRPr="0077327E" w:rsidRDefault="00A877D8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c) középpontjának tekintendő pont GPS-koordinátái</w:t>
      </w:r>
      <w:r w:rsidR="00B74EFF">
        <w:rPr>
          <w:rFonts w:ascii="Times New Roman" w:hAnsi="Times New Roman"/>
          <w:i/>
          <w:sz w:val="24"/>
          <w:szCs w:val="24"/>
        </w:rPr>
        <w:t>t, területének méretét</w:t>
      </w:r>
      <w:r w:rsidRPr="0077327E">
        <w:rPr>
          <w:rFonts w:ascii="Times New Roman" w:hAnsi="Times New Roman"/>
          <w:i/>
          <w:sz w:val="24"/>
          <w:szCs w:val="24"/>
        </w:rPr>
        <w:t>,</w:t>
      </w:r>
      <w:r w:rsidR="00B74EFF">
        <w:rPr>
          <w:rFonts w:ascii="Times New Roman" w:hAnsi="Times New Roman"/>
          <w:i/>
          <w:sz w:val="24"/>
          <w:szCs w:val="24"/>
        </w:rPr>
        <w:t xml:space="preserve"> valamint</w:t>
      </w:r>
    </w:p>
    <w:p w:rsidR="00A877D8" w:rsidRPr="0077327E" w:rsidRDefault="00A877D8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d)</w:t>
      </w:r>
      <w:r w:rsidR="0077327E" w:rsidRPr="0077327E">
        <w:rPr>
          <w:rFonts w:ascii="Times New Roman" w:hAnsi="Times New Roman"/>
          <w:i/>
          <w:sz w:val="24"/>
          <w:szCs w:val="24"/>
        </w:rPr>
        <w:t xml:space="preserve"> </w:t>
      </w:r>
      <w:r w:rsidRPr="0077327E">
        <w:rPr>
          <w:rFonts w:ascii="Times New Roman" w:hAnsi="Times New Roman"/>
          <w:i/>
          <w:sz w:val="24"/>
          <w:szCs w:val="24"/>
        </w:rPr>
        <w:t>az adott mikromobilitási ponton egyszerre elhelyezhető mikromobilitási eszközök legmagasabb s</w:t>
      </w:r>
      <w:r w:rsidR="00B74EFF">
        <w:rPr>
          <w:rFonts w:ascii="Times New Roman" w:hAnsi="Times New Roman"/>
          <w:i/>
          <w:sz w:val="24"/>
          <w:szCs w:val="24"/>
        </w:rPr>
        <w:t>zámát</w:t>
      </w:r>
      <w:r w:rsidRPr="0077327E">
        <w:rPr>
          <w:rFonts w:ascii="Times New Roman" w:hAnsi="Times New Roman"/>
          <w:i/>
          <w:sz w:val="24"/>
          <w:szCs w:val="24"/>
        </w:rPr>
        <w:t>,</w:t>
      </w:r>
    </w:p>
    <w:p w:rsidR="00A877D8" w:rsidRPr="0077327E" w:rsidRDefault="00A877D8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e)</w:t>
      </w:r>
      <w:r w:rsidR="0077327E" w:rsidRPr="0077327E">
        <w:rPr>
          <w:rFonts w:ascii="Times New Roman" w:hAnsi="Times New Roman"/>
          <w:i/>
          <w:sz w:val="24"/>
          <w:szCs w:val="24"/>
        </w:rPr>
        <w:t xml:space="preserve"> </w:t>
      </w:r>
      <w:r w:rsidRPr="0077327E">
        <w:rPr>
          <w:rFonts w:ascii="Times New Roman" w:hAnsi="Times New Roman"/>
          <w:i/>
          <w:sz w:val="24"/>
          <w:szCs w:val="24"/>
        </w:rPr>
        <w:t>az adott mikromobilitási ponton egyazon szolgáltató által egyszerre elhelyezhető mikromobili</w:t>
      </w:r>
      <w:r w:rsidR="009A1924">
        <w:rPr>
          <w:rFonts w:ascii="Times New Roman" w:hAnsi="Times New Roman"/>
          <w:i/>
          <w:sz w:val="24"/>
          <w:szCs w:val="24"/>
        </w:rPr>
        <w:t>tási eszközök legmagasabb számát</w:t>
      </w:r>
    </w:p>
    <w:p w:rsidR="00A877D8" w:rsidRPr="003E45BB" w:rsidRDefault="00A877D8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i/>
          <w:sz w:val="24"/>
          <w:szCs w:val="24"/>
        </w:rPr>
        <w:t>a</w:t>
      </w:r>
      <w:r w:rsidR="0077327E" w:rsidRPr="0077327E">
        <w:rPr>
          <w:rFonts w:ascii="Times New Roman" w:hAnsi="Times New Roman"/>
          <w:i/>
          <w:sz w:val="24"/>
          <w:szCs w:val="24"/>
        </w:rPr>
        <w:t xml:space="preserve">z Önkormányzat </w:t>
      </w:r>
      <w:r w:rsidRPr="0077327E">
        <w:rPr>
          <w:rFonts w:ascii="Times New Roman" w:hAnsi="Times New Roman"/>
          <w:i/>
          <w:sz w:val="24"/>
          <w:szCs w:val="24"/>
        </w:rPr>
        <w:t>honlap</w:t>
      </w:r>
      <w:r w:rsidR="0077327E" w:rsidRPr="0077327E">
        <w:rPr>
          <w:rFonts w:ascii="Times New Roman" w:hAnsi="Times New Roman"/>
          <w:i/>
          <w:sz w:val="24"/>
          <w:szCs w:val="24"/>
        </w:rPr>
        <w:t>ján</w:t>
      </w:r>
      <w:r w:rsidRPr="0077327E">
        <w:rPr>
          <w:rFonts w:ascii="Times New Roman" w:hAnsi="Times New Roman"/>
          <w:i/>
          <w:sz w:val="24"/>
          <w:szCs w:val="24"/>
        </w:rPr>
        <w:t xml:space="preserve"> folyamatosan, a mikromobilitási pontok térképen való </w:t>
      </w:r>
      <w:r w:rsidRPr="003E45BB">
        <w:rPr>
          <w:rFonts w:ascii="Times New Roman" w:hAnsi="Times New Roman"/>
          <w:i/>
          <w:sz w:val="24"/>
          <w:szCs w:val="24"/>
        </w:rPr>
        <w:t xml:space="preserve">kereshetőségét is biztosító módon </w:t>
      </w:r>
      <w:r w:rsidR="009A1924">
        <w:rPr>
          <w:rFonts w:ascii="Times New Roman" w:hAnsi="Times New Roman"/>
          <w:i/>
          <w:sz w:val="24"/>
          <w:szCs w:val="24"/>
        </w:rPr>
        <w:t>közzé teszi</w:t>
      </w:r>
      <w:r w:rsidR="009E217B">
        <w:rPr>
          <w:rFonts w:ascii="Times New Roman" w:hAnsi="Times New Roman"/>
          <w:i/>
          <w:sz w:val="24"/>
          <w:szCs w:val="24"/>
        </w:rPr>
        <w:t>.</w:t>
      </w:r>
    </w:p>
    <w:p w:rsidR="006E4D9A" w:rsidRDefault="006E4D9A" w:rsidP="007D7FC4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15529" w:rsidRPr="003E45BB" w:rsidRDefault="00D7585A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7327E">
        <w:rPr>
          <w:rFonts w:ascii="Times New Roman" w:hAnsi="Times New Roman"/>
          <w:b/>
          <w:i/>
          <w:sz w:val="24"/>
          <w:szCs w:val="24"/>
        </w:rPr>
        <w:t>24/B. §</w:t>
      </w:r>
      <w:r w:rsidRPr="0077327E">
        <w:rPr>
          <w:rFonts w:ascii="Times New Roman" w:hAnsi="Times New Roman"/>
          <w:i/>
          <w:sz w:val="24"/>
          <w:szCs w:val="24"/>
        </w:rPr>
        <w:t xml:space="preserve"> </w:t>
      </w:r>
      <w:r w:rsidR="00315529" w:rsidRPr="003E45BB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</w:t>
      </w:r>
      <w:r w:rsidR="00315529" w:rsidRPr="003E45BB">
        <w:rPr>
          <w:rFonts w:ascii="Times New Roman" w:hAnsi="Times New Roman"/>
          <w:i/>
          <w:sz w:val="24"/>
          <w:szCs w:val="24"/>
        </w:rPr>
        <w:t>)</w:t>
      </w:r>
      <w:r w:rsidR="00315529" w:rsidRPr="003E45BB">
        <w:rPr>
          <w:rFonts w:ascii="Times New Roman" w:hAnsi="Times New Roman"/>
          <w:i/>
          <w:sz w:val="24"/>
          <w:szCs w:val="24"/>
        </w:rPr>
        <w:tab/>
        <w:t xml:space="preserve">Kölcsönzési célú mikromobilitási eszközök közterületen történő elhelyezése, tárolása céljából akkor adható közterület-használati hozzájárulás a mikromobilitási szolgáltató részére, ha a mikromobilitási szolgáltató </w:t>
      </w:r>
    </w:p>
    <w:p w:rsidR="00315529" w:rsidRPr="003E45BB" w:rsidRDefault="00315529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lastRenderedPageBreak/>
        <w:t>a) az általa üzemeltetett valamennyi mikromobilitási eszközt – a jogszerű közterület-használat ellenőrizhetősége érdekében – olyan egyedi azonosító jellel látta el, amely</w:t>
      </w:r>
    </w:p>
    <w:p w:rsidR="00315529" w:rsidRPr="003E45BB" w:rsidRDefault="00315529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t xml:space="preserve">aa) </w:t>
      </w:r>
      <w:r w:rsidR="00620569">
        <w:rPr>
          <w:rFonts w:ascii="Times New Roman" w:hAnsi="Times New Roman"/>
          <w:i/>
          <w:sz w:val="24"/>
          <w:szCs w:val="24"/>
        </w:rPr>
        <w:t xml:space="preserve">a </w:t>
      </w:r>
      <w:r w:rsidRPr="003E45BB">
        <w:rPr>
          <w:rFonts w:ascii="Times New Roman" w:hAnsi="Times New Roman"/>
          <w:i/>
          <w:sz w:val="24"/>
          <w:szCs w:val="24"/>
        </w:rPr>
        <w:t>latin ábécé nagybetűiből és arab számokból képzett, legalább négy, legfeljebb hét karakterből áll,</w:t>
      </w:r>
    </w:p>
    <w:p w:rsidR="00315529" w:rsidRPr="009F32EF" w:rsidRDefault="00315529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F32EF">
        <w:rPr>
          <w:rFonts w:ascii="Times New Roman" w:hAnsi="Times New Roman"/>
          <w:i/>
          <w:sz w:val="24"/>
          <w:szCs w:val="24"/>
        </w:rPr>
        <w:t>ab) a mikromobilitási eszköz két oldalán egy-egy példányban, minimum 30mm magas és 4mm vonalvastagságú karakterekkel, az eszköz hátulján pedig egy példányban, minimum 50mm magas és 7mm vonalvastagságú karakterekkel jelenik meg,</w:t>
      </w:r>
    </w:p>
    <w:p w:rsidR="00315529" w:rsidRPr="003E45BB" w:rsidRDefault="00315529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F32EF">
        <w:rPr>
          <w:rFonts w:ascii="Times New Roman" w:hAnsi="Times New Roman"/>
          <w:i/>
          <w:sz w:val="24"/>
          <w:szCs w:val="24"/>
        </w:rPr>
        <w:t>ac) karaktereinek háttérhez viszonyított kontrasztaránya legalább 4,5:1 arányú;</w:t>
      </w:r>
    </w:p>
    <w:p w:rsidR="00315529" w:rsidRPr="003E45BB" w:rsidRDefault="00315529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t>b) a megosztott szolgáltatás részeként működő mikromobilitási eszközök kölcsönzésére vonatkozó szerződés megkötésére előre meg nem határozott személyek számára nyilvánosan ajánlatot tett közzé;</w:t>
      </w:r>
    </w:p>
    <w:p w:rsidR="00315529" w:rsidRPr="003E45BB" w:rsidRDefault="00315529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t>c) vállalja, hogy mikromobilitási eszközeit a 24/A. § (4) bekezdése szer</w:t>
      </w:r>
      <w:r w:rsidR="009F32EF">
        <w:rPr>
          <w:rFonts w:ascii="Times New Roman" w:hAnsi="Times New Roman"/>
          <w:i/>
          <w:sz w:val="24"/>
          <w:szCs w:val="24"/>
        </w:rPr>
        <w:t>inti összes zónában üzemelteti.</w:t>
      </w:r>
    </w:p>
    <w:p w:rsidR="00315529" w:rsidRPr="003E45BB" w:rsidRDefault="00315529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t>(</w:t>
      </w:r>
      <w:r w:rsidR="004678ED">
        <w:rPr>
          <w:rFonts w:ascii="Times New Roman" w:hAnsi="Times New Roman"/>
          <w:i/>
          <w:sz w:val="24"/>
          <w:szCs w:val="24"/>
        </w:rPr>
        <w:t>2</w:t>
      </w:r>
      <w:r w:rsidRPr="003E45BB">
        <w:rPr>
          <w:rFonts w:ascii="Times New Roman" w:hAnsi="Times New Roman"/>
          <w:i/>
          <w:sz w:val="24"/>
          <w:szCs w:val="24"/>
        </w:rPr>
        <w:t xml:space="preserve">) </w:t>
      </w:r>
      <w:r w:rsidR="004C7A83">
        <w:rPr>
          <w:rFonts w:ascii="Times New Roman" w:hAnsi="Times New Roman"/>
          <w:i/>
          <w:sz w:val="24"/>
          <w:szCs w:val="24"/>
        </w:rPr>
        <w:t xml:space="preserve">Az adott </w:t>
      </w:r>
      <w:r w:rsidRPr="003E45BB">
        <w:rPr>
          <w:rFonts w:ascii="Times New Roman" w:hAnsi="Times New Roman"/>
          <w:i/>
          <w:sz w:val="24"/>
          <w:szCs w:val="24"/>
        </w:rPr>
        <w:t xml:space="preserve">zónában kialakított és működtetett összes mikromobilitási pontra </w:t>
      </w:r>
      <w:r w:rsidR="00F81048" w:rsidRPr="003E45BB">
        <w:rPr>
          <w:rFonts w:ascii="Times New Roman" w:hAnsi="Times New Roman"/>
          <w:i/>
          <w:sz w:val="24"/>
          <w:szCs w:val="24"/>
        </w:rPr>
        <w:t>közterület-használati engedély csak együttesen adható</w:t>
      </w:r>
      <w:r w:rsidRPr="003E45BB">
        <w:rPr>
          <w:rFonts w:ascii="Times New Roman" w:hAnsi="Times New Roman"/>
          <w:i/>
          <w:sz w:val="24"/>
          <w:szCs w:val="24"/>
        </w:rPr>
        <w:t>.</w:t>
      </w:r>
    </w:p>
    <w:p w:rsidR="00315529" w:rsidRPr="003E45BB" w:rsidRDefault="00315529" w:rsidP="007208E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3E45BB">
        <w:rPr>
          <w:rFonts w:ascii="Times New Roman" w:hAnsi="Times New Roman"/>
          <w:i/>
          <w:sz w:val="24"/>
          <w:szCs w:val="24"/>
        </w:rPr>
        <w:t>(</w:t>
      </w:r>
      <w:r w:rsidR="004678ED">
        <w:rPr>
          <w:rFonts w:ascii="Times New Roman" w:hAnsi="Times New Roman"/>
          <w:i/>
          <w:sz w:val="24"/>
          <w:szCs w:val="24"/>
        </w:rPr>
        <w:t>3</w:t>
      </w:r>
      <w:r w:rsidR="00F81048" w:rsidRPr="003E45BB">
        <w:rPr>
          <w:rFonts w:ascii="Times New Roman" w:hAnsi="Times New Roman"/>
          <w:i/>
          <w:sz w:val="24"/>
          <w:szCs w:val="24"/>
        </w:rPr>
        <w:t xml:space="preserve">) </w:t>
      </w:r>
      <w:r w:rsidRPr="003E45BB">
        <w:rPr>
          <w:rFonts w:ascii="Times New Roman" w:hAnsi="Times New Roman"/>
          <w:i/>
          <w:sz w:val="24"/>
          <w:szCs w:val="24"/>
        </w:rPr>
        <w:t>Egyazon mikromobilitási szolgáltató egyazon típusú mikromobilitási eszközei tekintetében</w:t>
      </w:r>
      <w:r w:rsidR="00F81048" w:rsidRPr="003E45BB">
        <w:rPr>
          <w:rFonts w:ascii="Times New Roman" w:hAnsi="Times New Roman"/>
          <w:i/>
          <w:sz w:val="24"/>
          <w:szCs w:val="24"/>
        </w:rPr>
        <w:t xml:space="preserve"> </w:t>
      </w:r>
      <w:r w:rsidRPr="003E45BB">
        <w:rPr>
          <w:rFonts w:ascii="Times New Roman" w:hAnsi="Times New Roman"/>
          <w:i/>
          <w:sz w:val="24"/>
          <w:szCs w:val="24"/>
        </w:rPr>
        <w:t xml:space="preserve">legalább a zónán belüli mikromobilitási pontok darabszáma egyharmadának megfelelő számú, és legfeljebb a zónában elhelyezett összes mikromobilitási pont tekintetében </w:t>
      </w:r>
      <w:r w:rsidR="007E2DD5" w:rsidRPr="003E45BB">
        <w:rPr>
          <w:rFonts w:ascii="Times New Roman" w:hAnsi="Times New Roman"/>
          <w:i/>
          <w:sz w:val="24"/>
          <w:szCs w:val="24"/>
        </w:rPr>
        <w:t xml:space="preserve">az </w:t>
      </w:r>
      <w:r w:rsidRPr="003E45BB">
        <w:rPr>
          <w:rFonts w:ascii="Times New Roman" w:hAnsi="Times New Roman"/>
          <w:i/>
          <w:sz w:val="24"/>
          <w:szCs w:val="24"/>
        </w:rPr>
        <w:t>egy adott mikromobilitási szolgáltató által az adott mikromobilitási ponton maximálisan igénybe vehető mikromobilitási helyek összesített számának megfelelő számú</w:t>
      </w:r>
      <w:r w:rsidR="007E2DD5" w:rsidRPr="003E45BB">
        <w:rPr>
          <w:rFonts w:ascii="Times New Roman" w:hAnsi="Times New Roman"/>
          <w:i/>
          <w:sz w:val="24"/>
          <w:szCs w:val="24"/>
        </w:rPr>
        <w:t xml:space="preserve"> </w:t>
      </w:r>
      <w:r w:rsidRPr="003E45BB">
        <w:rPr>
          <w:rFonts w:ascii="Times New Roman" w:hAnsi="Times New Roman"/>
          <w:i/>
          <w:sz w:val="24"/>
          <w:szCs w:val="24"/>
        </w:rPr>
        <w:t xml:space="preserve">mikromobilitási eszköz kihelyezésére adható csak közterület-használati </w:t>
      </w:r>
      <w:r w:rsidR="007E2DD5" w:rsidRPr="003E45BB">
        <w:rPr>
          <w:rFonts w:ascii="Times New Roman" w:hAnsi="Times New Roman"/>
          <w:i/>
          <w:sz w:val="24"/>
          <w:szCs w:val="24"/>
        </w:rPr>
        <w:t>engedély</w:t>
      </w:r>
      <w:r w:rsidRPr="003E45BB">
        <w:rPr>
          <w:rFonts w:ascii="Times New Roman" w:hAnsi="Times New Roman"/>
          <w:i/>
          <w:sz w:val="24"/>
          <w:szCs w:val="24"/>
        </w:rPr>
        <w:t>.</w:t>
      </w:r>
    </w:p>
    <w:p w:rsidR="007E068B" w:rsidRPr="007E068B" w:rsidRDefault="007E068B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E068B">
        <w:rPr>
          <w:rFonts w:ascii="Times New Roman" w:hAnsi="Times New Roman"/>
          <w:i/>
          <w:sz w:val="24"/>
          <w:szCs w:val="24"/>
        </w:rPr>
        <w:t>(</w:t>
      </w:r>
      <w:r w:rsidR="004678ED">
        <w:rPr>
          <w:rFonts w:ascii="Times New Roman" w:hAnsi="Times New Roman"/>
          <w:i/>
          <w:sz w:val="24"/>
          <w:szCs w:val="24"/>
        </w:rPr>
        <w:t>4)</w:t>
      </w:r>
      <w:r w:rsidRPr="007E068B">
        <w:rPr>
          <w:rFonts w:ascii="Times New Roman" w:hAnsi="Times New Roman"/>
          <w:i/>
          <w:sz w:val="24"/>
          <w:szCs w:val="24"/>
        </w:rPr>
        <w:tab/>
        <w:t xml:space="preserve">A mikromobilitási szolgáltató a mikromobilitási pontot érvényes közterület-használati </w:t>
      </w:r>
      <w:r>
        <w:rPr>
          <w:rFonts w:ascii="Times New Roman" w:hAnsi="Times New Roman"/>
          <w:i/>
          <w:sz w:val="24"/>
          <w:szCs w:val="24"/>
        </w:rPr>
        <w:t>engedélye</w:t>
      </w:r>
      <w:r w:rsidRPr="007E068B">
        <w:rPr>
          <w:rFonts w:ascii="Times New Roman" w:hAnsi="Times New Roman"/>
          <w:i/>
          <w:sz w:val="24"/>
          <w:szCs w:val="24"/>
        </w:rPr>
        <w:t xml:space="preserve"> birtokában is csak a többi jogszerű közterület-használóval (érvényes közterület-használati </w:t>
      </w:r>
      <w:r>
        <w:rPr>
          <w:rFonts w:ascii="Times New Roman" w:hAnsi="Times New Roman"/>
          <w:i/>
          <w:sz w:val="24"/>
          <w:szCs w:val="24"/>
        </w:rPr>
        <w:t>engedéllyel</w:t>
      </w:r>
      <w:r w:rsidRPr="007E068B">
        <w:rPr>
          <w:rFonts w:ascii="Times New Roman" w:hAnsi="Times New Roman"/>
          <w:i/>
          <w:sz w:val="24"/>
          <w:szCs w:val="24"/>
        </w:rPr>
        <w:t xml:space="preserve"> rendelkezőkkel) közösen, egymást nem korlátozva veheti igénybe kölcsönzési célú mikromobilitási eszközök elhelyezése, tárolása céljából.</w:t>
      </w:r>
    </w:p>
    <w:p w:rsidR="00D0453A" w:rsidRPr="009E217B" w:rsidRDefault="007E068B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F32EF">
        <w:rPr>
          <w:rFonts w:ascii="Times New Roman" w:hAnsi="Times New Roman"/>
          <w:i/>
          <w:sz w:val="24"/>
          <w:szCs w:val="24"/>
        </w:rPr>
        <w:t>(</w:t>
      </w:r>
      <w:r w:rsidR="004678ED" w:rsidRPr="009F32EF">
        <w:rPr>
          <w:rFonts w:ascii="Times New Roman" w:hAnsi="Times New Roman"/>
          <w:i/>
          <w:sz w:val="24"/>
          <w:szCs w:val="24"/>
        </w:rPr>
        <w:t>5</w:t>
      </w:r>
      <w:r w:rsidRPr="009F32EF">
        <w:rPr>
          <w:rFonts w:ascii="Times New Roman" w:hAnsi="Times New Roman"/>
          <w:i/>
          <w:sz w:val="24"/>
          <w:szCs w:val="24"/>
        </w:rPr>
        <w:t>)</w:t>
      </w:r>
      <w:r w:rsidRPr="009F32EF">
        <w:rPr>
          <w:rFonts w:ascii="Times New Roman" w:hAnsi="Times New Roman"/>
          <w:i/>
          <w:sz w:val="24"/>
          <w:szCs w:val="24"/>
        </w:rPr>
        <w:tab/>
        <w:t xml:space="preserve">A mikromobilitási pontok közterület-használatára csak határozott időre, de legalább 12 hónap és legfeljebb 36 hónap időtartamra adható engedély azzal, hogy a mikromobilitási szolgáltató számára első alkalommal legfeljebb </w:t>
      </w:r>
      <w:r w:rsidR="00053060" w:rsidRPr="009F32EF">
        <w:rPr>
          <w:rFonts w:ascii="Times New Roman" w:hAnsi="Times New Roman"/>
          <w:i/>
          <w:sz w:val="24"/>
          <w:szCs w:val="24"/>
        </w:rPr>
        <w:t>18</w:t>
      </w:r>
      <w:r w:rsidRPr="009F32EF">
        <w:rPr>
          <w:rFonts w:ascii="Times New Roman" w:hAnsi="Times New Roman"/>
          <w:i/>
          <w:sz w:val="24"/>
          <w:szCs w:val="24"/>
        </w:rPr>
        <w:t xml:space="preserve"> hónap időtartamra adható közterület-használati engedély.</w:t>
      </w:r>
    </w:p>
    <w:p w:rsidR="007E068B" w:rsidRPr="009E217B" w:rsidRDefault="007E068B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>(</w:t>
      </w:r>
      <w:r w:rsidR="004678ED">
        <w:rPr>
          <w:rFonts w:ascii="Times New Roman" w:hAnsi="Times New Roman"/>
          <w:i/>
          <w:sz w:val="24"/>
          <w:szCs w:val="24"/>
        </w:rPr>
        <w:t>6</w:t>
      </w:r>
      <w:r w:rsidRPr="009E217B">
        <w:rPr>
          <w:rFonts w:ascii="Times New Roman" w:hAnsi="Times New Roman"/>
          <w:i/>
          <w:sz w:val="24"/>
          <w:szCs w:val="24"/>
        </w:rPr>
        <w:t xml:space="preserve">) A kölcsönzési célú mikromobilitási eszközök elhelyezésére vonatkozó közterület-használati </w:t>
      </w:r>
      <w:r w:rsidR="00454D6E">
        <w:rPr>
          <w:rFonts w:ascii="Times New Roman" w:hAnsi="Times New Roman"/>
          <w:i/>
          <w:sz w:val="24"/>
          <w:szCs w:val="24"/>
        </w:rPr>
        <w:t xml:space="preserve">engedély iránti </w:t>
      </w:r>
      <w:r w:rsidRPr="009E217B">
        <w:rPr>
          <w:rFonts w:ascii="Times New Roman" w:hAnsi="Times New Roman"/>
          <w:i/>
          <w:sz w:val="24"/>
          <w:szCs w:val="24"/>
        </w:rPr>
        <w:t>kérelemhez a 18. § (1) bekezdésében meghatározottakon túl a mikromobilitási szolgáltatónak nyilatkoznia kell:</w:t>
      </w:r>
    </w:p>
    <w:p w:rsidR="007E068B" w:rsidRPr="009E217B" w:rsidRDefault="007E068B" w:rsidP="007D7FC4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 xml:space="preserve">az elhelyezni kívánt </w:t>
      </w:r>
      <w:proofErr w:type="spellStart"/>
      <w:r w:rsidRPr="009E217B">
        <w:rPr>
          <w:rFonts w:ascii="Times New Roman" w:hAnsi="Times New Roman"/>
          <w:i/>
          <w:sz w:val="24"/>
          <w:szCs w:val="24"/>
        </w:rPr>
        <w:t>mikromobilitási</w:t>
      </w:r>
      <w:proofErr w:type="spellEnd"/>
      <w:r w:rsidRPr="009E217B">
        <w:rPr>
          <w:rFonts w:ascii="Times New Roman" w:hAnsi="Times New Roman"/>
          <w:i/>
          <w:sz w:val="24"/>
          <w:szCs w:val="24"/>
        </w:rPr>
        <w:t xml:space="preserve"> eszközök számáról,</w:t>
      </w:r>
    </w:p>
    <w:p w:rsidR="007E068B" w:rsidRPr="009E217B" w:rsidRDefault="007E068B" w:rsidP="007D7FC4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 xml:space="preserve">az elhelyezni kívánt egyes mikromobilitási eszközök műszaki jellemzőiről, így legalább </w:t>
      </w:r>
    </w:p>
    <w:p w:rsidR="007E068B" w:rsidRPr="009E217B" w:rsidRDefault="007E068B" w:rsidP="007D7FC4">
      <w:pPr>
        <w:pStyle w:val="Listaszerbekezds"/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>ba) az eszköz típusáról (pl. elektromos rásegítésű roller, kerékpár, elektromos rásegítésű kerékpár, stb.),</w:t>
      </w:r>
    </w:p>
    <w:p w:rsidR="007E068B" w:rsidRPr="009E217B" w:rsidRDefault="007E5B0C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 xml:space="preserve">bb) </w:t>
      </w:r>
      <w:r w:rsidR="007E068B" w:rsidRPr="009E217B">
        <w:rPr>
          <w:rFonts w:ascii="Times New Roman" w:hAnsi="Times New Roman"/>
          <w:i/>
          <w:sz w:val="24"/>
          <w:szCs w:val="24"/>
        </w:rPr>
        <w:t>elektromos rásegítés meglétéről, elektromos rásegítés eseté</w:t>
      </w:r>
      <w:r w:rsidRPr="009E217B">
        <w:rPr>
          <w:rFonts w:ascii="Times New Roman" w:hAnsi="Times New Roman"/>
          <w:i/>
          <w:sz w:val="24"/>
          <w:szCs w:val="24"/>
        </w:rPr>
        <w:t>n annak névleges teljesítményérő</w:t>
      </w:r>
      <w:r w:rsidR="007E068B" w:rsidRPr="009E217B">
        <w:rPr>
          <w:rFonts w:ascii="Times New Roman" w:hAnsi="Times New Roman"/>
          <w:i/>
          <w:sz w:val="24"/>
          <w:szCs w:val="24"/>
        </w:rPr>
        <w:t>l,</w:t>
      </w:r>
    </w:p>
    <w:p w:rsidR="007E068B" w:rsidRPr="009E217B" w:rsidRDefault="007E068B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 xml:space="preserve">bc) </w:t>
      </w:r>
      <w:r w:rsidR="007E5B0C" w:rsidRPr="009E217B">
        <w:rPr>
          <w:rFonts w:ascii="Times New Roman" w:hAnsi="Times New Roman"/>
          <w:i/>
          <w:sz w:val="24"/>
          <w:szCs w:val="24"/>
        </w:rPr>
        <w:t>az eszköz tömegéről</w:t>
      </w:r>
      <w:r w:rsidR="009E217B" w:rsidRPr="009E217B">
        <w:rPr>
          <w:rFonts w:ascii="Times New Roman" w:hAnsi="Times New Roman"/>
          <w:i/>
          <w:sz w:val="24"/>
          <w:szCs w:val="24"/>
        </w:rPr>
        <w:t>, hosszáról, szélességéről és magasságá</w:t>
      </w:r>
      <w:r w:rsidR="00292998">
        <w:rPr>
          <w:rFonts w:ascii="Times New Roman" w:hAnsi="Times New Roman"/>
          <w:i/>
          <w:sz w:val="24"/>
          <w:szCs w:val="24"/>
        </w:rPr>
        <w:t>ról</w:t>
      </w:r>
      <w:r w:rsidRPr="009E217B">
        <w:rPr>
          <w:rFonts w:ascii="Times New Roman" w:hAnsi="Times New Roman"/>
          <w:i/>
          <w:sz w:val="24"/>
          <w:szCs w:val="24"/>
        </w:rPr>
        <w:t xml:space="preserve"> centiméterben,</w:t>
      </w:r>
    </w:p>
    <w:p w:rsidR="007E068B" w:rsidRPr="009E217B" w:rsidRDefault="007E068B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>bd)</w:t>
      </w:r>
      <w:r w:rsidR="007E5B0C" w:rsidRPr="009E217B">
        <w:rPr>
          <w:rFonts w:ascii="Times New Roman" w:hAnsi="Times New Roman"/>
          <w:i/>
          <w:sz w:val="24"/>
          <w:szCs w:val="24"/>
        </w:rPr>
        <w:t xml:space="preserve"> </w:t>
      </w:r>
      <w:r w:rsidR="00C85BD7">
        <w:rPr>
          <w:rFonts w:ascii="Times New Roman" w:hAnsi="Times New Roman"/>
          <w:i/>
          <w:sz w:val="24"/>
          <w:szCs w:val="24"/>
        </w:rPr>
        <w:t xml:space="preserve">az </w:t>
      </w:r>
      <w:r w:rsidRPr="009E217B">
        <w:rPr>
          <w:rFonts w:ascii="Times New Roman" w:hAnsi="Times New Roman"/>
          <w:i/>
          <w:sz w:val="24"/>
          <w:szCs w:val="24"/>
        </w:rPr>
        <w:t>eszköz világítási jellemzői</w:t>
      </w:r>
      <w:r w:rsidR="004C06C0">
        <w:rPr>
          <w:rFonts w:ascii="Times New Roman" w:hAnsi="Times New Roman"/>
          <w:i/>
          <w:sz w:val="24"/>
          <w:szCs w:val="24"/>
        </w:rPr>
        <w:t>ről</w:t>
      </w:r>
      <w:r w:rsidRPr="009E217B">
        <w:rPr>
          <w:rFonts w:ascii="Times New Roman" w:hAnsi="Times New Roman"/>
          <w:i/>
          <w:sz w:val="24"/>
          <w:szCs w:val="24"/>
        </w:rPr>
        <w:t>,</w:t>
      </w:r>
    </w:p>
    <w:p w:rsidR="007E068B" w:rsidRPr="009E217B" w:rsidRDefault="007E5B0C" w:rsidP="007D7FC4">
      <w:pPr>
        <w:spacing w:after="0" w:line="240" w:lineRule="auto"/>
        <w:ind w:left="567" w:firstLine="284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 xml:space="preserve">be) </w:t>
      </w:r>
      <w:r w:rsidR="007E068B" w:rsidRPr="009E217B">
        <w:rPr>
          <w:rFonts w:ascii="Times New Roman" w:hAnsi="Times New Roman"/>
          <w:i/>
          <w:sz w:val="24"/>
          <w:szCs w:val="24"/>
        </w:rPr>
        <w:t>az azonosító jel me</w:t>
      </w:r>
      <w:r w:rsidR="009E217B" w:rsidRPr="009E217B">
        <w:rPr>
          <w:rFonts w:ascii="Times New Roman" w:hAnsi="Times New Roman"/>
          <w:i/>
          <w:sz w:val="24"/>
          <w:szCs w:val="24"/>
        </w:rPr>
        <w:t>gjelenítésének tervezett formájáról és méretéről</w:t>
      </w:r>
      <w:r w:rsidR="007E068B" w:rsidRPr="009E217B">
        <w:rPr>
          <w:rFonts w:ascii="Times New Roman" w:hAnsi="Times New Roman"/>
          <w:i/>
          <w:sz w:val="24"/>
          <w:szCs w:val="24"/>
        </w:rPr>
        <w:t>,</w:t>
      </w:r>
    </w:p>
    <w:p w:rsidR="007E068B" w:rsidRPr="00A743D3" w:rsidRDefault="007E068B" w:rsidP="007D7FC4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743D3">
        <w:rPr>
          <w:rFonts w:ascii="Times New Roman" w:hAnsi="Times New Roman"/>
          <w:i/>
          <w:sz w:val="24"/>
          <w:szCs w:val="24"/>
        </w:rPr>
        <w:t xml:space="preserve">az elhelyezni kért mikromobilitási </w:t>
      </w:r>
      <w:r w:rsidR="004C06C0" w:rsidRPr="00A743D3">
        <w:rPr>
          <w:rFonts w:ascii="Times New Roman" w:hAnsi="Times New Roman"/>
          <w:i/>
          <w:sz w:val="24"/>
          <w:szCs w:val="24"/>
        </w:rPr>
        <w:t>eszközök egyedi azonosítójáról,</w:t>
      </w:r>
    </w:p>
    <w:p w:rsidR="00A743D3" w:rsidRDefault="007E068B" w:rsidP="007D7FC4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9E217B">
        <w:rPr>
          <w:rFonts w:ascii="Times New Roman" w:hAnsi="Times New Roman"/>
          <w:i/>
          <w:sz w:val="24"/>
          <w:szCs w:val="24"/>
        </w:rPr>
        <w:t>a mikromobilitási eszköz üzemeltetése során általa alkalmazott általános szerződési feltételekről és alkalmazott logisz</w:t>
      </w:r>
      <w:r w:rsidR="00A743D3">
        <w:rPr>
          <w:rFonts w:ascii="Times New Roman" w:hAnsi="Times New Roman"/>
          <w:i/>
          <w:sz w:val="24"/>
          <w:szCs w:val="24"/>
        </w:rPr>
        <w:t>tikai, technikai megoldásokról</w:t>
      </w:r>
      <w:r w:rsidRPr="009E217B">
        <w:rPr>
          <w:rFonts w:ascii="Times New Roman" w:hAnsi="Times New Roman"/>
          <w:i/>
          <w:sz w:val="24"/>
          <w:szCs w:val="24"/>
        </w:rPr>
        <w:t>, csatolva az ennek alátámasztására szolgáló adatokat</w:t>
      </w:r>
      <w:r w:rsidR="00A743D3">
        <w:rPr>
          <w:rFonts w:ascii="Times New Roman" w:hAnsi="Times New Roman"/>
          <w:i/>
          <w:sz w:val="24"/>
          <w:szCs w:val="24"/>
        </w:rPr>
        <w:t>,</w:t>
      </w:r>
    </w:p>
    <w:p w:rsidR="007E2DD5" w:rsidRDefault="00A743D3" w:rsidP="000213F9">
      <w:pPr>
        <w:pStyle w:val="Listaszerbekezds"/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e) az általa használt </w:t>
      </w:r>
      <w:r w:rsidRPr="00A743D3">
        <w:rPr>
          <w:rFonts w:ascii="Times New Roman" w:hAnsi="Times New Roman"/>
          <w:i/>
          <w:sz w:val="24"/>
          <w:szCs w:val="24"/>
        </w:rPr>
        <w:t>mikromobilitási eszköz</w:t>
      </w:r>
      <w:r>
        <w:rPr>
          <w:rFonts w:ascii="Times New Roman" w:hAnsi="Times New Roman"/>
          <w:i/>
          <w:sz w:val="24"/>
          <w:szCs w:val="24"/>
        </w:rPr>
        <w:t xml:space="preserve">ök </w:t>
      </w:r>
      <w:r w:rsidRPr="00A743D3">
        <w:rPr>
          <w:rFonts w:ascii="Times New Roman" w:hAnsi="Times New Roman"/>
          <w:i/>
          <w:sz w:val="24"/>
          <w:szCs w:val="24"/>
        </w:rPr>
        <w:t xml:space="preserve">vonatkozó jogszabályok szerint megkövetelt műszaki követelményeknek </w:t>
      </w:r>
      <w:r>
        <w:rPr>
          <w:rFonts w:ascii="Times New Roman" w:hAnsi="Times New Roman"/>
          <w:i/>
          <w:sz w:val="24"/>
          <w:szCs w:val="24"/>
        </w:rPr>
        <w:t>való megfelelőségéről.</w:t>
      </w:r>
      <w:r w:rsidR="00F13AB2">
        <w:rPr>
          <w:rFonts w:ascii="Times New Roman" w:hAnsi="Times New Roman"/>
          <w:i/>
          <w:sz w:val="24"/>
          <w:szCs w:val="24"/>
        </w:rPr>
        <w:t>”</w:t>
      </w:r>
    </w:p>
    <w:p w:rsidR="006E4D9A" w:rsidRDefault="006E4D9A" w:rsidP="007D7FC4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603FF" w:rsidRPr="007603FF" w:rsidRDefault="007603F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7603FF">
        <w:rPr>
          <w:rFonts w:ascii="Times New Roman" w:hAnsi="Times New Roman"/>
          <w:b/>
          <w:i/>
          <w:sz w:val="24"/>
          <w:szCs w:val="24"/>
        </w:rPr>
        <w:lastRenderedPageBreak/>
        <w:t xml:space="preserve">24/C. § </w:t>
      </w:r>
      <w:r w:rsidRPr="007603FF">
        <w:rPr>
          <w:rFonts w:ascii="Times New Roman" w:hAnsi="Times New Roman"/>
          <w:i/>
          <w:sz w:val="24"/>
          <w:szCs w:val="24"/>
        </w:rPr>
        <w:t>(1) A mikromobilitási szolgáltató által a kölcsönzési célú mikromobilitási eszközeinek mikromobilitási pontokon történő elhelyezésével és tárolásával megvalósuló közterület-használatért fizetendő közterület-használati díj megállapítására az e szakaszban foglalt eltérésekkel kerül sor.</w:t>
      </w:r>
    </w:p>
    <w:p w:rsidR="007603FF" w:rsidRPr="007603FF" w:rsidRDefault="007603F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E74F86">
        <w:rPr>
          <w:rFonts w:ascii="Times New Roman" w:hAnsi="Times New Roman"/>
          <w:i/>
          <w:sz w:val="24"/>
          <w:szCs w:val="24"/>
        </w:rPr>
        <w:t xml:space="preserve">(2) A kölcsönzési célú mikromobilitási eszközök mikromobilitási pontokon történő elhelyezése és tárolása után fizetendő közterület-használati díj </w:t>
      </w:r>
      <w:proofErr w:type="gramStart"/>
      <w:r w:rsidRPr="00E74F8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74F86">
        <w:rPr>
          <w:rFonts w:ascii="Times New Roman" w:hAnsi="Times New Roman"/>
          <w:i/>
          <w:sz w:val="24"/>
          <w:szCs w:val="24"/>
        </w:rPr>
        <w:t xml:space="preserve"> </w:t>
      </w:r>
      <w:r w:rsidR="007256A8">
        <w:rPr>
          <w:rFonts w:ascii="Times New Roman" w:hAnsi="Times New Roman"/>
          <w:i/>
          <w:sz w:val="24"/>
          <w:szCs w:val="24"/>
        </w:rPr>
        <w:t>5.</w:t>
      </w:r>
      <w:r w:rsidRPr="00E74F86">
        <w:rPr>
          <w:rFonts w:ascii="Times New Roman" w:hAnsi="Times New Roman"/>
          <w:i/>
          <w:sz w:val="24"/>
          <w:szCs w:val="24"/>
        </w:rPr>
        <w:t xml:space="preserve"> melléklet</w:t>
      </w:r>
      <w:r w:rsidR="00737E0C">
        <w:rPr>
          <w:rFonts w:ascii="Times New Roman" w:hAnsi="Times New Roman"/>
          <w:i/>
          <w:sz w:val="24"/>
          <w:szCs w:val="24"/>
        </w:rPr>
        <w:t>ben</w:t>
      </w:r>
      <w:r w:rsidRPr="00E74F86">
        <w:rPr>
          <w:rFonts w:ascii="Times New Roman" w:hAnsi="Times New Roman"/>
          <w:i/>
          <w:sz w:val="24"/>
          <w:szCs w:val="24"/>
        </w:rPr>
        <w:t xml:space="preserve"> található díjszámítási mód alapján kerül kiszámításra, a mikromobilitási pontok zónák szerinti elhelyezkedésére, a mikromobilitási szolgáltató által az adott zónában kihelyezendő eszközök számára és az eszköz műszaki jellemzőire (az eszköz hajtásához szükséges rásegítés mértékére)</w:t>
      </w:r>
      <w:r w:rsidR="00B178FE">
        <w:rPr>
          <w:rFonts w:ascii="Times New Roman" w:hAnsi="Times New Roman"/>
          <w:i/>
          <w:sz w:val="24"/>
          <w:szCs w:val="24"/>
        </w:rPr>
        <w:t>, a (3) bekezdésben, valamint a 15. §-ban foglaltakra</w:t>
      </w:r>
      <w:r w:rsidRPr="00E74F86">
        <w:rPr>
          <w:rFonts w:ascii="Times New Roman" w:hAnsi="Times New Roman"/>
          <w:i/>
          <w:sz w:val="24"/>
          <w:szCs w:val="24"/>
        </w:rPr>
        <w:t xml:space="preserve"> is figyelemmel.</w:t>
      </w:r>
      <w:r w:rsidRPr="007603FF">
        <w:rPr>
          <w:rFonts w:ascii="Times New Roman" w:hAnsi="Times New Roman"/>
          <w:i/>
          <w:sz w:val="24"/>
          <w:szCs w:val="24"/>
        </w:rPr>
        <w:t xml:space="preserve"> </w:t>
      </w:r>
    </w:p>
    <w:p w:rsidR="007603FF" w:rsidRPr="000213F9" w:rsidRDefault="007603F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213F9">
        <w:rPr>
          <w:rFonts w:ascii="Times New Roman" w:hAnsi="Times New Roman"/>
          <w:i/>
          <w:sz w:val="24"/>
          <w:szCs w:val="24"/>
        </w:rPr>
        <w:t xml:space="preserve">(3) </w:t>
      </w:r>
      <w:r w:rsidR="00B178FE" w:rsidRPr="000213F9">
        <w:rPr>
          <w:rFonts w:ascii="Times New Roman" w:hAnsi="Times New Roman"/>
          <w:i/>
          <w:sz w:val="24"/>
          <w:szCs w:val="24"/>
        </w:rPr>
        <w:t>A közterület-használati</w:t>
      </w:r>
      <w:r w:rsidRPr="000213F9">
        <w:rPr>
          <w:rFonts w:ascii="Times New Roman" w:hAnsi="Times New Roman"/>
          <w:i/>
          <w:sz w:val="24"/>
          <w:szCs w:val="24"/>
        </w:rPr>
        <w:t xml:space="preserve"> díj</w:t>
      </w:r>
    </w:p>
    <w:p w:rsidR="007603FF" w:rsidRPr="000213F9" w:rsidRDefault="007603FF" w:rsidP="000213F9">
      <w:pPr>
        <w:pStyle w:val="Listaszerbekezds"/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0213F9">
        <w:rPr>
          <w:rFonts w:ascii="Times New Roman" w:hAnsi="Times New Roman"/>
          <w:i/>
          <w:sz w:val="24"/>
          <w:szCs w:val="24"/>
        </w:rPr>
        <w:t xml:space="preserve">a) 5%-ával csökkentett díjat kell megfizetni, ha a mikromobilitási szolgáltató a Budapesten belüli logisztikai tevékenységét kizárólag zéró emissziós járművekkel végzi; </w:t>
      </w:r>
    </w:p>
    <w:p w:rsidR="007603FF" w:rsidRPr="000213F9" w:rsidRDefault="007603FF" w:rsidP="000213F9">
      <w:pPr>
        <w:pStyle w:val="Listaszerbekezds"/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0213F9">
        <w:rPr>
          <w:rFonts w:ascii="Times New Roman" w:hAnsi="Times New Roman"/>
          <w:i/>
          <w:sz w:val="24"/>
          <w:szCs w:val="24"/>
        </w:rPr>
        <w:t>b) 5%-ával csökkentett díjat kell megfizetni, ha a mikromobilitási szolgáltató együttműködési megállapodást kötött a kijelölt fővárosi közlekedésszervező által előre közzétett általános feltételek szerint a szolgáltatásnak a fővárosi közösségi közlekedéssel való összehangolás</w:t>
      </w:r>
      <w:r w:rsidR="00473178">
        <w:rPr>
          <w:rFonts w:ascii="Times New Roman" w:hAnsi="Times New Roman"/>
          <w:i/>
          <w:sz w:val="24"/>
          <w:szCs w:val="24"/>
        </w:rPr>
        <w:t>ára</w:t>
      </w:r>
      <w:r w:rsidRPr="000213F9">
        <w:rPr>
          <w:rFonts w:ascii="Times New Roman" w:hAnsi="Times New Roman"/>
          <w:i/>
          <w:sz w:val="24"/>
          <w:szCs w:val="24"/>
        </w:rPr>
        <w:t xml:space="preserve">, ezzel kapcsolatban az általa üzemeltetett eszközök tényleges igénybevételére vonatkozó adatszolgáltatásra vonatkozóan. </w:t>
      </w:r>
    </w:p>
    <w:p w:rsidR="007603FF" w:rsidRPr="00B178FE" w:rsidRDefault="007603FF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B178FE">
        <w:rPr>
          <w:rFonts w:ascii="Times New Roman" w:hAnsi="Times New Roman"/>
          <w:i/>
          <w:sz w:val="24"/>
          <w:szCs w:val="24"/>
        </w:rPr>
        <w:t>(</w:t>
      </w:r>
      <w:r w:rsidR="00B178FE" w:rsidRPr="00B178FE">
        <w:rPr>
          <w:rFonts w:ascii="Times New Roman" w:hAnsi="Times New Roman"/>
          <w:i/>
          <w:sz w:val="24"/>
          <w:szCs w:val="24"/>
        </w:rPr>
        <w:t>4</w:t>
      </w:r>
      <w:r w:rsidRPr="00B178FE">
        <w:rPr>
          <w:rFonts w:ascii="Times New Roman" w:hAnsi="Times New Roman"/>
          <w:i/>
          <w:sz w:val="24"/>
          <w:szCs w:val="24"/>
        </w:rPr>
        <w:t>) Ha a közterület-használattal érintett területen rendelkezésre álló mikromobilitási pontok számának megváltozása miatt az adott területen a mikromobilitási szolgáltató által kihelyezhető mikromobilitási eszközök száma módosult, a mikromobilitási szolgáltató által fizetendő díj arányosan megváltozik</w:t>
      </w:r>
      <w:r w:rsidR="00B178FE" w:rsidRPr="00B178FE">
        <w:rPr>
          <w:rFonts w:ascii="Times New Roman" w:hAnsi="Times New Roman"/>
          <w:i/>
          <w:sz w:val="24"/>
          <w:szCs w:val="24"/>
        </w:rPr>
        <w:t>.</w:t>
      </w:r>
      <w:r w:rsidRPr="00B178FE">
        <w:rPr>
          <w:rFonts w:ascii="Times New Roman" w:hAnsi="Times New Roman"/>
          <w:i/>
          <w:sz w:val="24"/>
          <w:szCs w:val="24"/>
        </w:rPr>
        <w:t>”</w:t>
      </w:r>
    </w:p>
    <w:p w:rsidR="002D0646" w:rsidRDefault="002D0646" w:rsidP="007D7FC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D0646" w:rsidRDefault="002D0646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FD1FE5">
        <w:rPr>
          <w:rFonts w:ascii="Times New Roman" w:hAnsi="Times New Roman"/>
          <w:b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 </w:t>
      </w:r>
      <w:r w:rsidR="00ED783A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A Rendelet 29. §-a a következő (2a)</w:t>
      </w:r>
      <w:r w:rsidR="00F13A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bekezdéssel egészül ki:</w:t>
      </w:r>
    </w:p>
    <w:p w:rsidR="002D0646" w:rsidRPr="002D0646" w:rsidRDefault="002D0646" w:rsidP="007D7FC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A52F8" w:rsidRPr="005A52F8" w:rsidRDefault="00937E8A" w:rsidP="007D7FC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F13AB2" w:rsidRPr="00F13AB2">
        <w:rPr>
          <w:rFonts w:ascii="Times New Roman" w:hAnsi="Times New Roman"/>
          <w:i/>
          <w:sz w:val="24"/>
          <w:szCs w:val="24"/>
        </w:rPr>
        <w:t>(2a</w:t>
      </w:r>
      <w:r w:rsidR="005A52F8" w:rsidRPr="00F13AB2">
        <w:rPr>
          <w:rFonts w:ascii="Times New Roman" w:hAnsi="Times New Roman"/>
          <w:i/>
          <w:sz w:val="24"/>
          <w:szCs w:val="24"/>
        </w:rPr>
        <w:t>)</w:t>
      </w:r>
      <w:r w:rsidR="005A52F8" w:rsidRPr="005A52F8">
        <w:rPr>
          <w:rFonts w:ascii="Times New Roman" w:hAnsi="Times New Roman"/>
          <w:i/>
          <w:sz w:val="24"/>
          <w:szCs w:val="24"/>
        </w:rPr>
        <w:t xml:space="preserve"> Jogellenesen használja a közterületet az a mikromobilitási szolgáltató, </w:t>
      </w:r>
    </w:p>
    <w:p w:rsidR="005A52F8" w:rsidRPr="00DE236A" w:rsidRDefault="005A52F8" w:rsidP="007D7FC4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DE236A">
        <w:rPr>
          <w:rFonts w:ascii="Times New Roman" w:hAnsi="Times New Roman"/>
          <w:i/>
          <w:sz w:val="24"/>
          <w:szCs w:val="24"/>
        </w:rPr>
        <w:t>amelynek a mikromobilitási ponton vagy egyéb közterületen elhelyezett, tárolt kölcsönzési célú mikromobilitási eszköze a vonatkozó jogszabályok szerint megkövetelt műszaki követelményeknek nem felel meg, rendeltetésszerű használatra nem alkalmas;</w:t>
      </w:r>
    </w:p>
    <w:p w:rsidR="005A52F8" w:rsidRPr="00DE236A" w:rsidRDefault="005A52F8" w:rsidP="007D7FC4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 w:rsidRPr="00DE236A">
        <w:rPr>
          <w:rFonts w:ascii="Times New Roman" w:hAnsi="Times New Roman"/>
          <w:i/>
          <w:sz w:val="24"/>
          <w:szCs w:val="24"/>
        </w:rPr>
        <w:t xml:space="preserve">amelynek a kölcsönzési célú mikromobilitási eszköze közterület-használati </w:t>
      </w:r>
      <w:r w:rsidR="00622C9D">
        <w:rPr>
          <w:rFonts w:ascii="Times New Roman" w:hAnsi="Times New Roman"/>
          <w:i/>
          <w:sz w:val="24"/>
          <w:szCs w:val="24"/>
        </w:rPr>
        <w:t>engedélye</w:t>
      </w:r>
      <w:r w:rsidRPr="00DE236A">
        <w:rPr>
          <w:rFonts w:ascii="Times New Roman" w:hAnsi="Times New Roman"/>
          <w:i/>
          <w:sz w:val="24"/>
          <w:szCs w:val="24"/>
        </w:rPr>
        <w:t xml:space="preserve"> nélkül, vagy a közterület-használati </w:t>
      </w:r>
      <w:r w:rsidR="00622C9D">
        <w:rPr>
          <w:rFonts w:ascii="Times New Roman" w:hAnsi="Times New Roman"/>
          <w:i/>
          <w:sz w:val="24"/>
          <w:szCs w:val="24"/>
        </w:rPr>
        <w:t>engedélyben</w:t>
      </w:r>
      <w:r w:rsidRPr="00DE236A">
        <w:rPr>
          <w:rFonts w:ascii="Times New Roman" w:hAnsi="Times New Roman"/>
          <w:i/>
          <w:sz w:val="24"/>
          <w:szCs w:val="24"/>
        </w:rPr>
        <w:t xml:space="preserve"> foglaltaktól eltérően kerül elhelyezésre, tárolásra a </w:t>
      </w:r>
      <w:r w:rsidR="00F13AB2">
        <w:rPr>
          <w:rFonts w:ascii="Times New Roman" w:hAnsi="Times New Roman"/>
          <w:i/>
          <w:sz w:val="24"/>
          <w:szCs w:val="24"/>
        </w:rPr>
        <w:t>mikromobilitási ponton;</w:t>
      </w:r>
    </w:p>
    <w:p w:rsidR="009E217B" w:rsidRPr="000213F9" w:rsidRDefault="00DE236A" w:rsidP="000213F9">
      <w:p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</w:t>
      </w:r>
      <w:r w:rsidR="005A52F8" w:rsidRPr="005A52F8">
        <w:rPr>
          <w:rFonts w:ascii="Times New Roman" w:hAnsi="Times New Roman"/>
          <w:i/>
          <w:sz w:val="24"/>
          <w:szCs w:val="24"/>
        </w:rPr>
        <w:t>amelynek a kölcsönzési célú mikromobilitási eszköze mikromobilitási ponton kívül kerül elhelyezésre, tárolásra a közterületen</w:t>
      </w:r>
      <w:r w:rsidR="005A52F8" w:rsidRPr="000213F9">
        <w:rPr>
          <w:rFonts w:ascii="Times New Roman" w:hAnsi="Times New Roman"/>
          <w:i/>
          <w:sz w:val="24"/>
          <w:szCs w:val="24"/>
        </w:rPr>
        <w:t>.</w:t>
      </w:r>
      <w:r w:rsidR="00180B43" w:rsidRPr="000213F9">
        <w:rPr>
          <w:rFonts w:ascii="Times New Roman" w:hAnsi="Times New Roman"/>
          <w:i/>
          <w:sz w:val="24"/>
          <w:szCs w:val="24"/>
        </w:rPr>
        <w:t>”</w:t>
      </w:r>
    </w:p>
    <w:p w:rsidR="00ED783A" w:rsidRDefault="00ED783A" w:rsidP="007D7FC4">
      <w:pPr>
        <w:spacing w:after="0" w:line="240" w:lineRule="auto"/>
        <w:ind w:left="284" w:firstLine="283"/>
        <w:jc w:val="both"/>
        <w:rPr>
          <w:rFonts w:ascii="Times New Roman" w:hAnsi="Times New Roman"/>
          <w:i/>
          <w:sz w:val="24"/>
          <w:szCs w:val="24"/>
        </w:rPr>
      </w:pPr>
    </w:p>
    <w:p w:rsidR="00ED783A" w:rsidRDefault="00ED783A" w:rsidP="00ED7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 Rendelet 29. §-a a következő (6) bekezdéssel egészül ki:</w:t>
      </w:r>
    </w:p>
    <w:p w:rsidR="00ED783A" w:rsidRDefault="00ED783A" w:rsidP="00ED78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83A" w:rsidRPr="00D43454" w:rsidRDefault="00ED783A" w:rsidP="00ED783A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213F9">
        <w:rPr>
          <w:rFonts w:ascii="Times New Roman" w:hAnsi="Times New Roman"/>
          <w:i/>
          <w:sz w:val="24"/>
          <w:szCs w:val="24"/>
        </w:rPr>
        <w:t xml:space="preserve">„(6) A (2a) bekezdésben meghatározott jogellenes közterület-használat esetén a mikromobilitási szolgáltató a jogellenesen elhelyezett, tárolt mikromobilitási eszközei után a jogellenes használattal érintett napokra </w:t>
      </w:r>
      <w:r w:rsidR="00D43454" w:rsidRPr="000213F9">
        <w:rPr>
          <w:rFonts w:ascii="Times New Roman" w:hAnsi="Times New Roman"/>
          <w:i/>
          <w:sz w:val="24"/>
          <w:szCs w:val="24"/>
        </w:rPr>
        <w:t xml:space="preserve">legfeljebb </w:t>
      </w:r>
      <w:r w:rsidRPr="000213F9">
        <w:rPr>
          <w:rFonts w:ascii="Times New Roman" w:hAnsi="Times New Roman"/>
          <w:i/>
          <w:sz w:val="24"/>
          <w:szCs w:val="24"/>
        </w:rPr>
        <w:t xml:space="preserve">10.000 Ft/eszköz/nap </w:t>
      </w:r>
      <w:r w:rsidR="00D43454" w:rsidRPr="000213F9">
        <w:rPr>
          <w:rFonts w:ascii="Times New Roman" w:hAnsi="Times New Roman"/>
          <w:i/>
          <w:sz w:val="24"/>
          <w:szCs w:val="24"/>
        </w:rPr>
        <w:t>közigazgatási bírságot</w:t>
      </w:r>
      <w:r w:rsidRPr="000213F9">
        <w:rPr>
          <w:rFonts w:ascii="Times New Roman" w:hAnsi="Times New Roman"/>
          <w:i/>
          <w:sz w:val="24"/>
          <w:szCs w:val="24"/>
        </w:rPr>
        <w:t xml:space="preserve"> köteles megfizetni.”</w:t>
      </w:r>
    </w:p>
    <w:p w:rsidR="009E217B" w:rsidRDefault="009E217B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6402" w:rsidRPr="00D27758" w:rsidRDefault="00316402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402">
        <w:rPr>
          <w:rFonts w:ascii="Times New Roman" w:hAnsi="Times New Roman"/>
          <w:b/>
          <w:sz w:val="24"/>
          <w:szCs w:val="24"/>
        </w:rPr>
        <w:t xml:space="preserve">6. § </w:t>
      </w:r>
      <w:r w:rsidR="00F96CD5">
        <w:rPr>
          <w:rFonts w:ascii="Times New Roman" w:hAnsi="Times New Roman"/>
          <w:sz w:val="24"/>
          <w:szCs w:val="24"/>
        </w:rPr>
        <w:t xml:space="preserve">A Rendelet </w:t>
      </w:r>
      <w:r w:rsidR="00922440">
        <w:rPr>
          <w:rFonts w:ascii="Times New Roman" w:hAnsi="Times New Roman"/>
          <w:sz w:val="24"/>
          <w:szCs w:val="24"/>
        </w:rPr>
        <w:t xml:space="preserve">az </w:t>
      </w:r>
      <w:r w:rsidR="00F96CD5">
        <w:rPr>
          <w:rFonts w:ascii="Times New Roman" w:hAnsi="Times New Roman"/>
          <w:sz w:val="24"/>
          <w:szCs w:val="24"/>
        </w:rPr>
        <w:t>1.</w:t>
      </w:r>
      <w:r w:rsidR="003247D6">
        <w:rPr>
          <w:rFonts w:ascii="Times New Roman" w:hAnsi="Times New Roman"/>
          <w:sz w:val="24"/>
          <w:szCs w:val="24"/>
        </w:rPr>
        <w:t xml:space="preserve"> </w:t>
      </w:r>
      <w:r w:rsidR="00F96CD5">
        <w:rPr>
          <w:rFonts w:ascii="Times New Roman" w:hAnsi="Times New Roman"/>
          <w:sz w:val="24"/>
          <w:szCs w:val="24"/>
        </w:rPr>
        <w:t>m</w:t>
      </w:r>
      <w:r w:rsidR="00D27758" w:rsidRPr="00D27758">
        <w:rPr>
          <w:rFonts w:ascii="Times New Roman" w:hAnsi="Times New Roman"/>
          <w:sz w:val="24"/>
          <w:szCs w:val="24"/>
        </w:rPr>
        <w:t>elléklet</w:t>
      </w:r>
      <w:r w:rsidR="003247D6">
        <w:rPr>
          <w:rFonts w:ascii="Times New Roman" w:hAnsi="Times New Roman"/>
          <w:sz w:val="24"/>
          <w:szCs w:val="24"/>
        </w:rPr>
        <w:t xml:space="preserve"> szerinti 5</w:t>
      </w:r>
      <w:r w:rsidR="00D27758" w:rsidRPr="00D27758">
        <w:rPr>
          <w:rFonts w:ascii="Times New Roman" w:hAnsi="Times New Roman"/>
          <w:sz w:val="24"/>
          <w:szCs w:val="24"/>
        </w:rPr>
        <w:t>. melléklet</w:t>
      </w:r>
      <w:r w:rsidR="003247D6">
        <w:rPr>
          <w:rFonts w:ascii="Times New Roman" w:hAnsi="Times New Roman"/>
          <w:sz w:val="24"/>
          <w:szCs w:val="24"/>
        </w:rPr>
        <w:t>tel egészül ki</w:t>
      </w:r>
      <w:r w:rsidR="00D27758" w:rsidRPr="00D27758">
        <w:rPr>
          <w:rFonts w:ascii="Times New Roman" w:hAnsi="Times New Roman"/>
          <w:sz w:val="24"/>
          <w:szCs w:val="24"/>
        </w:rPr>
        <w:t>.</w:t>
      </w:r>
    </w:p>
    <w:p w:rsidR="00316402" w:rsidRPr="00316402" w:rsidRDefault="00316402" w:rsidP="007D7F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2440" w:rsidRDefault="00316402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402">
        <w:rPr>
          <w:rFonts w:ascii="Times New Roman" w:hAnsi="Times New Roman"/>
          <w:b/>
          <w:sz w:val="24"/>
          <w:szCs w:val="24"/>
        </w:rPr>
        <w:t>7</w:t>
      </w:r>
      <w:r w:rsidR="002C6152" w:rsidRPr="00316402">
        <w:rPr>
          <w:rFonts w:ascii="Times New Roman" w:hAnsi="Times New Roman"/>
          <w:b/>
          <w:sz w:val="24"/>
          <w:szCs w:val="24"/>
        </w:rPr>
        <w:t>. §</w:t>
      </w:r>
      <w:r w:rsidR="00CB0813" w:rsidRPr="00CB0813">
        <w:rPr>
          <w:rFonts w:ascii="Times New Roman" w:hAnsi="Times New Roman"/>
          <w:sz w:val="24"/>
          <w:szCs w:val="24"/>
        </w:rPr>
        <w:t xml:space="preserve"> </w:t>
      </w:r>
      <w:r w:rsidR="00532817">
        <w:rPr>
          <w:rFonts w:ascii="Times New Roman" w:hAnsi="Times New Roman"/>
          <w:sz w:val="24"/>
          <w:szCs w:val="24"/>
        </w:rPr>
        <w:t xml:space="preserve">Hatályát veszti a Rendelet </w:t>
      </w:r>
    </w:p>
    <w:p w:rsidR="00922440" w:rsidRDefault="00922440" w:rsidP="0045246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9/A</w:t>
      </w:r>
      <w:r w:rsidR="00452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alcíme,</w:t>
      </w:r>
    </w:p>
    <w:p w:rsidR="007579AE" w:rsidRDefault="00922440" w:rsidP="0045246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532817">
        <w:rPr>
          <w:rFonts w:ascii="Times New Roman" w:hAnsi="Times New Roman"/>
          <w:sz w:val="24"/>
          <w:szCs w:val="24"/>
        </w:rPr>
        <w:t xml:space="preserve">1. </w:t>
      </w:r>
      <w:r w:rsidR="00532817" w:rsidRPr="00532817">
        <w:rPr>
          <w:rFonts w:ascii="Times New Roman" w:hAnsi="Times New Roman"/>
          <w:sz w:val="24"/>
          <w:szCs w:val="24"/>
        </w:rPr>
        <w:t xml:space="preserve">melléklet 1.1. pontjában foglalt táblázat </w:t>
      </w:r>
      <w:r w:rsidR="00532817">
        <w:rPr>
          <w:rFonts w:ascii="Times New Roman" w:hAnsi="Times New Roman"/>
          <w:sz w:val="24"/>
          <w:szCs w:val="24"/>
        </w:rPr>
        <w:t>32. sora.</w:t>
      </w:r>
    </w:p>
    <w:p w:rsidR="00FB3475" w:rsidRDefault="00FB3475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EE1" w:rsidRDefault="00FB3475" w:rsidP="007D7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475">
        <w:rPr>
          <w:rFonts w:ascii="Times New Roman" w:hAnsi="Times New Roman"/>
          <w:b/>
          <w:sz w:val="24"/>
          <w:szCs w:val="24"/>
        </w:rPr>
        <w:lastRenderedPageBreak/>
        <w:t>8. §</w:t>
      </w:r>
      <w:r w:rsidR="007579AE">
        <w:rPr>
          <w:rFonts w:ascii="Times New Roman" w:hAnsi="Times New Roman"/>
          <w:sz w:val="24"/>
          <w:szCs w:val="24"/>
        </w:rPr>
        <w:t xml:space="preserve"> </w:t>
      </w:r>
      <w:r w:rsidR="00A504BB">
        <w:rPr>
          <w:rFonts w:ascii="Times New Roman" w:hAnsi="Times New Roman"/>
          <w:sz w:val="24"/>
          <w:szCs w:val="24"/>
        </w:rPr>
        <w:t>E</w:t>
      </w:r>
      <w:r w:rsidR="00CB0813">
        <w:rPr>
          <w:rFonts w:ascii="Times New Roman" w:hAnsi="Times New Roman"/>
          <w:sz w:val="24"/>
          <w:szCs w:val="24"/>
        </w:rPr>
        <w:t>z a</w:t>
      </w:r>
      <w:r w:rsidR="00A504BB">
        <w:rPr>
          <w:rFonts w:ascii="Times New Roman" w:hAnsi="Times New Roman"/>
          <w:sz w:val="24"/>
          <w:szCs w:val="24"/>
        </w:rPr>
        <w:t xml:space="preserve"> rendelet </w:t>
      </w:r>
      <w:r w:rsidR="000E0B76">
        <w:rPr>
          <w:rFonts w:ascii="Times New Roman" w:hAnsi="Times New Roman"/>
          <w:sz w:val="24"/>
          <w:szCs w:val="24"/>
        </w:rPr>
        <w:t xml:space="preserve">2022. </w:t>
      </w:r>
      <w:r w:rsidR="00260DCE">
        <w:rPr>
          <w:rFonts w:ascii="Times New Roman" w:hAnsi="Times New Roman"/>
          <w:sz w:val="24"/>
          <w:szCs w:val="24"/>
        </w:rPr>
        <w:t>május 1</w:t>
      </w:r>
      <w:r w:rsidR="000E0B76">
        <w:rPr>
          <w:rFonts w:ascii="Times New Roman" w:hAnsi="Times New Roman"/>
          <w:sz w:val="24"/>
          <w:szCs w:val="24"/>
        </w:rPr>
        <w:t>. napján</w:t>
      </w:r>
      <w:r w:rsidR="00A504BB" w:rsidRPr="00A504BB">
        <w:rPr>
          <w:rFonts w:ascii="Times New Roman" w:hAnsi="Times New Roman"/>
          <w:sz w:val="24"/>
          <w:szCs w:val="24"/>
        </w:rPr>
        <w:t xml:space="preserve"> lép hatályba, és a hatályba lépését követő napon hatályát veszti.</w:t>
      </w:r>
    </w:p>
    <w:p w:rsidR="0034410A" w:rsidRDefault="0034410A" w:rsidP="007D7F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Default="009C6ACE" w:rsidP="007D7F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EE6" w:rsidRDefault="00EA5EE6" w:rsidP="007D7F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Pr="009C6ACE" w:rsidRDefault="007D7FC4" w:rsidP="007D7FC4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Tóth László</w:t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</w:r>
      <w:r w:rsidR="009C6ACE" w:rsidRPr="009C6ACE">
        <w:rPr>
          <w:rFonts w:ascii="Times New Roman" w:hAnsi="Times New Roman"/>
          <w:b/>
          <w:bCs/>
          <w:sz w:val="24"/>
          <w:szCs w:val="24"/>
        </w:rPr>
        <w:tab/>
        <w:t xml:space="preserve"> Niedermüller Péter</w:t>
      </w:r>
    </w:p>
    <w:p w:rsidR="009C6ACE" w:rsidRDefault="009C6ACE" w:rsidP="007D7FC4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  <w:r w:rsidRPr="009C6ACE">
        <w:rPr>
          <w:rFonts w:ascii="Times New Roman" w:hAnsi="Times New Roman"/>
          <w:b/>
          <w:sz w:val="24"/>
          <w:szCs w:val="24"/>
        </w:rPr>
        <w:t xml:space="preserve">         jegyző</w:t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</w:r>
      <w:r w:rsidRPr="009C6ACE">
        <w:rPr>
          <w:rFonts w:ascii="Times New Roman" w:hAnsi="Times New Roman"/>
          <w:b/>
          <w:sz w:val="24"/>
          <w:szCs w:val="24"/>
        </w:rPr>
        <w:tab/>
        <w:t xml:space="preserve">      polgármester</w:t>
      </w:r>
    </w:p>
    <w:p w:rsidR="0043300C" w:rsidRDefault="0043300C" w:rsidP="007D7FC4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678FE" w:rsidRPr="009C6ACE" w:rsidRDefault="00E678FE" w:rsidP="007D7FC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Záradék</w:t>
      </w:r>
    </w:p>
    <w:p w:rsidR="00E678FE" w:rsidRDefault="00E678FE" w:rsidP="007D7FC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678FE" w:rsidRPr="009C6ACE" w:rsidRDefault="00E678FE" w:rsidP="007D7FC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kihirdetése </w:t>
      </w:r>
      <w:r w:rsidR="000E0B76">
        <w:rPr>
          <w:rFonts w:ascii="Times New Roman" w:eastAsia="Calibri" w:hAnsi="Times New Roman"/>
          <w:sz w:val="24"/>
          <w:szCs w:val="24"/>
        </w:rPr>
        <w:t>2022</w:t>
      </w:r>
      <w:r w:rsidR="009E217B">
        <w:rPr>
          <w:rFonts w:ascii="Times New Roman" w:eastAsia="Calibri" w:hAnsi="Times New Roman"/>
          <w:sz w:val="24"/>
          <w:szCs w:val="24"/>
        </w:rPr>
        <w:t>….</w:t>
      </w:r>
      <w:r w:rsidRPr="009C6ACE">
        <w:rPr>
          <w:rFonts w:ascii="Times New Roman" w:eastAsia="Calibri" w:hAnsi="Times New Roman"/>
          <w:sz w:val="24"/>
          <w:szCs w:val="24"/>
        </w:rPr>
        <w:t>………. napján a Szervezeti és Működési Szabályzat szerint a Polgármesteri Hivatal hirdetőtábláján megtörtént.</w:t>
      </w:r>
    </w:p>
    <w:p w:rsidR="00E678FE" w:rsidRPr="009C6ACE" w:rsidRDefault="00E678FE" w:rsidP="007D7FC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6ACE"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9C6ACE">
          <w:rPr>
            <w:rFonts w:ascii="Times New Roman" w:eastAsia="Calibri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9C6ACE">
        <w:rPr>
          <w:rFonts w:ascii="Times New Roman" w:eastAsia="Calibri" w:hAnsi="Times New Roman"/>
          <w:sz w:val="24"/>
          <w:szCs w:val="24"/>
        </w:rPr>
        <w:t xml:space="preserve"> honlap szerkesztője részére.</w:t>
      </w:r>
    </w:p>
    <w:p w:rsidR="00E678FE" w:rsidRDefault="00E678FE" w:rsidP="007D7FC4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E678FE" w:rsidP="007D7FC4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E678FE" w:rsidRPr="009C6ACE" w:rsidRDefault="007D7FC4" w:rsidP="007D7FC4">
      <w:pPr>
        <w:spacing w:after="0" w:line="240" w:lineRule="auto"/>
        <w:ind w:left="4536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Tóth László</w:t>
      </w:r>
    </w:p>
    <w:p w:rsidR="00E678FE" w:rsidRDefault="00E678FE" w:rsidP="007D7FC4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C6ACE">
        <w:rPr>
          <w:rFonts w:ascii="Times New Roman" w:eastAsia="Calibri" w:hAnsi="Times New Roman"/>
          <w:b/>
          <w:sz w:val="24"/>
          <w:szCs w:val="24"/>
        </w:rPr>
        <w:t>jegyző</w:t>
      </w:r>
    </w:p>
    <w:p w:rsidR="00E678FE" w:rsidRPr="00467616" w:rsidRDefault="00665A49" w:rsidP="007D7F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br w:type="page"/>
      </w:r>
      <w:r w:rsidR="00E678FE" w:rsidRPr="00467616">
        <w:rPr>
          <w:rFonts w:ascii="Times New Roman" w:hAnsi="Times New Roman"/>
          <w:b/>
          <w:color w:val="262626"/>
          <w:sz w:val="24"/>
          <w:szCs w:val="24"/>
        </w:rPr>
        <w:lastRenderedPageBreak/>
        <w:t>Általános indokolás</w:t>
      </w:r>
    </w:p>
    <w:p w:rsidR="00E678FE" w:rsidRDefault="00E678FE" w:rsidP="007D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8B12FB" w:rsidRDefault="000178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7847">
        <w:rPr>
          <w:rFonts w:ascii="Times New Roman" w:hAnsi="Times New Roman"/>
          <w:sz w:val="24"/>
          <w:szCs w:val="24"/>
        </w:rPr>
        <w:t>A</w:t>
      </w:r>
      <w:r w:rsidR="008B12FB">
        <w:rPr>
          <w:rFonts w:ascii="Times New Roman" w:hAnsi="Times New Roman"/>
          <w:sz w:val="24"/>
          <w:szCs w:val="24"/>
        </w:rPr>
        <w:t xml:space="preserve"> jelenlegi</w:t>
      </w:r>
      <w:r w:rsidRPr="00017847">
        <w:rPr>
          <w:rFonts w:ascii="Times New Roman" w:hAnsi="Times New Roman"/>
          <w:sz w:val="24"/>
          <w:szCs w:val="24"/>
        </w:rPr>
        <w:t xml:space="preserve"> helyi szabályozástól függetlenül a mikromobilitási eszközök megléte, és használatuk rohamos terjedése szükségessé tette a főváros egész területére kiterjedő, összehangolt rendszer kiépítését, amelynek részeként egyrészt az önkormányzat által kialakításra kerültek a Belső-Erzsébetváros területén megfelelő, az eszközöket használók számára is jól követhető, valamint a jogszabályi rendelkezések betarthatóságát is segítő mikromobilitási pontok</w:t>
      </w:r>
      <w:r w:rsidR="008B12FB">
        <w:rPr>
          <w:rFonts w:ascii="Times New Roman" w:hAnsi="Times New Roman"/>
          <w:sz w:val="24"/>
          <w:szCs w:val="24"/>
        </w:rPr>
        <w:t xml:space="preserve">. </w:t>
      </w:r>
      <w:r w:rsidR="008B12FB" w:rsidRPr="00EA2C6F">
        <w:rPr>
          <w:rFonts w:ascii="Times New Roman" w:hAnsi="Times New Roman"/>
          <w:bCs/>
          <w:sz w:val="24"/>
          <w:szCs w:val="24"/>
        </w:rPr>
        <w:t>A jelen rendelet-módosítás célja a megosztott mikromobilitási eszközök jelenleginél is rendez</w:t>
      </w:r>
      <w:r w:rsidR="008B12FB">
        <w:rPr>
          <w:rFonts w:ascii="Times New Roman" w:hAnsi="Times New Roman"/>
          <w:bCs/>
          <w:sz w:val="24"/>
          <w:szCs w:val="24"/>
        </w:rPr>
        <w:t>e</w:t>
      </w:r>
      <w:r w:rsidR="008B12FB" w:rsidRPr="00EA2C6F">
        <w:rPr>
          <w:rFonts w:ascii="Times New Roman" w:hAnsi="Times New Roman"/>
          <w:bCs/>
          <w:sz w:val="24"/>
          <w:szCs w:val="24"/>
        </w:rPr>
        <w:t>tt</w:t>
      </w:r>
      <w:r w:rsidR="008B12FB">
        <w:rPr>
          <w:rFonts w:ascii="Times New Roman" w:hAnsi="Times New Roman"/>
          <w:bCs/>
          <w:sz w:val="24"/>
          <w:szCs w:val="24"/>
        </w:rPr>
        <w:t>ebb</w:t>
      </w:r>
      <w:r w:rsidR="008B12FB" w:rsidRPr="00EA2C6F">
        <w:rPr>
          <w:rFonts w:ascii="Times New Roman" w:hAnsi="Times New Roman"/>
          <w:bCs/>
          <w:sz w:val="24"/>
          <w:szCs w:val="24"/>
        </w:rPr>
        <w:t xml:space="preserve"> módon történő elhelyezésének elősegítése, a szolgáltatók</w:t>
      </w:r>
      <w:r w:rsidR="008B12FB">
        <w:rPr>
          <w:rFonts w:ascii="Times New Roman" w:hAnsi="Times New Roman"/>
          <w:bCs/>
          <w:sz w:val="24"/>
          <w:szCs w:val="24"/>
        </w:rPr>
        <w:t>kal</w:t>
      </w:r>
      <w:r w:rsidR="008B12FB" w:rsidRPr="00EA2C6F">
        <w:rPr>
          <w:rFonts w:ascii="Times New Roman" w:hAnsi="Times New Roman"/>
          <w:bCs/>
          <w:sz w:val="24"/>
          <w:szCs w:val="24"/>
        </w:rPr>
        <w:t xml:space="preserve"> való szorosabb együttműködés kialakítása, valamint</w:t>
      </w:r>
      <w:r w:rsidR="008B12FB">
        <w:rPr>
          <w:rFonts w:ascii="Times New Roman" w:hAnsi="Times New Roman"/>
          <w:bCs/>
          <w:sz w:val="24"/>
          <w:szCs w:val="24"/>
        </w:rPr>
        <w:t xml:space="preserve"> a kapcsolódó eszközök egy, az önkormányzat által elfogadott területre való terelése, illetve a szolgáltatók erre</w:t>
      </w:r>
      <w:r w:rsidR="00452461">
        <w:rPr>
          <w:rFonts w:ascii="Times New Roman" w:hAnsi="Times New Roman"/>
          <w:bCs/>
          <w:sz w:val="24"/>
          <w:szCs w:val="24"/>
        </w:rPr>
        <w:t xml:space="preserve"> való egységes törekvésének moti</w:t>
      </w:r>
      <w:r w:rsidR="008B12FB">
        <w:rPr>
          <w:rFonts w:ascii="Times New Roman" w:hAnsi="Times New Roman"/>
          <w:bCs/>
          <w:sz w:val="24"/>
          <w:szCs w:val="24"/>
        </w:rPr>
        <w:t>válása.</w:t>
      </w:r>
    </w:p>
    <w:p w:rsidR="00017847" w:rsidRDefault="00017847" w:rsidP="007D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12FB" w:rsidRDefault="008B12FB" w:rsidP="007D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78FE" w:rsidRPr="00467616" w:rsidRDefault="00E678FE" w:rsidP="007D7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616">
        <w:rPr>
          <w:rFonts w:ascii="Times New Roman" w:hAnsi="Times New Roman"/>
          <w:b/>
          <w:sz w:val="24"/>
          <w:szCs w:val="24"/>
        </w:rPr>
        <w:t>Részletes indokolás</w:t>
      </w:r>
    </w:p>
    <w:p w:rsidR="00E678FE" w:rsidRDefault="00E678FE" w:rsidP="007D7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0971" w:rsidRDefault="00650971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§ </w:t>
      </w:r>
      <w:r w:rsidRPr="00650971">
        <w:rPr>
          <w:rFonts w:ascii="Times New Roman" w:hAnsi="Times New Roman"/>
          <w:sz w:val="24"/>
          <w:szCs w:val="24"/>
        </w:rPr>
        <w:t>A mikromobilitási eszközö</w:t>
      </w:r>
      <w:r>
        <w:rPr>
          <w:rFonts w:ascii="Times New Roman" w:hAnsi="Times New Roman"/>
          <w:sz w:val="24"/>
          <w:szCs w:val="24"/>
        </w:rPr>
        <w:t xml:space="preserve">k </w:t>
      </w:r>
      <w:r w:rsidR="008C4B9F">
        <w:rPr>
          <w:rFonts w:ascii="Times New Roman" w:hAnsi="Times New Roman"/>
          <w:sz w:val="24"/>
          <w:szCs w:val="24"/>
        </w:rPr>
        <w:t>kölcsönzésével</w:t>
      </w:r>
      <w:r>
        <w:rPr>
          <w:rFonts w:ascii="Times New Roman" w:hAnsi="Times New Roman"/>
          <w:sz w:val="24"/>
          <w:szCs w:val="24"/>
        </w:rPr>
        <w:t xml:space="preserve">, </w:t>
      </w:r>
      <w:r w:rsidR="008C4B9F">
        <w:rPr>
          <w:rFonts w:ascii="Times New Roman" w:hAnsi="Times New Roman"/>
          <w:sz w:val="24"/>
          <w:szCs w:val="24"/>
        </w:rPr>
        <w:t>tárolásával összefüggésben bevezetett új fogalmak meghatározása.</w:t>
      </w: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§</w:t>
      </w:r>
      <w:r w:rsidR="00500890">
        <w:rPr>
          <w:rFonts w:ascii="Times New Roman" w:hAnsi="Times New Roman"/>
          <w:sz w:val="24"/>
          <w:szCs w:val="24"/>
        </w:rPr>
        <w:t xml:space="preserve"> A mikromobilitási eszközök közterület-használatára vonatkozó engedély beszerzésének előírása.</w:t>
      </w: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</w:t>
      </w:r>
      <w:r w:rsidR="00500890">
        <w:rPr>
          <w:rFonts w:ascii="Times New Roman" w:hAnsi="Times New Roman"/>
          <w:sz w:val="24"/>
          <w:szCs w:val="24"/>
        </w:rPr>
        <w:t xml:space="preserve"> A rendelet jelen módosításával összefüggő technikai, kizárólag a szakaszok számozását érintő módosítás.</w:t>
      </w: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§</w:t>
      </w:r>
      <w:r w:rsidR="00500890">
        <w:rPr>
          <w:rFonts w:ascii="Times New Roman" w:hAnsi="Times New Roman"/>
          <w:sz w:val="24"/>
          <w:szCs w:val="24"/>
        </w:rPr>
        <w:t xml:space="preserve"> </w:t>
      </w:r>
      <w:r w:rsidR="00D567FC">
        <w:rPr>
          <w:rFonts w:ascii="Times New Roman" w:hAnsi="Times New Roman"/>
          <w:sz w:val="24"/>
          <w:szCs w:val="24"/>
        </w:rPr>
        <w:t>A mikromobilitási eszközök közterületen történő elhelyezésével összefüggő részletszabályok meghatározatása.</w:t>
      </w: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§</w:t>
      </w:r>
      <w:r w:rsidR="00500890">
        <w:rPr>
          <w:rFonts w:ascii="Times New Roman" w:hAnsi="Times New Roman"/>
          <w:sz w:val="24"/>
          <w:szCs w:val="24"/>
        </w:rPr>
        <w:t xml:space="preserve"> A mikromobilitási eszközök jogellenes közterület-használatának, valamint ezzel összefüggő eljárási kérdés meghatározása.</w:t>
      </w:r>
    </w:p>
    <w:p w:rsidR="008C4B9F" w:rsidRDefault="008C4B9F" w:rsidP="007D7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8FE" w:rsidRDefault="00FA6E7B" w:rsidP="00FB34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§ A mikromobilitási eszközök </w:t>
      </w:r>
      <w:r w:rsidR="008C4B9F">
        <w:rPr>
          <w:rFonts w:ascii="Times New Roman" w:hAnsi="Times New Roman"/>
          <w:sz w:val="24"/>
          <w:szCs w:val="24"/>
        </w:rPr>
        <w:t>kölcsönzésére</w:t>
      </w:r>
      <w:r>
        <w:rPr>
          <w:rFonts w:ascii="Times New Roman" w:hAnsi="Times New Roman"/>
          <w:sz w:val="24"/>
          <w:szCs w:val="24"/>
        </w:rPr>
        <w:t>, tárolására vonatkozó közterület-használati díj számítását tartalmazó rendelkezés</w:t>
      </w:r>
      <w:r w:rsidR="002E134C">
        <w:rPr>
          <w:rFonts w:ascii="Times New Roman" w:hAnsi="Times New Roman"/>
          <w:sz w:val="24"/>
          <w:szCs w:val="24"/>
        </w:rPr>
        <w:t>, a rendelet új mellékleteként.</w:t>
      </w:r>
    </w:p>
    <w:p w:rsidR="00FA6E7B" w:rsidRDefault="00FA6E7B" w:rsidP="007D7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475" w:rsidRDefault="00FB3475" w:rsidP="00FB34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§</w:t>
      </w:r>
      <w:r w:rsidRPr="00FB3475">
        <w:rPr>
          <w:rFonts w:ascii="Times New Roman" w:hAnsi="Times New Roman"/>
          <w:sz w:val="24"/>
          <w:szCs w:val="24"/>
        </w:rPr>
        <w:t xml:space="preserve"> </w:t>
      </w:r>
      <w:r w:rsidR="002E134C">
        <w:rPr>
          <w:rFonts w:ascii="Times New Roman" w:hAnsi="Times New Roman"/>
          <w:sz w:val="24"/>
          <w:szCs w:val="24"/>
        </w:rPr>
        <w:t xml:space="preserve">Hatályon kívül helyező rendelkezések. </w:t>
      </w:r>
      <w:r>
        <w:rPr>
          <w:rFonts w:ascii="Times New Roman" w:hAnsi="Times New Roman"/>
          <w:sz w:val="24"/>
          <w:szCs w:val="24"/>
        </w:rPr>
        <w:t>A mikromobilitási eszközök kölcsönzésére, tárolására vonatkozó közterület-használati díj számításával összefüggő, korábbi díj hatályon kívül helyezéséről való rendelkezés</w:t>
      </w:r>
      <w:r w:rsidR="002B48F5">
        <w:rPr>
          <w:rFonts w:ascii="Times New Roman" w:hAnsi="Times New Roman"/>
          <w:sz w:val="24"/>
          <w:szCs w:val="24"/>
        </w:rPr>
        <w:t>.</w:t>
      </w:r>
    </w:p>
    <w:p w:rsidR="00FB3475" w:rsidRDefault="00FB3475" w:rsidP="007D7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D9D" w:rsidRPr="00B85292" w:rsidRDefault="00FB3475" w:rsidP="00B852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678FE">
        <w:rPr>
          <w:rFonts w:ascii="Times New Roman" w:hAnsi="Times New Roman"/>
          <w:sz w:val="24"/>
          <w:szCs w:val="24"/>
        </w:rPr>
        <w:t>.</w:t>
      </w:r>
      <w:r w:rsidR="00E678FE" w:rsidRPr="00467616">
        <w:rPr>
          <w:rFonts w:ascii="Times New Roman" w:hAnsi="Times New Roman"/>
          <w:sz w:val="24"/>
          <w:szCs w:val="24"/>
        </w:rPr>
        <w:t xml:space="preserve"> § </w:t>
      </w:r>
      <w:r w:rsidR="00BB37BF">
        <w:rPr>
          <w:rFonts w:ascii="Times New Roman" w:hAnsi="Times New Roman"/>
          <w:sz w:val="24"/>
          <w:szCs w:val="24"/>
        </w:rPr>
        <w:t>Hatályba léptető, és hatályvesztő rendelkezés</w:t>
      </w:r>
      <w:r w:rsidR="00E678FE" w:rsidRPr="00467616">
        <w:rPr>
          <w:rFonts w:ascii="Times New Roman" w:hAnsi="Times New Roman"/>
          <w:sz w:val="24"/>
          <w:szCs w:val="24"/>
        </w:rPr>
        <w:t>.</w:t>
      </w:r>
    </w:p>
    <w:sectPr w:rsidR="006C7D9D" w:rsidRPr="00B85292" w:rsidSect="00FA3D6D">
      <w:footerReference w:type="default" r:id="rId9"/>
      <w:pgSz w:w="12240" w:h="15840"/>
      <w:pgMar w:top="1135" w:right="1418" w:bottom="1134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22E" w:rsidRDefault="0022622E">
      <w:pPr>
        <w:spacing w:after="0" w:line="240" w:lineRule="auto"/>
      </w:pPr>
      <w:r>
        <w:separator/>
      </w:r>
    </w:p>
  </w:endnote>
  <w:endnote w:type="continuationSeparator" w:id="0">
    <w:p w:rsidR="0022622E" w:rsidRDefault="0022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05A15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2262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22E" w:rsidRDefault="0022622E">
      <w:pPr>
        <w:spacing w:after="0" w:line="240" w:lineRule="auto"/>
      </w:pPr>
      <w:r>
        <w:separator/>
      </w:r>
    </w:p>
  </w:footnote>
  <w:footnote w:type="continuationSeparator" w:id="0">
    <w:p w:rsidR="0022622E" w:rsidRDefault="00226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008F"/>
    <w:multiLevelType w:val="hybridMultilevel"/>
    <w:tmpl w:val="1E340F18"/>
    <w:lvl w:ilvl="0" w:tplc="3B5C8D5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96F50"/>
    <w:multiLevelType w:val="hybridMultilevel"/>
    <w:tmpl w:val="85BA939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F2F74"/>
    <w:multiLevelType w:val="hybridMultilevel"/>
    <w:tmpl w:val="09742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953C9"/>
    <w:multiLevelType w:val="hybridMultilevel"/>
    <w:tmpl w:val="6222451A"/>
    <w:lvl w:ilvl="0" w:tplc="3AA062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E6566"/>
    <w:multiLevelType w:val="hybridMultilevel"/>
    <w:tmpl w:val="5260A1B8"/>
    <w:lvl w:ilvl="0" w:tplc="96165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B2A74"/>
    <w:multiLevelType w:val="hybridMultilevel"/>
    <w:tmpl w:val="D5F6E4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8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16"/>
  </w:num>
  <w:num w:numId="13">
    <w:abstractNumId w:val="11"/>
  </w:num>
  <w:num w:numId="14">
    <w:abstractNumId w:val="0"/>
  </w:num>
  <w:num w:numId="15">
    <w:abstractNumId w:val="19"/>
  </w:num>
  <w:num w:numId="16">
    <w:abstractNumId w:val="15"/>
  </w:num>
  <w:num w:numId="17">
    <w:abstractNumId w:val="14"/>
  </w:num>
  <w:num w:numId="18">
    <w:abstractNumId w:val="9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05A15"/>
    <w:rsid w:val="00013E37"/>
    <w:rsid w:val="0001548C"/>
    <w:rsid w:val="00017847"/>
    <w:rsid w:val="000213F9"/>
    <w:rsid w:val="00031C93"/>
    <w:rsid w:val="00033342"/>
    <w:rsid w:val="000443CD"/>
    <w:rsid w:val="00052067"/>
    <w:rsid w:val="00053060"/>
    <w:rsid w:val="0005419D"/>
    <w:rsid w:val="000573BD"/>
    <w:rsid w:val="000644DB"/>
    <w:rsid w:val="00071343"/>
    <w:rsid w:val="00072CBF"/>
    <w:rsid w:val="00092BEF"/>
    <w:rsid w:val="000B3C35"/>
    <w:rsid w:val="000D08D5"/>
    <w:rsid w:val="000D1B81"/>
    <w:rsid w:val="000D3E78"/>
    <w:rsid w:val="000E0B76"/>
    <w:rsid w:val="000E0E0C"/>
    <w:rsid w:val="000E5A58"/>
    <w:rsid w:val="001026D4"/>
    <w:rsid w:val="00117DC6"/>
    <w:rsid w:val="001254EF"/>
    <w:rsid w:val="0013086E"/>
    <w:rsid w:val="00142822"/>
    <w:rsid w:val="00180B43"/>
    <w:rsid w:val="001836D9"/>
    <w:rsid w:val="001967C2"/>
    <w:rsid w:val="001B15B3"/>
    <w:rsid w:val="001B4B4E"/>
    <w:rsid w:val="001C05F6"/>
    <w:rsid w:val="001C356B"/>
    <w:rsid w:val="001D30E7"/>
    <w:rsid w:val="001E3E3F"/>
    <w:rsid w:val="00206198"/>
    <w:rsid w:val="0022378F"/>
    <w:rsid w:val="00225C76"/>
    <w:rsid w:val="0022622E"/>
    <w:rsid w:val="0025135F"/>
    <w:rsid w:val="002571F5"/>
    <w:rsid w:val="00260DCE"/>
    <w:rsid w:val="00272973"/>
    <w:rsid w:val="002865C1"/>
    <w:rsid w:val="00292998"/>
    <w:rsid w:val="002B48F5"/>
    <w:rsid w:val="002C6152"/>
    <w:rsid w:val="002D0646"/>
    <w:rsid w:val="002D14AE"/>
    <w:rsid w:val="002E134C"/>
    <w:rsid w:val="002E471B"/>
    <w:rsid w:val="00300E74"/>
    <w:rsid w:val="00315529"/>
    <w:rsid w:val="00316402"/>
    <w:rsid w:val="003247D6"/>
    <w:rsid w:val="0034410A"/>
    <w:rsid w:val="00357086"/>
    <w:rsid w:val="003600D8"/>
    <w:rsid w:val="00372851"/>
    <w:rsid w:val="00385C8A"/>
    <w:rsid w:val="003929FB"/>
    <w:rsid w:val="00394391"/>
    <w:rsid w:val="003B2492"/>
    <w:rsid w:val="003C6671"/>
    <w:rsid w:val="003C7C4C"/>
    <w:rsid w:val="003E45BB"/>
    <w:rsid w:val="00422C25"/>
    <w:rsid w:val="00424AA5"/>
    <w:rsid w:val="0043300C"/>
    <w:rsid w:val="00437255"/>
    <w:rsid w:val="00441641"/>
    <w:rsid w:val="00441664"/>
    <w:rsid w:val="004511DC"/>
    <w:rsid w:val="00452461"/>
    <w:rsid w:val="00454D6E"/>
    <w:rsid w:val="00467616"/>
    <w:rsid w:val="004678ED"/>
    <w:rsid w:val="00473178"/>
    <w:rsid w:val="004C06C0"/>
    <w:rsid w:val="004C7A83"/>
    <w:rsid w:val="004D1ED8"/>
    <w:rsid w:val="004E27C6"/>
    <w:rsid w:val="004E2A27"/>
    <w:rsid w:val="004F2BE4"/>
    <w:rsid w:val="004F78A4"/>
    <w:rsid w:val="00500890"/>
    <w:rsid w:val="00505D5D"/>
    <w:rsid w:val="00514667"/>
    <w:rsid w:val="00532817"/>
    <w:rsid w:val="005328CD"/>
    <w:rsid w:val="005423BC"/>
    <w:rsid w:val="00566769"/>
    <w:rsid w:val="0057448D"/>
    <w:rsid w:val="00581D66"/>
    <w:rsid w:val="00586412"/>
    <w:rsid w:val="005A52F8"/>
    <w:rsid w:val="005A590A"/>
    <w:rsid w:val="005C6409"/>
    <w:rsid w:val="005C6598"/>
    <w:rsid w:val="005D2253"/>
    <w:rsid w:val="005F1BD8"/>
    <w:rsid w:val="0060364F"/>
    <w:rsid w:val="006046CB"/>
    <w:rsid w:val="00620569"/>
    <w:rsid w:val="00622C9D"/>
    <w:rsid w:val="006430AF"/>
    <w:rsid w:val="00643C3A"/>
    <w:rsid w:val="00643EE9"/>
    <w:rsid w:val="00645940"/>
    <w:rsid w:val="006462B6"/>
    <w:rsid w:val="00650465"/>
    <w:rsid w:val="00650971"/>
    <w:rsid w:val="00665A49"/>
    <w:rsid w:val="00674797"/>
    <w:rsid w:val="0067798E"/>
    <w:rsid w:val="00677F9F"/>
    <w:rsid w:val="006A395B"/>
    <w:rsid w:val="006B5432"/>
    <w:rsid w:val="006C770D"/>
    <w:rsid w:val="006C7D9D"/>
    <w:rsid w:val="006D61DD"/>
    <w:rsid w:val="006E4D9A"/>
    <w:rsid w:val="006F1F36"/>
    <w:rsid w:val="00704A8D"/>
    <w:rsid w:val="007208E4"/>
    <w:rsid w:val="007256A8"/>
    <w:rsid w:val="00737E0C"/>
    <w:rsid w:val="00740DD6"/>
    <w:rsid w:val="007425FE"/>
    <w:rsid w:val="007569D5"/>
    <w:rsid w:val="007579AE"/>
    <w:rsid w:val="007603FF"/>
    <w:rsid w:val="00765080"/>
    <w:rsid w:val="007661C9"/>
    <w:rsid w:val="007674ED"/>
    <w:rsid w:val="0077327E"/>
    <w:rsid w:val="00774F01"/>
    <w:rsid w:val="00784D40"/>
    <w:rsid w:val="00787750"/>
    <w:rsid w:val="00796337"/>
    <w:rsid w:val="0079682B"/>
    <w:rsid w:val="007C7D97"/>
    <w:rsid w:val="007D4B39"/>
    <w:rsid w:val="007D7FC4"/>
    <w:rsid w:val="007E068B"/>
    <w:rsid w:val="007E0D61"/>
    <w:rsid w:val="007E2DD5"/>
    <w:rsid w:val="007E5B0C"/>
    <w:rsid w:val="007E7CA5"/>
    <w:rsid w:val="00831E4F"/>
    <w:rsid w:val="00851E75"/>
    <w:rsid w:val="0085499D"/>
    <w:rsid w:val="00873151"/>
    <w:rsid w:val="00880796"/>
    <w:rsid w:val="0089168E"/>
    <w:rsid w:val="008A051E"/>
    <w:rsid w:val="008A232F"/>
    <w:rsid w:val="008B12FB"/>
    <w:rsid w:val="008B55A9"/>
    <w:rsid w:val="008B6184"/>
    <w:rsid w:val="008C4B9F"/>
    <w:rsid w:val="008D1726"/>
    <w:rsid w:val="008E181A"/>
    <w:rsid w:val="00922440"/>
    <w:rsid w:val="00926F62"/>
    <w:rsid w:val="00937E8A"/>
    <w:rsid w:val="00941D1F"/>
    <w:rsid w:val="009442F4"/>
    <w:rsid w:val="00966CCD"/>
    <w:rsid w:val="0097187E"/>
    <w:rsid w:val="00976128"/>
    <w:rsid w:val="009876D1"/>
    <w:rsid w:val="009A1924"/>
    <w:rsid w:val="009B0CD1"/>
    <w:rsid w:val="009C56BD"/>
    <w:rsid w:val="009C6ACE"/>
    <w:rsid w:val="009E217B"/>
    <w:rsid w:val="009E515D"/>
    <w:rsid w:val="009F30AB"/>
    <w:rsid w:val="009F32EF"/>
    <w:rsid w:val="009F57AB"/>
    <w:rsid w:val="009F7715"/>
    <w:rsid w:val="00A27047"/>
    <w:rsid w:val="00A33EF0"/>
    <w:rsid w:val="00A504BB"/>
    <w:rsid w:val="00A55C69"/>
    <w:rsid w:val="00A63F22"/>
    <w:rsid w:val="00A743D3"/>
    <w:rsid w:val="00A777D2"/>
    <w:rsid w:val="00A877D8"/>
    <w:rsid w:val="00AC2924"/>
    <w:rsid w:val="00AC4F71"/>
    <w:rsid w:val="00AD5B4A"/>
    <w:rsid w:val="00AF06F1"/>
    <w:rsid w:val="00B14CBD"/>
    <w:rsid w:val="00B178FE"/>
    <w:rsid w:val="00B26B6C"/>
    <w:rsid w:val="00B4014B"/>
    <w:rsid w:val="00B454CA"/>
    <w:rsid w:val="00B51207"/>
    <w:rsid w:val="00B55E19"/>
    <w:rsid w:val="00B5683F"/>
    <w:rsid w:val="00B74EFF"/>
    <w:rsid w:val="00B84709"/>
    <w:rsid w:val="00B85292"/>
    <w:rsid w:val="00B92178"/>
    <w:rsid w:val="00B92CFE"/>
    <w:rsid w:val="00BB37BF"/>
    <w:rsid w:val="00BC39AC"/>
    <w:rsid w:val="00BC39B5"/>
    <w:rsid w:val="00BC5B74"/>
    <w:rsid w:val="00BF3217"/>
    <w:rsid w:val="00C212BD"/>
    <w:rsid w:val="00C220A9"/>
    <w:rsid w:val="00C2543F"/>
    <w:rsid w:val="00C56D05"/>
    <w:rsid w:val="00C56E07"/>
    <w:rsid w:val="00C61A98"/>
    <w:rsid w:val="00C64518"/>
    <w:rsid w:val="00C67739"/>
    <w:rsid w:val="00C85BD7"/>
    <w:rsid w:val="00C86189"/>
    <w:rsid w:val="00C90525"/>
    <w:rsid w:val="00C921BC"/>
    <w:rsid w:val="00C96A76"/>
    <w:rsid w:val="00C96B94"/>
    <w:rsid w:val="00CB0813"/>
    <w:rsid w:val="00CB2B08"/>
    <w:rsid w:val="00CB2D79"/>
    <w:rsid w:val="00CC3E8C"/>
    <w:rsid w:val="00CF1E58"/>
    <w:rsid w:val="00CF3ABE"/>
    <w:rsid w:val="00D0453A"/>
    <w:rsid w:val="00D217E0"/>
    <w:rsid w:val="00D27758"/>
    <w:rsid w:val="00D27F38"/>
    <w:rsid w:val="00D321D0"/>
    <w:rsid w:val="00D428AA"/>
    <w:rsid w:val="00D43454"/>
    <w:rsid w:val="00D54C6C"/>
    <w:rsid w:val="00D567FC"/>
    <w:rsid w:val="00D660E7"/>
    <w:rsid w:val="00D7585A"/>
    <w:rsid w:val="00DC6BEC"/>
    <w:rsid w:val="00DD400E"/>
    <w:rsid w:val="00DE236A"/>
    <w:rsid w:val="00DE7EE1"/>
    <w:rsid w:val="00E0139F"/>
    <w:rsid w:val="00E10ACB"/>
    <w:rsid w:val="00E134C2"/>
    <w:rsid w:val="00E173DF"/>
    <w:rsid w:val="00E47EC4"/>
    <w:rsid w:val="00E532C2"/>
    <w:rsid w:val="00E6122A"/>
    <w:rsid w:val="00E678FE"/>
    <w:rsid w:val="00E74F86"/>
    <w:rsid w:val="00E777F7"/>
    <w:rsid w:val="00E77874"/>
    <w:rsid w:val="00E9455F"/>
    <w:rsid w:val="00EA29A8"/>
    <w:rsid w:val="00EA2C15"/>
    <w:rsid w:val="00EA5EE6"/>
    <w:rsid w:val="00EB0279"/>
    <w:rsid w:val="00EC166B"/>
    <w:rsid w:val="00ED06A7"/>
    <w:rsid w:val="00ED32D5"/>
    <w:rsid w:val="00ED783A"/>
    <w:rsid w:val="00EF0EB5"/>
    <w:rsid w:val="00EF2D0A"/>
    <w:rsid w:val="00F111FA"/>
    <w:rsid w:val="00F13AB2"/>
    <w:rsid w:val="00F21658"/>
    <w:rsid w:val="00F21B14"/>
    <w:rsid w:val="00F266D7"/>
    <w:rsid w:val="00F26876"/>
    <w:rsid w:val="00F268FD"/>
    <w:rsid w:val="00F3118C"/>
    <w:rsid w:val="00F312C9"/>
    <w:rsid w:val="00F63CFE"/>
    <w:rsid w:val="00F81048"/>
    <w:rsid w:val="00F8647E"/>
    <w:rsid w:val="00F91DE0"/>
    <w:rsid w:val="00F93822"/>
    <w:rsid w:val="00F94DED"/>
    <w:rsid w:val="00F96CD5"/>
    <w:rsid w:val="00FA3D6D"/>
    <w:rsid w:val="00FA6E7B"/>
    <w:rsid w:val="00FA76B9"/>
    <w:rsid w:val="00FB2DE0"/>
    <w:rsid w:val="00FB3475"/>
    <w:rsid w:val="00FD1FE5"/>
    <w:rsid w:val="00FE5205"/>
    <w:rsid w:val="00FF319F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3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32E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6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94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3105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1028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0872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7131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8549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9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1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291BC-F0D7-49CA-B892-E5A76DCF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1917</Words>
  <Characters>13231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Győrvári Attila</cp:lastModifiedBy>
  <cp:revision>106</cp:revision>
  <cp:lastPrinted>2022-03-30T08:18:00Z</cp:lastPrinted>
  <dcterms:created xsi:type="dcterms:W3CDTF">2022-03-20T14:52:00Z</dcterms:created>
  <dcterms:modified xsi:type="dcterms:W3CDTF">2022-04-05T12:15:00Z</dcterms:modified>
</cp:coreProperties>
</file>