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4D" w:rsidRDefault="00B720E2" w:rsidP="00B720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./2023.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6E514D" w:rsidRDefault="00B720E2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közösségi együttélés alapvető szabályairól és ezek elmulasztásának jogkövetkezményeiről szóló 2/2013. (I.25.) önkormányzati rendelet módosításáról</w:t>
      </w:r>
    </w:p>
    <w:p w:rsidR="006E514D" w:rsidRDefault="00B720E2">
      <w:pPr>
        <w:pStyle w:val="Szvegtrzs"/>
        <w:spacing w:before="220" w:after="0" w:line="240" w:lineRule="auto"/>
        <w:jc w:val="both"/>
      </w:pPr>
      <w:r>
        <w:t xml:space="preserve">Budapest Főváros VII. kerület Erzsébetváros Önkormányzatának Képviselő-testülete az Alaptörvény 32. cikk (1) bekezdés a) pontjában és (2) bekezdésében, valamint a Magyarország helyi önkormányzatairól szóló 2011. évi CLXXXIX. törvény (továbbiakban: </w:t>
      </w:r>
      <w:proofErr w:type="spellStart"/>
      <w:r>
        <w:t>Mötv</w:t>
      </w:r>
      <w:proofErr w:type="spellEnd"/>
      <w:r>
        <w:t>.) 8. § (1) bekezdés b) pontjában meghatározott feladatkörében eljárva, a 143. § (4) bekezdés d) pontjában kapott felhatalmazás alapján a közösségi együttélés alapvető szabályairól és ezek elmulasztásának jogkövetkezményeiről szóló 2/2013. (I.25.) önkormányzati rendelet módosításáról a következőket rendeli el:</w:t>
      </w:r>
    </w:p>
    <w:p w:rsidR="006E514D" w:rsidRDefault="00B720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E514D" w:rsidRDefault="00B720E2">
      <w:pPr>
        <w:pStyle w:val="Szvegtrzs"/>
        <w:spacing w:after="0" w:line="240" w:lineRule="auto"/>
        <w:jc w:val="both"/>
      </w:pPr>
      <w:r>
        <w:t>A közösségi együttélés alapvető szabályairól és ezek elmulasztásának jogkövetkezményeiről szóló 2/2013. (I.25.) önkormányzati rendelet 11/B. §-a helyébe a következő rendelkezés lép:</w:t>
      </w:r>
    </w:p>
    <w:p w:rsidR="006E514D" w:rsidRDefault="00B720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„11/B. § </w:t>
      </w:r>
      <w:r>
        <w:rPr>
          <w:b/>
          <w:bCs/>
          <w:i/>
          <w:iCs/>
        </w:rPr>
        <w:t>[Köztisztasági szabályok megszegése]</w:t>
      </w:r>
    </w:p>
    <w:p w:rsidR="006E514D" w:rsidRDefault="00B720E2">
      <w:pPr>
        <w:pStyle w:val="Szvegtrzs"/>
        <w:spacing w:after="0" w:line="240" w:lineRule="auto"/>
        <w:jc w:val="both"/>
      </w:pPr>
      <w:r>
        <w:t xml:space="preserve">A köztisztasági szabályok megszegésével a közösségi együttélés alapvető szabályaival ellentétes magatartást valósít meg </w:t>
      </w:r>
    </w:p>
    <w:p w:rsidR="006E514D" w:rsidRPr="005F0AB5" w:rsidRDefault="00B720E2" w:rsidP="00ED3730">
      <w:pPr>
        <w:pStyle w:val="Szvegtrzs"/>
        <w:spacing w:after="120" w:line="240" w:lineRule="auto"/>
        <w:ind w:left="584" w:hanging="561"/>
        <w:jc w:val="both"/>
      </w:pPr>
      <w:proofErr w:type="gramStart"/>
      <w:r w:rsidRPr="0007611C">
        <w:rPr>
          <w:iCs/>
        </w:rPr>
        <w:t>a</w:t>
      </w:r>
      <w:proofErr w:type="gramEnd"/>
      <w:r w:rsidRPr="0007611C">
        <w:rPr>
          <w:iCs/>
        </w:rPr>
        <w:t>)</w:t>
      </w:r>
      <w:r w:rsidRPr="005F0AB5">
        <w:tab/>
        <w:t xml:space="preserve">az az ingatlantulajdonos (az ingatlan kezelője, használója), aki Budapest Főváros Önkormányzata Közgyűlésének 48/1994. (VIII.1.) Főv. Kgy. </w:t>
      </w:r>
      <w:proofErr w:type="gramStart"/>
      <w:r w:rsidRPr="005F0AB5">
        <w:t>rendelete</w:t>
      </w:r>
      <w:proofErr w:type="gramEnd"/>
      <w:r w:rsidRPr="005F0AB5">
        <w:t xml:space="preserve"> (továbbiakban: </w:t>
      </w:r>
      <w:proofErr w:type="spellStart"/>
      <w:r w:rsidRPr="005F0AB5">
        <w:t>Főr</w:t>
      </w:r>
      <w:proofErr w:type="spellEnd"/>
      <w:r w:rsidRPr="005F0AB5">
        <w:t>.) 3. § (1) bekezdés a)-c) pontjaiban, valamint (2) bekezdésében meghatározott, az ingatlan, az az előtti járda, valamint a járda és kocsiút közötti terület tisztán tartásával, gondozásával kapcsolatos kötelezettségeit megszegi</w:t>
      </w:r>
      <w:r w:rsidR="00945E29">
        <w:t>;</w:t>
      </w:r>
      <w:r w:rsidRPr="005F0AB5">
        <w:t xml:space="preserve"> </w:t>
      </w:r>
    </w:p>
    <w:p w:rsidR="006E514D" w:rsidRPr="005F0AB5" w:rsidRDefault="00B720E2" w:rsidP="00ED3730">
      <w:pPr>
        <w:pStyle w:val="Szvegtrzs"/>
        <w:spacing w:after="120" w:line="240" w:lineRule="auto"/>
        <w:ind w:left="584" w:hanging="561"/>
        <w:jc w:val="both"/>
      </w:pPr>
      <w:r w:rsidRPr="0007611C">
        <w:rPr>
          <w:iCs/>
        </w:rPr>
        <w:t>b)</w:t>
      </w:r>
      <w:r w:rsidRPr="005F0AB5">
        <w:tab/>
        <w:t xml:space="preserve">az, aki a </w:t>
      </w:r>
      <w:proofErr w:type="spellStart"/>
      <w:r w:rsidRPr="005F0AB5">
        <w:t>Főr</w:t>
      </w:r>
      <w:proofErr w:type="spellEnd"/>
      <w:r w:rsidRPr="005F0AB5">
        <w:t>. 4. § (1) bekezdésében meghatározott, a közterületen lévő berendezési és felszerelési tárgy, fa vagy egyéb növény beszennyezésének, rongálásának tilalmát megszegi</w:t>
      </w:r>
      <w:r w:rsidR="00945E29">
        <w:t>;</w:t>
      </w:r>
    </w:p>
    <w:p w:rsidR="006F618E" w:rsidRPr="005F0AB5" w:rsidRDefault="00B720E2" w:rsidP="00ED3730">
      <w:pPr>
        <w:pStyle w:val="Szvegtrzs"/>
        <w:spacing w:after="120" w:line="240" w:lineRule="auto"/>
        <w:ind w:left="584" w:hanging="561"/>
        <w:jc w:val="both"/>
      </w:pPr>
      <w:r w:rsidRPr="0007611C">
        <w:rPr>
          <w:iCs/>
        </w:rPr>
        <w:t>c)</w:t>
      </w:r>
      <w:r w:rsidRPr="005F0AB5">
        <w:tab/>
      </w:r>
      <w:r w:rsidR="0007611C" w:rsidRPr="007A37B0">
        <w:rPr>
          <w:iCs/>
        </w:rPr>
        <w:t xml:space="preserve">az élelmiszert, italt, fogyasztásra alkalmas ételt árusító ingatlan </w:t>
      </w:r>
      <w:r w:rsidR="00AF1A4E">
        <w:rPr>
          <w:iCs/>
        </w:rPr>
        <w:t>tulajdonos</w:t>
      </w:r>
      <w:r w:rsidR="00B224FC">
        <w:rPr>
          <w:iCs/>
        </w:rPr>
        <w:t>a</w:t>
      </w:r>
      <w:r w:rsidR="00AF1A4E">
        <w:rPr>
          <w:iCs/>
        </w:rPr>
        <w:t xml:space="preserve">, </w:t>
      </w:r>
      <w:r w:rsidR="0007611C" w:rsidRPr="007A37B0">
        <w:rPr>
          <w:iCs/>
        </w:rPr>
        <w:t xml:space="preserve">bérlője, használója, </w:t>
      </w:r>
      <w:r w:rsidR="006F618E" w:rsidRPr="005F0AB5">
        <w:t>aki a</w:t>
      </w:r>
      <w:r w:rsidR="006C3E10">
        <w:t>z általa üzemeltetett</w:t>
      </w:r>
      <w:r w:rsidR="006F618E" w:rsidRPr="005F0AB5">
        <w:t xml:space="preserve"> </w:t>
      </w:r>
      <w:r w:rsidR="006C3E10">
        <w:t>ingatlan</w:t>
      </w:r>
      <w:r w:rsidR="006C3E10" w:rsidRPr="005F0AB5">
        <w:t xml:space="preserve"> </w:t>
      </w:r>
      <w:r w:rsidR="0057523A">
        <w:t>nyitvatartási (működési)</w:t>
      </w:r>
      <w:r w:rsidR="006F618E" w:rsidRPr="005F0AB5">
        <w:t xml:space="preserve"> ideje alatt a</w:t>
      </w:r>
      <w:r w:rsidR="0057523A">
        <w:t>z</w:t>
      </w:r>
      <w:r w:rsidR="006F618E" w:rsidRPr="005F0AB5">
        <w:t xml:space="preserve"> </w:t>
      </w:r>
      <w:r w:rsidR="0057523A">
        <w:t>ingatlan</w:t>
      </w:r>
      <w:r w:rsidR="006F618E" w:rsidRPr="005F0AB5">
        <w:t xml:space="preserve"> homlokzati vonalától a</w:t>
      </w:r>
      <w:r w:rsidR="00F2357E" w:rsidRPr="005F0AB5">
        <w:t xml:space="preserve"> járda széléig </w:t>
      </w:r>
      <w:r w:rsidR="006F618E" w:rsidRPr="005F0AB5">
        <w:t>terjedő köz- vagy magánterületet folyamatosan nem tartja tisztán</w:t>
      </w:r>
      <w:r w:rsidR="00945E29">
        <w:t>;</w:t>
      </w:r>
      <w:r w:rsidR="006F618E" w:rsidRPr="005F0AB5">
        <w:t xml:space="preserve"> </w:t>
      </w:r>
    </w:p>
    <w:p w:rsidR="006E514D" w:rsidRPr="005F0AB5" w:rsidRDefault="006F618E">
      <w:pPr>
        <w:pStyle w:val="Szvegtrzs"/>
        <w:spacing w:after="0" w:line="240" w:lineRule="auto"/>
        <w:ind w:left="580" w:hanging="560"/>
        <w:jc w:val="both"/>
      </w:pPr>
      <w:r w:rsidRPr="0007611C">
        <w:rPr>
          <w:iCs/>
        </w:rPr>
        <w:t xml:space="preserve">d) </w:t>
      </w:r>
      <w:r w:rsidRPr="0007611C">
        <w:rPr>
          <w:iCs/>
        </w:rPr>
        <w:tab/>
        <w:t>az élelmiszert, italt, fogyasztásra alkalmas ételt árusító ingatlan</w:t>
      </w:r>
      <w:r w:rsidR="00AF1A4E">
        <w:rPr>
          <w:iCs/>
        </w:rPr>
        <w:t xml:space="preserve"> tulajdonosa,</w:t>
      </w:r>
      <w:r w:rsidRPr="0007611C">
        <w:rPr>
          <w:iCs/>
        </w:rPr>
        <w:t xml:space="preserve"> bérlője, használója, </w:t>
      </w:r>
      <w:r w:rsidR="00B720E2" w:rsidRPr="005F0AB5">
        <w:t xml:space="preserve">aki az általa üzemeltetett </w:t>
      </w:r>
      <w:r w:rsidRPr="005F0AB5">
        <w:t xml:space="preserve">ingatlan </w:t>
      </w:r>
      <w:r w:rsidR="00B720E2" w:rsidRPr="005F0AB5">
        <w:t xml:space="preserve">nyitvatartási </w:t>
      </w:r>
      <w:r w:rsidRPr="005F0AB5">
        <w:t xml:space="preserve">(működési) </w:t>
      </w:r>
      <w:r w:rsidR="00B720E2" w:rsidRPr="005F0AB5">
        <w:t xml:space="preserve">ideje alatt az </w:t>
      </w:r>
      <w:r w:rsidRPr="005F0AB5">
        <w:t xml:space="preserve">ingatlan </w:t>
      </w:r>
      <w:r w:rsidR="00B720E2" w:rsidRPr="005F0AB5">
        <w:t>bejáratának fél méteres körzetében nem helyez el legalább egy darab kisméretű, minimum 50 literes, de legfeljebb 0,5 m2 alapterületű</w:t>
      </w:r>
      <w:r w:rsidRPr="005F0AB5">
        <w:t>, fém</w:t>
      </w:r>
      <w:r w:rsidR="00B86FF2" w:rsidRPr="005F0AB5">
        <w:t xml:space="preserve">, </w:t>
      </w:r>
      <w:r w:rsidR="0006400A" w:rsidRPr="005F0AB5">
        <w:t xml:space="preserve">fa </w:t>
      </w:r>
      <w:r w:rsidR="00B720E2" w:rsidRPr="005F0AB5">
        <w:t xml:space="preserve">hulladékgyűjtő edényt, </w:t>
      </w:r>
      <w:r w:rsidR="00B86FF2" w:rsidRPr="005F0AB5">
        <w:t xml:space="preserve">továbbá </w:t>
      </w:r>
      <w:r w:rsidR="00B720E2" w:rsidRPr="005F0AB5">
        <w:t>annak kiürítéséről, tisztán tartásáról</w:t>
      </w:r>
      <w:r w:rsidR="00B86FF2" w:rsidRPr="005F0AB5">
        <w:t xml:space="preserve"> </w:t>
      </w:r>
      <w:r w:rsidR="00B720E2" w:rsidRPr="005F0AB5">
        <w:t>nem gondoskodik</w:t>
      </w:r>
      <w:r w:rsidR="00581C9F" w:rsidRPr="005F0AB5">
        <w:t>.</w:t>
      </w:r>
      <w:r w:rsidR="00D37FB1" w:rsidRPr="005F0AB5">
        <w:t>”</w:t>
      </w:r>
    </w:p>
    <w:p w:rsidR="006E514D" w:rsidRDefault="00B720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D5136" w:rsidRDefault="00AD5136" w:rsidP="00B720E2">
      <w:pPr>
        <w:pStyle w:val="Szvegtrzs"/>
        <w:spacing w:after="0" w:line="240" w:lineRule="auto"/>
        <w:jc w:val="both"/>
      </w:pPr>
    </w:p>
    <w:p w:rsidR="006E514D" w:rsidRDefault="00B720E2" w:rsidP="00B720E2">
      <w:pPr>
        <w:pStyle w:val="Szvegtrzs"/>
        <w:spacing w:after="0" w:line="240" w:lineRule="auto"/>
        <w:jc w:val="both"/>
      </w:pPr>
      <w:r>
        <w:t>Ez a rendelet 2023. július 1-jén lép hatályba</w:t>
      </w:r>
      <w:r w:rsidR="007779A8">
        <w:t>.</w:t>
      </w:r>
    </w:p>
    <w:p w:rsidR="00B720E2" w:rsidRDefault="00B720E2" w:rsidP="00B720E2">
      <w:pPr>
        <w:pStyle w:val="Szvegtrzs"/>
        <w:spacing w:after="0" w:line="240" w:lineRule="auto"/>
        <w:jc w:val="both"/>
      </w:pPr>
    </w:p>
    <w:p w:rsidR="00B86FF2" w:rsidRDefault="00B86FF2" w:rsidP="00B720E2">
      <w:pPr>
        <w:pStyle w:val="Szvegtrzs"/>
        <w:spacing w:after="0" w:line="240" w:lineRule="auto"/>
        <w:jc w:val="both"/>
      </w:pPr>
    </w:p>
    <w:p w:rsidR="00B720E2" w:rsidRPr="00763A5A" w:rsidRDefault="00B720E2" w:rsidP="00B720E2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</w:rPr>
      </w:pPr>
    </w:p>
    <w:p w:rsidR="00B720E2" w:rsidRPr="00763A5A" w:rsidRDefault="00B720E2" w:rsidP="00B720E2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</w:rPr>
      </w:pPr>
      <w:r w:rsidRPr="00763A5A">
        <w:rPr>
          <w:b/>
          <w:bCs/>
          <w:lang w:val="x-none"/>
        </w:rPr>
        <w:t xml:space="preserve"> </w:t>
      </w:r>
      <w:r w:rsidRPr="00763A5A">
        <w:rPr>
          <w:b/>
          <w:bCs/>
        </w:rPr>
        <w:t xml:space="preserve">     </w:t>
      </w:r>
      <w:r>
        <w:rPr>
          <w:b/>
          <w:bCs/>
        </w:rPr>
        <w:t xml:space="preserve">               </w:t>
      </w:r>
      <w:r w:rsidRPr="00763A5A">
        <w:rPr>
          <w:b/>
          <w:bCs/>
        </w:rPr>
        <w:t xml:space="preserve">        Tóth </w:t>
      </w:r>
      <w:proofErr w:type="gramStart"/>
      <w:r w:rsidRPr="00763A5A">
        <w:rPr>
          <w:b/>
          <w:bCs/>
        </w:rPr>
        <w:t>László</w:t>
      </w:r>
      <w:r w:rsidRPr="00763A5A">
        <w:rPr>
          <w:b/>
          <w:bCs/>
          <w:lang w:val="x-none"/>
        </w:rPr>
        <w:tab/>
        <w:t xml:space="preserve">                                              </w:t>
      </w:r>
      <w:r w:rsidRPr="00763A5A">
        <w:rPr>
          <w:b/>
          <w:bCs/>
        </w:rPr>
        <w:t xml:space="preserve">        </w:t>
      </w:r>
      <w:proofErr w:type="spellStart"/>
      <w:r w:rsidRPr="00763A5A">
        <w:rPr>
          <w:b/>
          <w:bCs/>
        </w:rPr>
        <w:t>Niedermüller</w:t>
      </w:r>
      <w:proofErr w:type="spellEnd"/>
      <w:proofErr w:type="gramEnd"/>
      <w:r w:rsidRPr="00763A5A">
        <w:rPr>
          <w:b/>
          <w:bCs/>
        </w:rPr>
        <w:t xml:space="preserve"> Péter</w:t>
      </w:r>
    </w:p>
    <w:p w:rsidR="00B720E2" w:rsidRPr="00763A5A" w:rsidRDefault="00B720E2" w:rsidP="00B720E2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  <w:lang w:val="x-none"/>
        </w:rPr>
      </w:pPr>
      <w:r w:rsidRPr="00763A5A">
        <w:rPr>
          <w:b/>
          <w:bCs/>
        </w:rPr>
        <w:t xml:space="preserve">       </w:t>
      </w:r>
      <w:r>
        <w:rPr>
          <w:b/>
          <w:bCs/>
        </w:rPr>
        <w:t xml:space="preserve">         </w:t>
      </w:r>
      <w:r w:rsidRPr="00763A5A">
        <w:rPr>
          <w:b/>
          <w:bCs/>
        </w:rPr>
        <w:t xml:space="preserve">                </w:t>
      </w:r>
      <w:r w:rsidRPr="00763A5A">
        <w:rPr>
          <w:b/>
          <w:bCs/>
          <w:lang w:val="x-none"/>
        </w:rPr>
        <w:t>jegyző</w:t>
      </w:r>
      <w:r w:rsidRPr="00763A5A">
        <w:rPr>
          <w:b/>
          <w:bCs/>
          <w:lang w:val="x-none"/>
        </w:rPr>
        <w:tab/>
      </w:r>
      <w:r w:rsidRPr="00763A5A">
        <w:rPr>
          <w:b/>
          <w:bCs/>
        </w:rPr>
        <w:t xml:space="preserve">                                                               </w:t>
      </w:r>
      <w:r w:rsidRPr="00763A5A">
        <w:rPr>
          <w:b/>
          <w:bCs/>
          <w:lang w:val="x-none"/>
        </w:rPr>
        <w:t>polgármester</w:t>
      </w:r>
    </w:p>
    <w:p w:rsidR="00B720E2" w:rsidRDefault="00B720E2" w:rsidP="00B720E2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  <w:lang w:val="x-none"/>
        </w:rPr>
      </w:pPr>
    </w:p>
    <w:p w:rsidR="00B720E2" w:rsidRPr="00763A5A" w:rsidRDefault="00B720E2" w:rsidP="00B720E2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jc w:val="both"/>
        <w:rPr>
          <w:b/>
          <w:bCs/>
          <w:lang w:val="x-none"/>
        </w:rPr>
      </w:pPr>
    </w:p>
    <w:p w:rsidR="00B720E2" w:rsidRDefault="00B720E2" w:rsidP="00B720E2">
      <w:pPr>
        <w:jc w:val="center"/>
        <w:rPr>
          <w:b/>
        </w:rPr>
      </w:pPr>
      <w:r w:rsidRPr="004236BE">
        <w:rPr>
          <w:b/>
        </w:rPr>
        <w:t>Záradék</w:t>
      </w:r>
    </w:p>
    <w:p w:rsidR="00B720E2" w:rsidRDefault="00B720E2" w:rsidP="00B720E2">
      <w:pPr>
        <w:jc w:val="center"/>
        <w:rPr>
          <w:b/>
        </w:rPr>
      </w:pPr>
    </w:p>
    <w:p w:rsidR="00B720E2" w:rsidRPr="004236BE" w:rsidRDefault="00B720E2" w:rsidP="00B720E2">
      <w:pPr>
        <w:jc w:val="center"/>
        <w:rPr>
          <w:b/>
        </w:rPr>
      </w:pPr>
    </w:p>
    <w:p w:rsidR="00B720E2" w:rsidRPr="004236BE" w:rsidRDefault="00B720E2" w:rsidP="00B720E2">
      <w:pPr>
        <w:jc w:val="both"/>
      </w:pPr>
      <w:r w:rsidRPr="004236BE">
        <w:t xml:space="preserve">A rendelet kihirdetése </w:t>
      </w:r>
      <w:proofErr w:type="gramStart"/>
      <w:r w:rsidRPr="004236BE">
        <w:rPr>
          <w:color w:val="000000"/>
          <w:lang w:eastAsia="hu-HU"/>
        </w:rPr>
        <w:t>2023. …</w:t>
      </w:r>
      <w:proofErr w:type="gramEnd"/>
      <w:r w:rsidRPr="004236BE">
        <w:rPr>
          <w:color w:val="000000"/>
          <w:lang w:eastAsia="hu-HU"/>
        </w:rPr>
        <w:t>………………..</w:t>
      </w:r>
      <w:r w:rsidRPr="004236BE">
        <w:t>napján a Szervezeti és Működési Szabályzat szerint a Polgármesteri Hivatal hirdetőtábláján megtörtént.</w:t>
      </w:r>
    </w:p>
    <w:p w:rsidR="00B720E2" w:rsidRPr="004236BE" w:rsidRDefault="00B720E2" w:rsidP="00B720E2">
      <w:pPr>
        <w:jc w:val="both"/>
      </w:pPr>
      <w:r w:rsidRPr="004236BE">
        <w:t>A rendelet közzététel céljából megküldésre került a www.erzsebetvaros.hu honlap szerkesztője részére.</w:t>
      </w:r>
    </w:p>
    <w:p w:rsidR="00B720E2" w:rsidRPr="004236BE" w:rsidRDefault="00B720E2" w:rsidP="00B720E2">
      <w:pPr>
        <w:jc w:val="center"/>
      </w:pPr>
    </w:p>
    <w:p w:rsidR="00B720E2" w:rsidRPr="004236BE" w:rsidRDefault="00B720E2" w:rsidP="00B720E2">
      <w:pPr>
        <w:jc w:val="center"/>
      </w:pPr>
    </w:p>
    <w:p w:rsidR="00B720E2" w:rsidRPr="004236BE" w:rsidRDefault="00B720E2" w:rsidP="00B720E2">
      <w:pPr>
        <w:ind w:left="2832" w:firstLine="708"/>
        <w:jc w:val="center"/>
        <w:rPr>
          <w:b/>
        </w:rPr>
      </w:pPr>
      <w:r w:rsidRPr="004236BE">
        <w:rPr>
          <w:b/>
        </w:rPr>
        <w:t xml:space="preserve">Tóth László </w:t>
      </w:r>
    </w:p>
    <w:p w:rsidR="00B720E2" w:rsidRPr="004236BE" w:rsidRDefault="00B720E2" w:rsidP="00B720E2">
      <w:pPr>
        <w:ind w:left="2832" w:firstLine="708"/>
        <w:jc w:val="center"/>
        <w:rPr>
          <w:b/>
        </w:rPr>
      </w:pPr>
      <w:proofErr w:type="gramStart"/>
      <w:r w:rsidRPr="004236BE">
        <w:rPr>
          <w:b/>
        </w:rPr>
        <w:t>jegyző</w:t>
      </w:r>
      <w:proofErr w:type="gramEnd"/>
    </w:p>
    <w:p w:rsidR="00B720E2" w:rsidRDefault="00B720E2" w:rsidP="00B720E2">
      <w:pPr>
        <w:pStyle w:val="Szvegtrzs"/>
        <w:spacing w:after="0" w:line="240" w:lineRule="auto"/>
        <w:jc w:val="both"/>
      </w:pPr>
    </w:p>
    <w:p w:rsidR="00B720E2" w:rsidRDefault="00B720E2" w:rsidP="00B720E2">
      <w:pPr>
        <w:pStyle w:val="Szvegtrzs"/>
        <w:spacing w:after="0" w:line="240" w:lineRule="auto"/>
        <w:jc w:val="both"/>
      </w:pPr>
    </w:p>
    <w:p w:rsidR="00B720E2" w:rsidRDefault="00B720E2" w:rsidP="00B720E2">
      <w:pPr>
        <w:pStyle w:val="Szvegtrzs"/>
        <w:spacing w:after="0" w:line="240" w:lineRule="auto"/>
        <w:jc w:val="both"/>
      </w:pPr>
    </w:p>
    <w:p w:rsidR="00B720E2" w:rsidRDefault="00B720E2" w:rsidP="00B720E2">
      <w:pPr>
        <w:pStyle w:val="Szvegtrzs"/>
        <w:spacing w:after="0" w:line="240" w:lineRule="auto"/>
        <w:jc w:val="both"/>
      </w:pPr>
    </w:p>
    <w:p w:rsidR="00B720E2" w:rsidRDefault="00B720E2" w:rsidP="00B720E2">
      <w:pPr>
        <w:pStyle w:val="Szvegtrzs"/>
        <w:spacing w:after="0" w:line="240" w:lineRule="auto"/>
        <w:jc w:val="both"/>
      </w:pPr>
    </w:p>
    <w:p w:rsidR="006E514D" w:rsidRPr="00B720E2" w:rsidRDefault="00B720E2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B720E2">
        <w:rPr>
          <w:b/>
        </w:rPr>
        <w:t>Általános indokolás</w:t>
      </w:r>
    </w:p>
    <w:p w:rsidR="006E514D" w:rsidRDefault="00B720E2">
      <w:pPr>
        <w:pStyle w:val="Szvegtrzs"/>
        <w:spacing w:before="159" w:after="159" w:line="240" w:lineRule="auto"/>
        <w:ind w:left="159" w:right="159"/>
        <w:jc w:val="both"/>
      </w:pPr>
      <w:r>
        <w:t>A közterületek rendjének és tisztaságának megóvása közös érdek, melyhez</w:t>
      </w:r>
      <w:r w:rsidR="00AF1A4E">
        <w:t xml:space="preserve"> az</w:t>
      </w:r>
      <w:r>
        <w:t xml:space="preserve"> </w:t>
      </w:r>
      <w:r w:rsidR="00AF1A4E" w:rsidRPr="007A37B0">
        <w:rPr>
          <w:iCs/>
        </w:rPr>
        <w:t xml:space="preserve">élelmiszert, italt, fogyasztásra alkalmas ételt árusító ingatlan </w:t>
      </w:r>
      <w:bookmarkStart w:id="0" w:name="_GoBack"/>
      <w:bookmarkEnd w:id="0"/>
      <w:r w:rsidR="00F348E1">
        <w:t xml:space="preserve">tulajdonosainak, bérlőinek, </w:t>
      </w:r>
      <w:proofErr w:type="spellStart"/>
      <w:r w:rsidR="00F348E1">
        <w:t>használóinak</w:t>
      </w:r>
      <w:proofErr w:type="spellEnd"/>
      <w:r w:rsidR="00F348E1">
        <w:t xml:space="preserve"> i</w:t>
      </w:r>
      <w:r>
        <w:t>s hozzá kell járulnia. Ennek érdekében került kiegészítésre a köztisztasági szabályok megszegésére vonatkozó rendeleti felsorolás. </w:t>
      </w:r>
    </w:p>
    <w:p w:rsidR="00B720E2" w:rsidRDefault="00B720E2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:rsidR="006E514D" w:rsidRDefault="00B720E2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 </w:t>
      </w:r>
    </w:p>
    <w:p w:rsidR="00B720E2" w:rsidRDefault="00B720E2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:rsidR="006E514D" w:rsidRDefault="00B720E2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1.§ </w:t>
      </w:r>
    </w:p>
    <w:p w:rsidR="006E514D" w:rsidRDefault="00B720E2">
      <w:pPr>
        <w:pStyle w:val="Szvegtrzs"/>
        <w:spacing w:before="159" w:after="159" w:line="240" w:lineRule="auto"/>
        <w:ind w:left="159" w:right="159"/>
        <w:jc w:val="both"/>
      </w:pPr>
      <w:r>
        <w:t>A köztisztasági szabályszegések kiegészítését tartalmazza. </w:t>
      </w:r>
    </w:p>
    <w:p w:rsidR="00AD5136" w:rsidRDefault="00AD5136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:rsidR="00AD5136" w:rsidRDefault="00AD5136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 xml:space="preserve">2.§ </w:t>
      </w:r>
    </w:p>
    <w:p w:rsidR="006E514D" w:rsidRDefault="00B720E2">
      <w:pPr>
        <w:pStyle w:val="Szvegtrzs"/>
        <w:spacing w:before="159" w:after="159" w:line="240" w:lineRule="auto"/>
        <w:ind w:left="159" w:right="159"/>
        <w:jc w:val="both"/>
      </w:pPr>
      <w:r>
        <w:t>Hatályba léptető rendelkezést tartalmaz. </w:t>
      </w:r>
    </w:p>
    <w:sectPr w:rsidR="006E514D" w:rsidSect="00B720E2">
      <w:footerReference w:type="default" r:id="rId7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FD0" w:rsidRDefault="001F1FD0">
      <w:r>
        <w:separator/>
      </w:r>
    </w:p>
  </w:endnote>
  <w:endnote w:type="continuationSeparator" w:id="0">
    <w:p w:rsidR="001F1FD0" w:rsidRDefault="001F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14D" w:rsidRDefault="00B720E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224F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FD0" w:rsidRDefault="001F1FD0">
      <w:r>
        <w:separator/>
      </w:r>
    </w:p>
  </w:footnote>
  <w:footnote w:type="continuationSeparator" w:id="0">
    <w:p w:rsidR="001F1FD0" w:rsidRDefault="001F1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245EE"/>
    <w:multiLevelType w:val="multilevel"/>
    <w:tmpl w:val="13AE6B6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4D"/>
    <w:rsid w:val="000517DC"/>
    <w:rsid w:val="0006400A"/>
    <w:rsid w:val="0007611C"/>
    <w:rsid w:val="00094690"/>
    <w:rsid w:val="001F1FD0"/>
    <w:rsid w:val="00234821"/>
    <w:rsid w:val="002958C6"/>
    <w:rsid w:val="0057523A"/>
    <w:rsid w:val="00581C9F"/>
    <w:rsid w:val="005F0AB5"/>
    <w:rsid w:val="0063733F"/>
    <w:rsid w:val="006C3E10"/>
    <w:rsid w:val="006E514D"/>
    <w:rsid w:val="006F08A8"/>
    <w:rsid w:val="006F618E"/>
    <w:rsid w:val="007779A8"/>
    <w:rsid w:val="00827958"/>
    <w:rsid w:val="008E5795"/>
    <w:rsid w:val="00945E29"/>
    <w:rsid w:val="00987CF3"/>
    <w:rsid w:val="00A5057B"/>
    <w:rsid w:val="00AC1258"/>
    <w:rsid w:val="00AD5136"/>
    <w:rsid w:val="00AF1A4E"/>
    <w:rsid w:val="00B224FC"/>
    <w:rsid w:val="00B67D9F"/>
    <w:rsid w:val="00B720E2"/>
    <w:rsid w:val="00B86FF2"/>
    <w:rsid w:val="00BE01E0"/>
    <w:rsid w:val="00C94B7C"/>
    <w:rsid w:val="00D1369D"/>
    <w:rsid w:val="00D37FB1"/>
    <w:rsid w:val="00D46DC7"/>
    <w:rsid w:val="00E84BF9"/>
    <w:rsid w:val="00ED3730"/>
    <w:rsid w:val="00F005BF"/>
    <w:rsid w:val="00F2357E"/>
    <w:rsid w:val="00F3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319F"/>
  <w15:docId w15:val="{1F9B1FBE-6701-456C-BEC8-A903BDE5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445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Batóné Mácsai Gyöngyvér</cp:lastModifiedBy>
  <cp:revision>26</cp:revision>
  <dcterms:created xsi:type="dcterms:W3CDTF">2023-05-04T08:56:00Z</dcterms:created>
  <dcterms:modified xsi:type="dcterms:W3CDTF">2023-05-10T12:09:00Z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