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225A9" w14:textId="77777777" w:rsidR="00AF5DAE" w:rsidRDefault="00AF5DAE" w:rsidP="00AF5DAE">
      <w:pPr>
        <w:jc w:val="center"/>
      </w:pPr>
    </w:p>
    <w:p w14:paraId="17BF5BC1" w14:textId="77777777" w:rsidR="00AF5DAE" w:rsidRDefault="00AF5DAE" w:rsidP="00AF5DAE">
      <w:pPr>
        <w:jc w:val="center"/>
      </w:pPr>
    </w:p>
    <w:p w14:paraId="760D76C0" w14:textId="77777777" w:rsidR="00AF5DAE" w:rsidRDefault="00AF5DAE" w:rsidP="00AF5DAE">
      <w:pPr>
        <w:jc w:val="center"/>
      </w:pPr>
    </w:p>
    <w:p w14:paraId="562C2652" w14:textId="77777777" w:rsidR="00AF5DAE" w:rsidRDefault="00AF5DAE" w:rsidP="00AF5DAE">
      <w:pPr>
        <w:jc w:val="center"/>
      </w:pPr>
    </w:p>
    <w:p w14:paraId="48B204DA" w14:textId="77777777" w:rsidR="00AF5DAE" w:rsidRDefault="00AF5DAE" w:rsidP="00AF5DAE">
      <w:pPr>
        <w:jc w:val="center"/>
      </w:pPr>
    </w:p>
    <w:p w14:paraId="6F0BB9AF" w14:textId="6EC8F6A1" w:rsidR="00982CDD" w:rsidRPr="006F471A" w:rsidRDefault="00982CDD" w:rsidP="00AF5DAE">
      <w:pPr>
        <w:pStyle w:val="Cm"/>
        <w:jc w:val="center"/>
        <w:rPr>
          <w:color w:val="3333CC"/>
          <w:sz w:val="72"/>
          <w:szCs w:val="200"/>
        </w:rPr>
      </w:pPr>
      <w:r w:rsidRPr="006F471A">
        <w:rPr>
          <w:color w:val="3333CC"/>
          <w:sz w:val="72"/>
          <w:szCs w:val="200"/>
        </w:rPr>
        <w:t>Energiahatékonysági és Klímavédelmi Alap</w:t>
      </w:r>
      <w:r w:rsidR="00AF5DAE" w:rsidRPr="006F471A">
        <w:rPr>
          <w:color w:val="3333CC"/>
          <w:sz w:val="72"/>
          <w:szCs w:val="200"/>
        </w:rPr>
        <w:t xml:space="preserve"> </w:t>
      </w:r>
      <w:r w:rsidR="00AF5DAE" w:rsidRPr="006F471A">
        <w:rPr>
          <w:color w:val="3333CC"/>
          <w:sz w:val="72"/>
          <w:szCs w:val="200"/>
        </w:rPr>
        <w:br/>
        <w:t>koncepció</w:t>
      </w:r>
    </w:p>
    <w:p w14:paraId="2F813C10" w14:textId="39D4B315" w:rsidR="00AF5DAE" w:rsidRDefault="00AF5DAE" w:rsidP="00AF5DAE">
      <w:pPr>
        <w:jc w:val="center"/>
      </w:pPr>
    </w:p>
    <w:p w14:paraId="2FE70DAA" w14:textId="4E03EEDA" w:rsidR="00AF5DAE" w:rsidRDefault="00AF5DAE" w:rsidP="00AF5DAE">
      <w:pPr>
        <w:jc w:val="center"/>
      </w:pPr>
    </w:p>
    <w:p w14:paraId="07EEEE9A" w14:textId="40BF812E" w:rsidR="00AF5DAE" w:rsidRDefault="00AF5DAE" w:rsidP="00AF5DAE">
      <w:pPr>
        <w:jc w:val="center"/>
      </w:pPr>
    </w:p>
    <w:p w14:paraId="0DCB920A" w14:textId="55AE3251" w:rsidR="006F471A" w:rsidRDefault="006F471A" w:rsidP="00AF5DAE">
      <w:pPr>
        <w:jc w:val="center"/>
      </w:pPr>
    </w:p>
    <w:p w14:paraId="16CD3F78" w14:textId="5B08A39A" w:rsidR="006F471A" w:rsidRDefault="006F471A" w:rsidP="00AF5DAE">
      <w:pPr>
        <w:jc w:val="center"/>
      </w:pPr>
    </w:p>
    <w:p w14:paraId="75792FF2" w14:textId="77777777" w:rsidR="006F471A" w:rsidRDefault="006F471A" w:rsidP="00AF5DAE">
      <w:pPr>
        <w:jc w:val="center"/>
      </w:pPr>
    </w:p>
    <w:p w14:paraId="76DBA216" w14:textId="77777777" w:rsidR="00AF5DAE" w:rsidRDefault="00AF5DAE" w:rsidP="00AF5DAE">
      <w:pPr>
        <w:jc w:val="center"/>
      </w:pPr>
    </w:p>
    <w:p w14:paraId="240568DC" w14:textId="59407908" w:rsidR="006F471A" w:rsidRDefault="006F471A" w:rsidP="006F471A">
      <w:pPr>
        <w:jc w:val="center"/>
      </w:pPr>
      <w:r>
        <w:t xml:space="preserve">2023. </w:t>
      </w:r>
      <w:r w:rsidR="003624F0">
        <w:t>április</w:t>
      </w:r>
    </w:p>
    <w:p w14:paraId="6350684B" w14:textId="1267EDD5" w:rsidR="00AF5DAE" w:rsidRDefault="00AF5DAE" w:rsidP="00AF5DAE">
      <w:pPr>
        <w:jc w:val="center"/>
      </w:pPr>
    </w:p>
    <w:p w14:paraId="381BB7B5" w14:textId="1A635E7E" w:rsidR="00AF5DAE" w:rsidRDefault="00AF5DAE" w:rsidP="00AF5DAE">
      <w:pPr>
        <w:jc w:val="center"/>
      </w:pPr>
    </w:p>
    <w:p w14:paraId="712CC30A" w14:textId="5D434A78" w:rsidR="00AF5DAE" w:rsidRDefault="00AF5DAE" w:rsidP="00AF5DAE">
      <w:pPr>
        <w:jc w:val="center"/>
      </w:pPr>
    </w:p>
    <w:p w14:paraId="798CD6E6" w14:textId="77777777" w:rsidR="00AF5DAE" w:rsidRDefault="00AF5DAE" w:rsidP="00AF5DAE">
      <w:pPr>
        <w:jc w:val="center"/>
      </w:pPr>
    </w:p>
    <w:p w14:paraId="79AD6C6A" w14:textId="72F1DDAB" w:rsidR="00AF5DAE" w:rsidRDefault="00AF5DAE" w:rsidP="00AF5DAE">
      <w:pPr>
        <w:jc w:val="center"/>
      </w:pPr>
      <w:r>
        <w:t>Készítették:</w:t>
      </w:r>
    </w:p>
    <w:p w14:paraId="0D872C68" w14:textId="143AF239" w:rsidR="00AF5DAE" w:rsidRDefault="00AF5DAE" w:rsidP="00AF5DAE">
      <w:pPr>
        <w:jc w:val="center"/>
      </w:pPr>
      <w:r>
        <w:t>Beleznay Éva</w:t>
      </w:r>
    </w:p>
    <w:p w14:paraId="346B39E3" w14:textId="29ABF98E" w:rsidR="00AF5DAE" w:rsidRDefault="00AF5DAE" w:rsidP="00AF5DAE">
      <w:pPr>
        <w:jc w:val="center"/>
      </w:pPr>
      <w:r>
        <w:t>Horváth Áron, ELTINGA</w:t>
      </w:r>
    </w:p>
    <w:p w14:paraId="459192FA" w14:textId="6B9CD59A" w:rsidR="00AF5DAE" w:rsidRPr="00AF5DAE" w:rsidRDefault="00AF5DAE" w:rsidP="00AF5DAE">
      <w:pPr>
        <w:jc w:val="center"/>
      </w:pPr>
      <w:r>
        <w:t>Sápi Zoltán, ELTINGA</w:t>
      </w:r>
    </w:p>
    <w:p w14:paraId="271435E7" w14:textId="76CC935C" w:rsidR="00AF5DAE" w:rsidRDefault="00AF5DAE" w:rsidP="00AF5DAE">
      <w:pPr>
        <w:jc w:val="center"/>
      </w:pPr>
    </w:p>
    <w:p w14:paraId="7CDE1A7B" w14:textId="77777777" w:rsidR="00AF5DAE" w:rsidRDefault="00AF5DAE">
      <w:pPr>
        <w:autoSpaceDE/>
        <w:autoSpaceDN/>
        <w:spacing w:before="0" w:after="0" w:line="240" w:lineRule="auto"/>
      </w:pPr>
      <w:r>
        <w:br w:type="page"/>
      </w:r>
    </w:p>
    <w:p w14:paraId="3189574E" w14:textId="77777777" w:rsidR="006F471A" w:rsidRDefault="006F471A" w:rsidP="00AF5DAE"/>
    <w:p w14:paraId="476DC4D8" w14:textId="77777777" w:rsidR="006F471A" w:rsidRDefault="006F471A" w:rsidP="00AF5DAE"/>
    <w:p w14:paraId="213E18CD" w14:textId="0A9A0BC6" w:rsidR="00AF5DAE" w:rsidRDefault="00AF5DAE" w:rsidP="00C5742E">
      <w:pPr>
        <w:pStyle w:val="Cmsor1"/>
        <w:numPr>
          <w:ilvl w:val="0"/>
          <w:numId w:val="0"/>
        </w:numPr>
        <w:ind w:left="567" w:hanging="567"/>
      </w:pPr>
      <w:bookmarkStart w:id="0" w:name="_Toc133257971"/>
      <w:r>
        <w:t>Tartalomjegyzék</w:t>
      </w:r>
      <w:bookmarkEnd w:id="0"/>
    </w:p>
    <w:p w14:paraId="52C27316" w14:textId="77777777" w:rsidR="00C5742E" w:rsidRPr="00C5742E" w:rsidRDefault="00C5742E" w:rsidP="00C5742E"/>
    <w:sdt>
      <w:sdtPr>
        <w:rPr>
          <w:rFonts w:eastAsia="Times New Roman" w:cs="Times New Roman"/>
          <w:caps w:val="0"/>
          <w:noProof w:val="0"/>
          <w:szCs w:val="20"/>
        </w:rPr>
        <w:id w:val="1848445826"/>
        <w:docPartObj>
          <w:docPartGallery w:val="Table of Contents"/>
          <w:docPartUnique/>
        </w:docPartObj>
      </w:sdtPr>
      <w:sdtEndPr>
        <w:rPr>
          <w:b/>
          <w:bCs/>
        </w:rPr>
      </w:sdtEndPr>
      <w:sdtContent>
        <w:p w14:paraId="1DB1F8E7" w14:textId="7841CBC0" w:rsidR="003624F0" w:rsidRDefault="00AF5DAE" w:rsidP="003624F0">
          <w:pPr>
            <w:pStyle w:val="TJ1"/>
            <w:rPr>
              <w:rFonts w:asciiTheme="minorHAnsi" w:eastAsiaTheme="minorEastAsia" w:hAnsiTheme="minorHAnsi" w:cstheme="minorBidi"/>
              <w:sz w:val="22"/>
              <w:szCs w:val="22"/>
            </w:rPr>
          </w:pPr>
          <w:r w:rsidRPr="00BA7506">
            <w:fldChar w:fldCharType="begin"/>
          </w:r>
          <w:r w:rsidRPr="00BA7506">
            <w:instrText xml:space="preserve"> TOC \o "1-3" \h \z \u </w:instrText>
          </w:r>
          <w:r w:rsidRPr="00BA7506">
            <w:fldChar w:fldCharType="separate"/>
          </w:r>
          <w:hyperlink w:anchor="_Toc133257971" w:history="1">
            <w:r w:rsidR="003624F0" w:rsidRPr="00D5669F">
              <w:rPr>
                <w:rStyle w:val="Hiperhivatkozs"/>
              </w:rPr>
              <w:t>Tartalomjegyzék</w:t>
            </w:r>
            <w:r w:rsidR="003624F0">
              <w:rPr>
                <w:webHidden/>
              </w:rPr>
              <w:tab/>
            </w:r>
            <w:r w:rsidR="003624F0">
              <w:rPr>
                <w:webHidden/>
              </w:rPr>
              <w:fldChar w:fldCharType="begin"/>
            </w:r>
            <w:r w:rsidR="003624F0">
              <w:rPr>
                <w:webHidden/>
              </w:rPr>
              <w:instrText xml:space="preserve"> PAGEREF _Toc133257971 \h </w:instrText>
            </w:r>
            <w:r w:rsidR="003624F0">
              <w:rPr>
                <w:webHidden/>
              </w:rPr>
            </w:r>
            <w:r w:rsidR="003624F0">
              <w:rPr>
                <w:webHidden/>
              </w:rPr>
              <w:fldChar w:fldCharType="separate"/>
            </w:r>
            <w:r w:rsidR="003624F0">
              <w:rPr>
                <w:webHidden/>
              </w:rPr>
              <w:t>2</w:t>
            </w:r>
            <w:r w:rsidR="003624F0">
              <w:rPr>
                <w:webHidden/>
              </w:rPr>
              <w:fldChar w:fldCharType="end"/>
            </w:r>
          </w:hyperlink>
        </w:p>
        <w:p w14:paraId="4FA67322" w14:textId="2DDAAB6F" w:rsidR="003624F0" w:rsidRDefault="00E66302" w:rsidP="003624F0">
          <w:pPr>
            <w:pStyle w:val="TJ1"/>
            <w:rPr>
              <w:rFonts w:asciiTheme="minorHAnsi" w:eastAsiaTheme="minorEastAsia" w:hAnsiTheme="minorHAnsi" w:cstheme="minorBidi"/>
              <w:sz w:val="22"/>
              <w:szCs w:val="22"/>
            </w:rPr>
          </w:pPr>
          <w:hyperlink w:anchor="_Toc133257972" w:history="1">
            <w:r w:rsidR="003624F0" w:rsidRPr="00D5669F">
              <w:rPr>
                <w:rStyle w:val="Hiperhivatkozs"/>
              </w:rPr>
              <w:t>1</w:t>
            </w:r>
            <w:r w:rsidR="003624F0">
              <w:rPr>
                <w:rFonts w:asciiTheme="minorHAnsi" w:eastAsiaTheme="minorEastAsia" w:hAnsiTheme="minorHAnsi" w:cstheme="minorBidi"/>
                <w:sz w:val="22"/>
                <w:szCs w:val="22"/>
              </w:rPr>
              <w:tab/>
            </w:r>
            <w:r w:rsidR="003624F0" w:rsidRPr="00D5669F">
              <w:rPr>
                <w:rStyle w:val="Hiperhivatkozs"/>
              </w:rPr>
              <w:t>Vezetői összefoglaló</w:t>
            </w:r>
            <w:r w:rsidR="003624F0">
              <w:rPr>
                <w:webHidden/>
              </w:rPr>
              <w:tab/>
            </w:r>
            <w:r w:rsidR="003624F0">
              <w:rPr>
                <w:webHidden/>
              </w:rPr>
              <w:fldChar w:fldCharType="begin"/>
            </w:r>
            <w:r w:rsidR="003624F0">
              <w:rPr>
                <w:webHidden/>
              </w:rPr>
              <w:instrText xml:space="preserve"> PAGEREF _Toc133257972 \h </w:instrText>
            </w:r>
            <w:r w:rsidR="003624F0">
              <w:rPr>
                <w:webHidden/>
              </w:rPr>
            </w:r>
            <w:r w:rsidR="003624F0">
              <w:rPr>
                <w:webHidden/>
              </w:rPr>
              <w:fldChar w:fldCharType="separate"/>
            </w:r>
            <w:r w:rsidR="003624F0">
              <w:rPr>
                <w:webHidden/>
              </w:rPr>
              <w:t>3</w:t>
            </w:r>
            <w:r w:rsidR="003624F0">
              <w:rPr>
                <w:webHidden/>
              </w:rPr>
              <w:fldChar w:fldCharType="end"/>
            </w:r>
          </w:hyperlink>
        </w:p>
        <w:p w14:paraId="3F9BC88D" w14:textId="15CB3201" w:rsidR="003624F0" w:rsidRDefault="00E66302" w:rsidP="003624F0">
          <w:pPr>
            <w:pStyle w:val="TJ1"/>
            <w:rPr>
              <w:rFonts w:asciiTheme="minorHAnsi" w:eastAsiaTheme="minorEastAsia" w:hAnsiTheme="minorHAnsi" w:cstheme="minorBidi"/>
              <w:sz w:val="22"/>
              <w:szCs w:val="22"/>
            </w:rPr>
          </w:pPr>
          <w:hyperlink w:anchor="_Toc133257973" w:history="1">
            <w:r w:rsidR="003624F0" w:rsidRPr="00D5669F">
              <w:rPr>
                <w:rStyle w:val="Hiperhivatkozs"/>
              </w:rPr>
              <w:t>2</w:t>
            </w:r>
            <w:r w:rsidR="003624F0">
              <w:rPr>
                <w:rFonts w:asciiTheme="minorHAnsi" w:eastAsiaTheme="minorEastAsia" w:hAnsiTheme="minorHAnsi" w:cstheme="minorBidi"/>
                <w:sz w:val="22"/>
                <w:szCs w:val="22"/>
              </w:rPr>
              <w:tab/>
            </w:r>
            <w:r w:rsidR="003624F0" w:rsidRPr="00D5669F">
              <w:rPr>
                <w:rStyle w:val="Hiperhivatkozs"/>
              </w:rPr>
              <w:t>Példák társasházi épület felújítási támogatásokra</w:t>
            </w:r>
            <w:r w:rsidR="003624F0">
              <w:rPr>
                <w:webHidden/>
              </w:rPr>
              <w:tab/>
            </w:r>
            <w:r w:rsidR="003624F0">
              <w:rPr>
                <w:webHidden/>
              </w:rPr>
              <w:fldChar w:fldCharType="begin"/>
            </w:r>
            <w:r w:rsidR="003624F0">
              <w:rPr>
                <w:webHidden/>
              </w:rPr>
              <w:instrText xml:space="preserve"> PAGEREF _Toc133257973 \h </w:instrText>
            </w:r>
            <w:r w:rsidR="003624F0">
              <w:rPr>
                <w:webHidden/>
              </w:rPr>
            </w:r>
            <w:r w:rsidR="003624F0">
              <w:rPr>
                <w:webHidden/>
              </w:rPr>
              <w:fldChar w:fldCharType="separate"/>
            </w:r>
            <w:r w:rsidR="003624F0">
              <w:rPr>
                <w:webHidden/>
              </w:rPr>
              <w:t>6</w:t>
            </w:r>
            <w:r w:rsidR="003624F0">
              <w:rPr>
                <w:webHidden/>
              </w:rPr>
              <w:fldChar w:fldCharType="end"/>
            </w:r>
          </w:hyperlink>
        </w:p>
        <w:p w14:paraId="5669A3F6" w14:textId="50EECA6E" w:rsidR="003624F0" w:rsidRDefault="00E66302">
          <w:pPr>
            <w:pStyle w:val="TJ2"/>
            <w:rPr>
              <w:rFonts w:asciiTheme="minorHAnsi" w:eastAsiaTheme="minorEastAsia" w:hAnsiTheme="minorHAnsi" w:cstheme="minorBidi"/>
              <w:noProof/>
              <w:szCs w:val="22"/>
            </w:rPr>
          </w:pPr>
          <w:hyperlink w:anchor="_Toc133257974" w:history="1">
            <w:r w:rsidR="003624F0" w:rsidRPr="00D5669F">
              <w:rPr>
                <w:rStyle w:val="Hiperhivatkozs"/>
                <w:noProof/>
              </w:rPr>
              <w:t>2.1</w:t>
            </w:r>
            <w:r w:rsidR="003624F0">
              <w:rPr>
                <w:rFonts w:asciiTheme="minorHAnsi" w:eastAsiaTheme="minorEastAsia" w:hAnsiTheme="minorHAnsi" w:cstheme="minorBidi"/>
                <w:noProof/>
                <w:szCs w:val="22"/>
              </w:rPr>
              <w:tab/>
            </w:r>
            <w:r w:rsidR="003624F0" w:rsidRPr="00D5669F">
              <w:rPr>
                <w:rStyle w:val="Hiperhivatkozs"/>
                <w:noProof/>
              </w:rPr>
              <w:t>Nemzetközi hagyományos és innovatív támogatási eszközök</w:t>
            </w:r>
            <w:r w:rsidR="003624F0">
              <w:rPr>
                <w:noProof/>
                <w:webHidden/>
              </w:rPr>
              <w:tab/>
            </w:r>
            <w:r w:rsidR="003624F0">
              <w:rPr>
                <w:noProof/>
                <w:webHidden/>
              </w:rPr>
              <w:fldChar w:fldCharType="begin"/>
            </w:r>
            <w:r w:rsidR="003624F0">
              <w:rPr>
                <w:noProof/>
                <w:webHidden/>
              </w:rPr>
              <w:instrText xml:space="preserve"> PAGEREF _Toc133257974 \h </w:instrText>
            </w:r>
            <w:r w:rsidR="003624F0">
              <w:rPr>
                <w:noProof/>
                <w:webHidden/>
              </w:rPr>
            </w:r>
            <w:r w:rsidR="003624F0">
              <w:rPr>
                <w:noProof/>
                <w:webHidden/>
              </w:rPr>
              <w:fldChar w:fldCharType="separate"/>
            </w:r>
            <w:r w:rsidR="003624F0">
              <w:rPr>
                <w:noProof/>
                <w:webHidden/>
              </w:rPr>
              <w:t>6</w:t>
            </w:r>
            <w:r w:rsidR="003624F0">
              <w:rPr>
                <w:noProof/>
                <w:webHidden/>
              </w:rPr>
              <w:fldChar w:fldCharType="end"/>
            </w:r>
          </w:hyperlink>
        </w:p>
        <w:p w14:paraId="2DC3ECEF" w14:textId="3A3D3A9C" w:rsidR="003624F0" w:rsidRDefault="00E66302">
          <w:pPr>
            <w:pStyle w:val="TJ3"/>
            <w:rPr>
              <w:rFonts w:asciiTheme="minorHAnsi" w:eastAsiaTheme="minorEastAsia" w:hAnsiTheme="minorHAnsi" w:cstheme="minorBidi"/>
              <w:szCs w:val="22"/>
            </w:rPr>
          </w:pPr>
          <w:hyperlink w:anchor="_Toc133257975" w:history="1">
            <w:r w:rsidR="003624F0" w:rsidRPr="00D5669F">
              <w:rPr>
                <w:rStyle w:val="Hiperhivatkozs"/>
              </w:rPr>
              <w:t>2.1.1</w:t>
            </w:r>
            <w:r w:rsidR="003624F0">
              <w:rPr>
                <w:rFonts w:asciiTheme="minorHAnsi" w:eastAsiaTheme="minorEastAsia" w:hAnsiTheme="minorHAnsi" w:cstheme="minorBidi"/>
                <w:szCs w:val="22"/>
              </w:rPr>
              <w:tab/>
            </w:r>
            <w:r w:rsidR="003624F0" w:rsidRPr="00D5669F">
              <w:rPr>
                <w:rStyle w:val="Hiperhivatkozs"/>
              </w:rPr>
              <w:t>Nemzetközi hagyományos támogatási eszközök</w:t>
            </w:r>
            <w:r w:rsidR="003624F0">
              <w:rPr>
                <w:webHidden/>
              </w:rPr>
              <w:tab/>
            </w:r>
            <w:r w:rsidR="003624F0">
              <w:rPr>
                <w:webHidden/>
              </w:rPr>
              <w:fldChar w:fldCharType="begin"/>
            </w:r>
            <w:r w:rsidR="003624F0">
              <w:rPr>
                <w:webHidden/>
              </w:rPr>
              <w:instrText xml:space="preserve"> PAGEREF _Toc133257975 \h </w:instrText>
            </w:r>
            <w:r w:rsidR="003624F0">
              <w:rPr>
                <w:webHidden/>
              </w:rPr>
            </w:r>
            <w:r w:rsidR="003624F0">
              <w:rPr>
                <w:webHidden/>
              </w:rPr>
              <w:fldChar w:fldCharType="separate"/>
            </w:r>
            <w:r w:rsidR="003624F0">
              <w:rPr>
                <w:webHidden/>
              </w:rPr>
              <w:t>6</w:t>
            </w:r>
            <w:r w:rsidR="003624F0">
              <w:rPr>
                <w:webHidden/>
              </w:rPr>
              <w:fldChar w:fldCharType="end"/>
            </w:r>
          </w:hyperlink>
        </w:p>
        <w:p w14:paraId="50655B20" w14:textId="2E727877" w:rsidR="003624F0" w:rsidRDefault="00E66302">
          <w:pPr>
            <w:pStyle w:val="TJ3"/>
            <w:rPr>
              <w:rFonts w:asciiTheme="minorHAnsi" w:eastAsiaTheme="minorEastAsia" w:hAnsiTheme="minorHAnsi" w:cstheme="minorBidi"/>
              <w:szCs w:val="22"/>
            </w:rPr>
          </w:pPr>
          <w:hyperlink w:anchor="_Toc133257976" w:history="1">
            <w:r w:rsidR="003624F0" w:rsidRPr="00D5669F">
              <w:rPr>
                <w:rStyle w:val="Hiperhivatkozs"/>
              </w:rPr>
              <w:t>2.1.2</w:t>
            </w:r>
            <w:r w:rsidR="003624F0">
              <w:rPr>
                <w:rFonts w:asciiTheme="minorHAnsi" w:eastAsiaTheme="minorEastAsia" w:hAnsiTheme="minorHAnsi" w:cstheme="minorBidi"/>
                <w:szCs w:val="22"/>
              </w:rPr>
              <w:tab/>
            </w:r>
            <w:r w:rsidR="003624F0" w:rsidRPr="00D5669F">
              <w:rPr>
                <w:rStyle w:val="Hiperhivatkozs"/>
              </w:rPr>
              <w:t>Innovatív támogatási eszközök, felújítási forgóalap: KredEx</w:t>
            </w:r>
            <w:r w:rsidR="003624F0">
              <w:rPr>
                <w:webHidden/>
              </w:rPr>
              <w:tab/>
            </w:r>
            <w:r w:rsidR="003624F0">
              <w:rPr>
                <w:webHidden/>
              </w:rPr>
              <w:fldChar w:fldCharType="begin"/>
            </w:r>
            <w:r w:rsidR="003624F0">
              <w:rPr>
                <w:webHidden/>
              </w:rPr>
              <w:instrText xml:space="preserve"> PAGEREF _Toc133257976 \h </w:instrText>
            </w:r>
            <w:r w:rsidR="003624F0">
              <w:rPr>
                <w:webHidden/>
              </w:rPr>
            </w:r>
            <w:r w:rsidR="003624F0">
              <w:rPr>
                <w:webHidden/>
              </w:rPr>
              <w:fldChar w:fldCharType="separate"/>
            </w:r>
            <w:r w:rsidR="003624F0">
              <w:rPr>
                <w:webHidden/>
              </w:rPr>
              <w:t>7</w:t>
            </w:r>
            <w:r w:rsidR="003624F0">
              <w:rPr>
                <w:webHidden/>
              </w:rPr>
              <w:fldChar w:fldCharType="end"/>
            </w:r>
          </w:hyperlink>
        </w:p>
        <w:p w14:paraId="5B65AD58" w14:textId="39972FC9" w:rsidR="003624F0" w:rsidRDefault="00E66302">
          <w:pPr>
            <w:pStyle w:val="TJ2"/>
            <w:rPr>
              <w:rFonts w:asciiTheme="minorHAnsi" w:eastAsiaTheme="minorEastAsia" w:hAnsiTheme="minorHAnsi" w:cstheme="minorBidi"/>
              <w:noProof/>
              <w:szCs w:val="22"/>
            </w:rPr>
          </w:pPr>
          <w:hyperlink w:anchor="_Toc133257977" w:history="1">
            <w:r w:rsidR="003624F0" w:rsidRPr="00D5669F">
              <w:rPr>
                <w:rStyle w:val="Hiperhivatkozs"/>
                <w:noProof/>
              </w:rPr>
              <w:t>2.2</w:t>
            </w:r>
            <w:r w:rsidR="003624F0">
              <w:rPr>
                <w:rFonts w:asciiTheme="minorHAnsi" w:eastAsiaTheme="minorEastAsia" w:hAnsiTheme="minorHAnsi" w:cstheme="minorBidi"/>
                <w:noProof/>
                <w:szCs w:val="22"/>
              </w:rPr>
              <w:tab/>
            </w:r>
            <w:r w:rsidR="003624F0" w:rsidRPr="00D5669F">
              <w:rPr>
                <w:rStyle w:val="Hiperhivatkozs"/>
                <w:noProof/>
              </w:rPr>
              <w:t>Magyar példák társasházi épület felújítási támogatásokra</w:t>
            </w:r>
            <w:r w:rsidR="003624F0">
              <w:rPr>
                <w:noProof/>
                <w:webHidden/>
              </w:rPr>
              <w:tab/>
            </w:r>
            <w:r w:rsidR="003624F0">
              <w:rPr>
                <w:noProof/>
                <w:webHidden/>
              </w:rPr>
              <w:fldChar w:fldCharType="begin"/>
            </w:r>
            <w:r w:rsidR="003624F0">
              <w:rPr>
                <w:noProof/>
                <w:webHidden/>
              </w:rPr>
              <w:instrText xml:space="preserve"> PAGEREF _Toc133257977 \h </w:instrText>
            </w:r>
            <w:r w:rsidR="003624F0">
              <w:rPr>
                <w:noProof/>
                <w:webHidden/>
              </w:rPr>
            </w:r>
            <w:r w:rsidR="003624F0">
              <w:rPr>
                <w:noProof/>
                <w:webHidden/>
              </w:rPr>
              <w:fldChar w:fldCharType="separate"/>
            </w:r>
            <w:r w:rsidR="003624F0">
              <w:rPr>
                <w:noProof/>
                <w:webHidden/>
              </w:rPr>
              <w:t>8</w:t>
            </w:r>
            <w:r w:rsidR="003624F0">
              <w:rPr>
                <w:noProof/>
                <w:webHidden/>
              </w:rPr>
              <w:fldChar w:fldCharType="end"/>
            </w:r>
          </w:hyperlink>
        </w:p>
        <w:p w14:paraId="66B7F730" w14:textId="4AD20D68" w:rsidR="003624F0" w:rsidRDefault="00E66302">
          <w:pPr>
            <w:pStyle w:val="TJ3"/>
            <w:rPr>
              <w:rFonts w:asciiTheme="minorHAnsi" w:eastAsiaTheme="minorEastAsia" w:hAnsiTheme="minorHAnsi" w:cstheme="minorBidi"/>
              <w:szCs w:val="22"/>
            </w:rPr>
          </w:pPr>
          <w:hyperlink w:anchor="_Toc133257978" w:history="1">
            <w:r w:rsidR="003624F0" w:rsidRPr="00D5669F">
              <w:rPr>
                <w:rStyle w:val="Hiperhivatkozs"/>
              </w:rPr>
              <w:t>2.2.1</w:t>
            </w:r>
            <w:r w:rsidR="003624F0">
              <w:rPr>
                <w:rFonts w:asciiTheme="minorHAnsi" w:eastAsiaTheme="minorEastAsia" w:hAnsiTheme="minorHAnsi" w:cstheme="minorBidi"/>
                <w:szCs w:val="22"/>
              </w:rPr>
              <w:tab/>
            </w:r>
            <w:r w:rsidR="003624F0" w:rsidRPr="00D5669F">
              <w:rPr>
                <w:rStyle w:val="Hiperhivatkozs"/>
              </w:rPr>
              <w:t>Többlakásos lakóépületek felújítási támogatásai helyi önkormányzatok által</w:t>
            </w:r>
            <w:r w:rsidR="003624F0">
              <w:rPr>
                <w:webHidden/>
              </w:rPr>
              <w:tab/>
            </w:r>
            <w:r w:rsidR="003624F0">
              <w:rPr>
                <w:webHidden/>
              </w:rPr>
              <w:fldChar w:fldCharType="begin"/>
            </w:r>
            <w:r w:rsidR="003624F0">
              <w:rPr>
                <w:webHidden/>
              </w:rPr>
              <w:instrText xml:space="preserve"> PAGEREF _Toc133257978 \h </w:instrText>
            </w:r>
            <w:r w:rsidR="003624F0">
              <w:rPr>
                <w:webHidden/>
              </w:rPr>
            </w:r>
            <w:r w:rsidR="003624F0">
              <w:rPr>
                <w:webHidden/>
              </w:rPr>
              <w:fldChar w:fldCharType="separate"/>
            </w:r>
            <w:r w:rsidR="003624F0">
              <w:rPr>
                <w:webHidden/>
              </w:rPr>
              <w:t>8</w:t>
            </w:r>
            <w:r w:rsidR="003624F0">
              <w:rPr>
                <w:webHidden/>
              </w:rPr>
              <w:fldChar w:fldCharType="end"/>
            </w:r>
          </w:hyperlink>
        </w:p>
        <w:p w14:paraId="3A92CDB2" w14:textId="006E5F40" w:rsidR="003624F0" w:rsidRDefault="00E66302">
          <w:pPr>
            <w:pStyle w:val="TJ3"/>
            <w:rPr>
              <w:rFonts w:asciiTheme="minorHAnsi" w:eastAsiaTheme="minorEastAsia" w:hAnsiTheme="minorHAnsi" w:cstheme="minorBidi"/>
              <w:szCs w:val="22"/>
            </w:rPr>
          </w:pPr>
          <w:hyperlink w:anchor="_Toc133257979" w:history="1">
            <w:r w:rsidR="003624F0" w:rsidRPr="00D5669F">
              <w:rPr>
                <w:rStyle w:val="Hiperhivatkozs"/>
              </w:rPr>
              <w:t>2.2.2</w:t>
            </w:r>
            <w:r w:rsidR="003624F0">
              <w:rPr>
                <w:rFonts w:asciiTheme="minorHAnsi" w:eastAsiaTheme="minorEastAsia" w:hAnsiTheme="minorHAnsi" w:cstheme="minorBidi"/>
                <w:szCs w:val="22"/>
              </w:rPr>
              <w:tab/>
            </w:r>
            <w:r w:rsidR="003624F0" w:rsidRPr="00D5669F">
              <w:rPr>
                <w:rStyle w:val="Hiperhivatkozs"/>
              </w:rPr>
              <w:t>Budaörs</w:t>
            </w:r>
            <w:r w:rsidR="003624F0">
              <w:rPr>
                <w:webHidden/>
              </w:rPr>
              <w:tab/>
            </w:r>
            <w:r w:rsidR="003624F0">
              <w:rPr>
                <w:webHidden/>
              </w:rPr>
              <w:fldChar w:fldCharType="begin"/>
            </w:r>
            <w:r w:rsidR="003624F0">
              <w:rPr>
                <w:webHidden/>
              </w:rPr>
              <w:instrText xml:space="preserve"> PAGEREF _Toc133257979 \h </w:instrText>
            </w:r>
            <w:r w:rsidR="003624F0">
              <w:rPr>
                <w:webHidden/>
              </w:rPr>
            </w:r>
            <w:r w:rsidR="003624F0">
              <w:rPr>
                <w:webHidden/>
              </w:rPr>
              <w:fldChar w:fldCharType="separate"/>
            </w:r>
            <w:r w:rsidR="003624F0">
              <w:rPr>
                <w:webHidden/>
              </w:rPr>
              <w:t>9</w:t>
            </w:r>
            <w:r w:rsidR="003624F0">
              <w:rPr>
                <w:webHidden/>
              </w:rPr>
              <w:fldChar w:fldCharType="end"/>
            </w:r>
          </w:hyperlink>
        </w:p>
        <w:p w14:paraId="2CE9F6AA" w14:textId="56A9B874" w:rsidR="003624F0" w:rsidRDefault="00E66302">
          <w:pPr>
            <w:pStyle w:val="TJ3"/>
            <w:rPr>
              <w:rFonts w:asciiTheme="minorHAnsi" w:eastAsiaTheme="minorEastAsia" w:hAnsiTheme="minorHAnsi" w:cstheme="minorBidi"/>
              <w:szCs w:val="22"/>
            </w:rPr>
          </w:pPr>
          <w:hyperlink w:anchor="_Toc133257980" w:history="1">
            <w:r w:rsidR="003624F0" w:rsidRPr="00D5669F">
              <w:rPr>
                <w:rStyle w:val="Hiperhivatkozs"/>
              </w:rPr>
              <w:t>2.2.3</w:t>
            </w:r>
            <w:r w:rsidR="003624F0">
              <w:rPr>
                <w:rFonts w:asciiTheme="minorHAnsi" w:eastAsiaTheme="minorEastAsia" w:hAnsiTheme="minorHAnsi" w:cstheme="minorBidi"/>
                <w:szCs w:val="22"/>
              </w:rPr>
              <w:tab/>
            </w:r>
            <w:r w:rsidR="003624F0" w:rsidRPr="00D5669F">
              <w:rPr>
                <w:rStyle w:val="Hiperhivatkozs"/>
              </w:rPr>
              <w:t>Tiszaújváros</w:t>
            </w:r>
            <w:r w:rsidR="003624F0">
              <w:rPr>
                <w:webHidden/>
              </w:rPr>
              <w:tab/>
            </w:r>
            <w:r w:rsidR="003624F0">
              <w:rPr>
                <w:webHidden/>
              </w:rPr>
              <w:fldChar w:fldCharType="begin"/>
            </w:r>
            <w:r w:rsidR="003624F0">
              <w:rPr>
                <w:webHidden/>
              </w:rPr>
              <w:instrText xml:space="preserve"> PAGEREF _Toc133257980 \h </w:instrText>
            </w:r>
            <w:r w:rsidR="003624F0">
              <w:rPr>
                <w:webHidden/>
              </w:rPr>
            </w:r>
            <w:r w:rsidR="003624F0">
              <w:rPr>
                <w:webHidden/>
              </w:rPr>
              <w:fldChar w:fldCharType="separate"/>
            </w:r>
            <w:r w:rsidR="003624F0">
              <w:rPr>
                <w:webHidden/>
              </w:rPr>
              <w:t>9</w:t>
            </w:r>
            <w:r w:rsidR="003624F0">
              <w:rPr>
                <w:webHidden/>
              </w:rPr>
              <w:fldChar w:fldCharType="end"/>
            </w:r>
          </w:hyperlink>
        </w:p>
        <w:p w14:paraId="26A898CC" w14:textId="152E74B3" w:rsidR="003624F0" w:rsidRDefault="00E66302">
          <w:pPr>
            <w:pStyle w:val="TJ3"/>
            <w:rPr>
              <w:rFonts w:asciiTheme="minorHAnsi" w:eastAsiaTheme="minorEastAsia" w:hAnsiTheme="minorHAnsi" w:cstheme="minorBidi"/>
              <w:szCs w:val="22"/>
            </w:rPr>
          </w:pPr>
          <w:hyperlink w:anchor="_Toc133257981" w:history="1">
            <w:r w:rsidR="003624F0" w:rsidRPr="00D5669F">
              <w:rPr>
                <w:rStyle w:val="Hiperhivatkozs"/>
              </w:rPr>
              <w:t>2.2.4</w:t>
            </w:r>
            <w:r w:rsidR="003624F0">
              <w:rPr>
                <w:rFonts w:asciiTheme="minorHAnsi" w:eastAsiaTheme="minorEastAsia" w:hAnsiTheme="minorHAnsi" w:cstheme="minorBidi"/>
                <w:szCs w:val="22"/>
              </w:rPr>
              <w:tab/>
            </w:r>
            <w:r w:rsidR="003624F0" w:rsidRPr="00D5669F">
              <w:rPr>
                <w:rStyle w:val="Hiperhivatkozs"/>
              </w:rPr>
              <w:t>Ferencváros</w:t>
            </w:r>
            <w:r w:rsidR="003624F0">
              <w:rPr>
                <w:webHidden/>
              </w:rPr>
              <w:tab/>
            </w:r>
            <w:r w:rsidR="003624F0">
              <w:rPr>
                <w:webHidden/>
              </w:rPr>
              <w:fldChar w:fldCharType="begin"/>
            </w:r>
            <w:r w:rsidR="003624F0">
              <w:rPr>
                <w:webHidden/>
              </w:rPr>
              <w:instrText xml:space="preserve"> PAGEREF _Toc133257981 \h </w:instrText>
            </w:r>
            <w:r w:rsidR="003624F0">
              <w:rPr>
                <w:webHidden/>
              </w:rPr>
            </w:r>
            <w:r w:rsidR="003624F0">
              <w:rPr>
                <w:webHidden/>
              </w:rPr>
              <w:fldChar w:fldCharType="separate"/>
            </w:r>
            <w:r w:rsidR="003624F0">
              <w:rPr>
                <w:webHidden/>
              </w:rPr>
              <w:t>9</w:t>
            </w:r>
            <w:r w:rsidR="003624F0">
              <w:rPr>
                <w:webHidden/>
              </w:rPr>
              <w:fldChar w:fldCharType="end"/>
            </w:r>
          </w:hyperlink>
        </w:p>
        <w:p w14:paraId="2CFA9710" w14:textId="001DDFDD" w:rsidR="003624F0" w:rsidRDefault="00E66302" w:rsidP="003624F0">
          <w:pPr>
            <w:pStyle w:val="TJ1"/>
            <w:rPr>
              <w:rFonts w:asciiTheme="minorHAnsi" w:eastAsiaTheme="minorEastAsia" w:hAnsiTheme="minorHAnsi" w:cstheme="minorBidi"/>
              <w:sz w:val="22"/>
              <w:szCs w:val="22"/>
            </w:rPr>
          </w:pPr>
          <w:hyperlink w:anchor="_Toc133257982" w:history="1">
            <w:r w:rsidR="003624F0" w:rsidRPr="00D5669F">
              <w:rPr>
                <w:rStyle w:val="Hiperhivatkozs"/>
              </w:rPr>
              <w:t>3</w:t>
            </w:r>
            <w:r w:rsidR="003624F0">
              <w:rPr>
                <w:rFonts w:asciiTheme="minorHAnsi" w:eastAsiaTheme="minorEastAsia" w:hAnsiTheme="minorHAnsi" w:cstheme="minorBidi"/>
                <w:sz w:val="22"/>
                <w:szCs w:val="22"/>
              </w:rPr>
              <w:tab/>
            </w:r>
            <w:r w:rsidR="003624F0" w:rsidRPr="00D5669F">
              <w:rPr>
                <w:rStyle w:val="Hiperhivatkozs"/>
              </w:rPr>
              <w:t>A felújítási alapokra vonatkozó magyar jogszabályi környezet</w:t>
            </w:r>
            <w:r w:rsidR="003624F0">
              <w:rPr>
                <w:webHidden/>
              </w:rPr>
              <w:tab/>
            </w:r>
            <w:r w:rsidR="003624F0">
              <w:rPr>
                <w:webHidden/>
              </w:rPr>
              <w:fldChar w:fldCharType="begin"/>
            </w:r>
            <w:r w:rsidR="003624F0">
              <w:rPr>
                <w:webHidden/>
              </w:rPr>
              <w:instrText xml:space="preserve"> PAGEREF _Toc133257982 \h </w:instrText>
            </w:r>
            <w:r w:rsidR="003624F0">
              <w:rPr>
                <w:webHidden/>
              </w:rPr>
            </w:r>
            <w:r w:rsidR="003624F0">
              <w:rPr>
                <w:webHidden/>
              </w:rPr>
              <w:fldChar w:fldCharType="separate"/>
            </w:r>
            <w:r w:rsidR="003624F0">
              <w:rPr>
                <w:webHidden/>
              </w:rPr>
              <w:t>11</w:t>
            </w:r>
            <w:r w:rsidR="003624F0">
              <w:rPr>
                <w:webHidden/>
              </w:rPr>
              <w:fldChar w:fldCharType="end"/>
            </w:r>
          </w:hyperlink>
        </w:p>
        <w:p w14:paraId="24820932" w14:textId="1F045BD3" w:rsidR="003624F0" w:rsidRDefault="00E66302">
          <w:pPr>
            <w:pStyle w:val="TJ2"/>
            <w:rPr>
              <w:rFonts w:asciiTheme="minorHAnsi" w:eastAsiaTheme="minorEastAsia" w:hAnsiTheme="minorHAnsi" w:cstheme="minorBidi"/>
              <w:noProof/>
              <w:szCs w:val="22"/>
            </w:rPr>
          </w:pPr>
          <w:hyperlink w:anchor="_Toc133257983" w:history="1">
            <w:r w:rsidR="003624F0" w:rsidRPr="00D5669F">
              <w:rPr>
                <w:rStyle w:val="Hiperhivatkozs"/>
                <w:noProof/>
              </w:rPr>
              <w:t>3.1</w:t>
            </w:r>
            <w:r w:rsidR="003624F0">
              <w:rPr>
                <w:rFonts w:asciiTheme="minorHAnsi" w:eastAsiaTheme="minorEastAsia" w:hAnsiTheme="minorHAnsi" w:cstheme="minorBidi"/>
                <w:noProof/>
                <w:szCs w:val="22"/>
              </w:rPr>
              <w:tab/>
            </w:r>
            <w:r w:rsidR="003624F0" w:rsidRPr="00D5669F">
              <w:rPr>
                <w:rStyle w:val="Hiperhivatkozs"/>
                <w:noProof/>
              </w:rPr>
              <w:t>Önkormányzati törvény (2011. évi CLXXXIX. törvény Magyarország helyi önkormányzatairól, továbbiakban: Mötv)</w:t>
            </w:r>
            <w:r w:rsidR="003624F0">
              <w:rPr>
                <w:noProof/>
                <w:webHidden/>
              </w:rPr>
              <w:tab/>
            </w:r>
            <w:r w:rsidR="003624F0">
              <w:rPr>
                <w:noProof/>
                <w:webHidden/>
              </w:rPr>
              <w:fldChar w:fldCharType="begin"/>
            </w:r>
            <w:r w:rsidR="003624F0">
              <w:rPr>
                <w:noProof/>
                <w:webHidden/>
              </w:rPr>
              <w:instrText xml:space="preserve"> PAGEREF _Toc133257983 \h </w:instrText>
            </w:r>
            <w:r w:rsidR="003624F0">
              <w:rPr>
                <w:noProof/>
                <w:webHidden/>
              </w:rPr>
            </w:r>
            <w:r w:rsidR="003624F0">
              <w:rPr>
                <w:noProof/>
                <w:webHidden/>
              </w:rPr>
              <w:fldChar w:fldCharType="separate"/>
            </w:r>
            <w:r w:rsidR="003624F0">
              <w:rPr>
                <w:noProof/>
                <w:webHidden/>
              </w:rPr>
              <w:t>11</w:t>
            </w:r>
            <w:r w:rsidR="003624F0">
              <w:rPr>
                <w:noProof/>
                <w:webHidden/>
              </w:rPr>
              <w:fldChar w:fldCharType="end"/>
            </w:r>
          </w:hyperlink>
        </w:p>
        <w:p w14:paraId="2BA78879" w14:textId="022AEB9B" w:rsidR="003624F0" w:rsidRDefault="00E66302">
          <w:pPr>
            <w:pStyle w:val="TJ2"/>
            <w:rPr>
              <w:rFonts w:asciiTheme="minorHAnsi" w:eastAsiaTheme="minorEastAsia" w:hAnsiTheme="minorHAnsi" w:cstheme="minorBidi"/>
              <w:noProof/>
              <w:szCs w:val="22"/>
            </w:rPr>
          </w:pPr>
          <w:hyperlink w:anchor="_Toc133257984" w:history="1">
            <w:r w:rsidR="003624F0" w:rsidRPr="00D5669F">
              <w:rPr>
                <w:rStyle w:val="Hiperhivatkozs"/>
                <w:noProof/>
              </w:rPr>
              <w:t>3.2</w:t>
            </w:r>
            <w:r w:rsidR="003624F0">
              <w:rPr>
                <w:rFonts w:asciiTheme="minorHAnsi" w:eastAsiaTheme="minorEastAsia" w:hAnsiTheme="minorHAnsi" w:cstheme="minorBidi"/>
                <w:noProof/>
                <w:szCs w:val="22"/>
              </w:rPr>
              <w:tab/>
            </w:r>
            <w:r w:rsidR="003624F0" w:rsidRPr="00D5669F">
              <w:rPr>
                <w:rStyle w:val="Hiperhivatkozs"/>
                <w:noProof/>
              </w:rPr>
              <w:t>Nemzeti vagyonról szóló 2011. évi CXCVI. törvény (a továbbiakban: Nvt.)</w:t>
            </w:r>
            <w:r w:rsidR="003624F0">
              <w:rPr>
                <w:noProof/>
                <w:webHidden/>
              </w:rPr>
              <w:tab/>
            </w:r>
            <w:r w:rsidR="003624F0">
              <w:rPr>
                <w:noProof/>
                <w:webHidden/>
              </w:rPr>
              <w:fldChar w:fldCharType="begin"/>
            </w:r>
            <w:r w:rsidR="003624F0">
              <w:rPr>
                <w:noProof/>
                <w:webHidden/>
              </w:rPr>
              <w:instrText xml:space="preserve"> PAGEREF _Toc133257984 \h </w:instrText>
            </w:r>
            <w:r w:rsidR="003624F0">
              <w:rPr>
                <w:noProof/>
                <w:webHidden/>
              </w:rPr>
            </w:r>
            <w:r w:rsidR="003624F0">
              <w:rPr>
                <w:noProof/>
                <w:webHidden/>
              </w:rPr>
              <w:fldChar w:fldCharType="separate"/>
            </w:r>
            <w:r w:rsidR="003624F0">
              <w:rPr>
                <w:noProof/>
                <w:webHidden/>
              </w:rPr>
              <w:t>12</w:t>
            </w:r>
            <w:r w:rsidR="003624F0">
              <w:rPr>
                <w:noProof/>
                <w:webHidden/>
              </w:rPr>
              <w:fldChar w:fldCharType="end"/>
            </w:r>
          </w:hyperlink>
        </w:p>
        <w:p w14:paraId="552B6478" w14:textId="5F0D27B3" w:rsidR="003624F0" w:rsidRDefault="00E66302">
          <w:pPr>
            <w:pStyle w:val="TJ2"/>
            <w:rPr>
              <w:rFonts w:asciiTheme="minorHAnsi" w:eastAsiaTheme="minorEastAsia" w:hAnsiTheme="minorHAnsi" w:cstheme="minorBidi"/>
              <w:noProof/>
              <w:szCs w:val="22"/>
            </w:rPr>
          </w:pPr>
          <w:hyperlink w:anchor="_Toc133257985" w:history="1">
            <w:r w:rsidR="003624F0" w:rsidRPr="00D5669F">
              <w:rPr>
                <w:rStyle w:val="Hiperhivatkozs"/>
                <w:noProof/>
              </w:rPr>
              <w:t>3.3</w:t>
            </w:r>
            <w:r w:rsidR="003624F0">
              <w:rPr>
                <w:rFonts w:asciiTheme="minorHAnsi" w:eastAsiaTheme="minorEastAsia" w:hAnsiTheme="minorHAnsi" w:cstheme="minorBidi"/>
                <w:noProof/>
                <w:szCs w:val="22"/>
              </w:rPr>
              <w:tab/>
            </w:r>
            <w:r w:rsidR="003624F0" w:rsidRPr="00D5669F">
              <w:rPr>
                <w:rStyle w:val="Hiperhivatkozs"/>
                <w:noProof/>
              </w:rPr>
              <w:t>Társasházi törvény (Tht.) 2003. évi CXXXIII. törvény a társasházakról</w:t>
            </w:r>
            <w:r w:rsidR="003624F0">
              <w:rPr>
                <w:noProof/>
                <w:webHidden/>
              </w:rPr>
              <w:tab/>
            </w:r>
            <w:r w:rsidR="003624F0">
              <w:rPr>
                <w:noProof/>
                <w:webHidden/>
              </w:rPr>
              <w:fldChar w:fldCharType="begin"/>
            </w:r>
            <w:r w:rsidR="003624F0">
              <w:rPr>
                <w:noProof/>
                <w:webHidden/>
              </w:rPr>
              <w:instrText xml:space="preserve"> PAGEREF _Toc133257985 \h </w:instrText>
            </w:r>
            <w:r w:rsidR="003624F0">
              <w:rPr>
                <w:noProof/>
                <w:webHidden/>
              </w:rPr>
            </w:r>
            <w:r w:rsidR="003624F0">
              <w:rPr>
                <w:noProof/>
                <w:webHidden/>
              </w:rPr>
              <w:fldChar w:fldCharType="separate"/>
            </w:r>
            <w:r w:rsidR="003624F0">
              <w:rPr>
                <w:noProof/>
                <w:webHidden/>
              </w:rPr>
              <w:t>13</w:t>
            </w:r>
            <w:r w:rsidR="003624F0">
              <w:rPr>
                <w:noProof/>
                <w:webHidden/>
              </w:rPr>
              <w:fldChar w:fldCharType="end"/>
            </w:r>
          </w:hyperlink>
        </w:p>
        <w:p w14:paraId="7CBA399D" w14:textId="5149BFBE" w:rsidR="003624F0" w:rsidRDefault="00E66302">
          <w:pPr>
            <w:pStyle w:val="TJ2"/>
            <w:rPr>
              <w:rFonts w:asciiTheme="minorHAnsi" w:eastAsiaTheme="minorEastAsia" w:hAnsiTheme="minorHAnsi" w:cstheme="minorBidi"/>
              <w:noProof/>
              <w:szCs w:val="22"/>
            </w:rPr>
          </w:pPr>
          <w:hyperlink w:anchor="_Toc133257986" w:history="1">
            <w:r w:rsidR="003624F0" w:rsidRPr="00D5669F">
              <w:rPr>
                <w:rStyle w:val="Hiperhivatkozs"/>
                <w:noProof/>
              </w:rPr>
              <w:t>3.4</w:t>
            </w:r>
            <w:r w:rsidR="003624F0">
              <w:rPr>
                <w:rFonts w:asciiTheme="minorHAnsi" w:eastAsiaTheme="minorEastAsia" w:hAnsiTheme="minorHAnsi" w:cstheme="minorBidi"/>
                <w:noProof/>
                <w:szCs w:val="22"/>
              </w:rPr>
              <w:tab/>
            </w:r>
            <w:r w:rsidR="003624F0" w:rsidRPr="00D5669F">
              <w:rPr>
                <w:rStyle w:val="Hiperhivatkozs"/>
                <w:noProof/>
              </w:rPr>
              <w:t>A lakáscélú állami támogatásokról szóló 12/2001. (I. 31.) Korm. rendelet (LátR)</w:t>
            </w:r>
            <w:r w:rsidR="003624F0">
              <w:rPr>
                <w:noProof/>
                <w:webHidden/>
              </w:rPr>
              <w:tab/>
            </w:r>
            <w:r w:rsidR="003624F0">
              <w:rPr>
                <w:noProof/>
                <w:webHidden/>
              </w:rPr>
              <w:fldChar w:fldCharType="begin"/>
            </w:r>
            <w:r w:rsidR="003624F0">
              <w:rPr>
                <w:noProof/>
                <w:webHidden/>
              </w:rPr>
              <w:instrText xml:space="preserve"> PAGEREF _Toc133257986 \h </w:instrText>
            </w:r>
            <w:r w:rsidR="003624F0">
              <w:rPr>
                <w:noProof/>
                <w:webHidden/>
              </w:rPr>
            </w:r>
            <w:r w:rsidR="003624F0">
              <w:rPr>
                <w:noProof/>
                <w:webHidden/>
              </w:rPr>
              <w:fldChar w:fldCharType="separate"/>
            </w:r>
            <w:r w:rsidR="003624F0">
              <w:rPr>
                <w:noProof/>
                <w:webHidden/>
              </w:rPr>
              <w:t>14</w:t>
            </w:r>
            <w:r w:rsidR="003624F0">
              <w:rPr>
                <w:noProof/>
                <w:webHidden/>
              </w:rPr>
              <w:fldChar w:fldCharType="end"/>
            </w:r>
          </w:hyperlink>
        </w:p>
        <w:p w14:paraId="0F413D11" w14:textId="40C5A479" w:rsidR="003624F0" w:rsidRDefault="00E66302">
          <w:pPr>
            <w:pStyle w:val="TJ2"/>
            <w:rPr>
              <w:rFonts w:asciiTheme="minorHAnsi" w:eastAsiaTheme="minorEastAsia" w:hAnsiTheme="minorHAnsi" w:cstheme="minorBidi"/>
              <w:noProof/>
              <w:szCs w:val="22"/>
            </w:rPr>
          </w:pPr>
          <w:hyperlink w:anchor="_Toc133257987" w:history="1">
            <w:r w:rsidR="003624F0" w:rsidRPr="00D5669F">
              <w:rPr>
                <w:rStyle w:val="Hiperhivatkozs"/>
                <w:noProof/>
              </w:rPr>
              <w:t>3.5</w:t>
            </w:r>
            <w:r w:rsidR="003624F0">
              <w:rPr>
                <w:rFonts w:asciiTheme="minorHAnsi" w:eastAsiaTheme="minorEastAsia" w:hAnsiTheme="minorHAnsi" w:cstheme="minorBidi"/>
                <w:noProof/>
                <w:szCs w:val="22"/>
              </w:rPr>
              <w:tab/>
            </w:r>
            <w:r w:rsidR="003624F0" w:rsidRPr="00D5669F">
              <w:rPr>
                <w:rStyle w:val="Hiperhivatkozs"/>
                <w:noProof/>
              </w:rPr>
              <w:t>Lakástörvény (Ltv.) 1993. évi LXXVIII. törvény a lakások és helyiségek bérletére, valamint az elidegenítésükre vonatkozó egyes szabályokról</w:t>
            </w:r>
            <w:r w:rsidR="003624F0">
              <w:rPr>
                <w:noProof/>
                <w:webHidden/>
              </w:rPr>
              <w:tab/>
            </w:r>
            <w:r w:rsidR="003624F0">
              <w:rPr>
                <w:noProof/>
                <w:webHidden/>
              </w:rPr>
              <w:fldChar w:fldCharType="begin"/>
            </w:r>
            <w:r w:rsidR="003624F0">
              <w:rPr>
                <w:noProof/>
                <w:webHidden/>
              </w:rPr>
              <w:instrText xml:space="preserve"> PAGEREF _Toc133257987 \h </w:instrText>
            </w:r>
            <w:r w:rsidR="003624F0">
              <w:rPr>
                <w:noProof/>
                <w:webHidden/>
              </w:rPr>
            </w:r>
            <w:r w:rsidR="003624F0">
              <w:rPr>
                <w:noProof/>
                <w:webHidden/>
              </w:rPr>
              <w:fldChar w:fldCharType="separate"/>
            </w:r>
            <w:r w:rsidR="003624F0">
              <w:rPr>
                <w:noProof/>
                <w:webHidden/>
              </w:rPr>
              <w:t>15</w:t>
            </w:r>
            <w:r w:rsidR="003624F0">
              <w:rPr>
                <w:noProof/>
                <w:webHidden/>
              </w:rPr>
              <w:fldChar w:fldCharType="end"/>
            </w:r>
          </w:hyperlink>
        </w:p>
        <w:p w14:paraId="54D0608F" w14:textId="017AA762" w:rsidR="003624F0" w:rsidRDefault="00E66302">
          <w:pPr>
            <w:pStyle w:val="TJ2"/>
            <w:rPr>
              <w:rFonts w:asciiTheme="minorHAnsi" w:eastAsiaTheme="minorEastAsia" w:hAnsiTheme="minorHAnsi" w:cstheme="minorBidi"/>
              <w:noProof/>
              <w:szCs w:val="22"/>
            </w:rPr>
          </w:pPr>
          <w:hyperlink w:anchor="_Toc133257988" w:history="1">
            <w:r w:rsidR="003624F0" w:rsidRPr="00D5669F">
              <w:rPr>
                <w:rStyle w:val="Hiperhivatkozs"/>
                <w:noProof/>
              </w:rPr>
              <w:t>3.6</w:t>
            </w:r>
            <w:r w:rsidR="003624F0">
              <w:rPr>
                <w:rFonts w:asciiTheme="minorHAnsi" w:eastAsiaTheme="minorEastAsia" w:hAnsiTheme="minorHAnsi" w:cstheme="minorBidi"/>
                <w:noProof/>
                <w:szCs w:val="22"/>
              </w:rPr>
              <w:tab/>
            </w:r>
            <w:r w:rsidR="003624F0" w:rsidRPr="00D5669F">
              <w:rPr>
                <w:rStyle w:val="Hiperhivatkozs"/>
                <w:noProof/>
              </w:rPr>
              <w:t>A helyi adókról szóló 1990. évi C. törvény (továbbiakban: Htv.)</w:t>
            </w:r>
            <w:r w:rsidR="003624F0">
              <w:rPr>
                <w:noProof/>
                <w:webHidden/>
              </w:rPr>
              <w:tab/>
            </w:r>
            <w:r w:rsidR="003624F0">
              <w:rPr>
                <w:noProof/>
                <w:webHidden/>
              </w:rPr>
              <w:fldChar w:fldCharType="begin"/>
            </w:r>
            <w:r w:rsidR="003624F0">
              <w:rPr>
                <w:noProof/>
                <w:webHidden/>
              </w:rPr>
              <w:instrText xml:space="preserve"> PAGEREF _Toc133257988 \h </w:instrText>
            </w:r>
            <w:r w:rsidR="003624F0">
              <w:rPr>
                <w:noProof/>
                <w:webHidden/>
              </w:rPr>
            </w:r>
            <w:r w:rsidR="003624F0">
              <w:rPr>
                <w:noProof/>
                <w:webHidden/>
              </w:rPr>
              <w:fldChar w:fldCharType="separate"/>
            </w:r>
            <w:r w:rsidR="003624F0">
              <w:rPr>
                <w:noProof/>
                <w:webHidden/>
              </w:rPr>
              <w:t>15</w:t>
            </w:r>
            <w:r w:rsidR="003624F0">
              <w:rPr>
                <w:noProof/>
                <w:webHidden/>
              </w:rPr>
              <w:fldChar w:fldCharType="end"/>
            </w:r>
          </w:hyperlink>
        </w:p>
        <w:p w14:paraId="59152E4E" w14:textId="134C99B9" w:rsidR="003624F0" w:rsidRDefault="00E66302">
          <w:pPr>
            <w:pStyle w:val="TJ3"/>
            <w:rPr>
              <w:rFonts w:asciiTheme="minorHAnsi" w:eastAsiaTheme="minorEastAsia" w:hAnsiTheme="minorHAnsi" w:cstheme="minorBidi"/>
              <w:szCs w:val="22"/>
            </w:rPr>
          </w:pPr>
          <w:hyperlink w:anchor="_Toc133257989" w:history="1">
            <w:r w:rsidR="003624F0" w:rsidRPr="00D5669F">
              <w:rPr>
                <w:rStyle w:val="Hiperhivatkozs"/>
              </w:rPr>
              <w:t>3.6.1</w:t>
            </w:r>
            <w:r w:rsidR="003624F0">
              <w:rPr>
                <w:rFonts w:asciiTheme="minorHAnsi" w:eastAsiaTheme="minorEastAsia" w:hAnsiTheme="minorHAnsi" w:cstheme="minorBidi"/>
                <w:szCs w:val="22"/>
              </w:rPr>
              <w:tab/>
            </w:r>
            <w:r w:rsidR="003624F0" w:rsidRPr="00D5669F">
              <w:rPr>
                <w:rStyle w:val="Hiperhivatkozs"/>
              </w:rPr>
              <w:t>Budapest Főváros VII. Kerület Erzsébetváros Önkormányzata helyi adó fajták</w:t>
            </w:r>
            <w:r w:rsidR="003624F0">
              <w:rPr>
                <w:webHidden/>
              </w:rPr>
              <w:tab/>
            </w:r>
            <w:r w:rsidR="003624F0">
              <w:rPr>
                <w:webHidden/>
              </w:rPr>
              <w:fldChar w:fldCharType="begin"/>
            </w:r>
            <w:r w:rsidR="003624F0">
              <w:rPr>
                <w:webHidden/>
              </w:rPr>
              <w:instrText xml:space="preserve"> PAGEREF _Toc133257989 \h </w:instrText>
            </w:r>
            <w:r w:rsidR="003624F0">
              <w:rPr>
                <w:webHidden/>
              </w:rPr>
            </w:r>
            <w:r w:rsidR="003624F0">
              <w:rPr>
                <w:webHidden/>
              </w:rPr>
              <w:fldChar w:fldCharType="separate"/>
            </w:r>
            <w:r w:rsidR="003624F0">
              <w:rPr>
                <w:webHidden/>
              </w:rPr>
              <w:t>17</w:t>
            </w:r>
            <w:r w:rsidR="003624F0">
              <w:rPr>
                <w:webHidden/>
              </w:rPr>
              <w:fldChar w:fldCharType="end"/>
            </w:r>
          </w:hyperlink>
        </w:p>
        <w:p w14:paraId="1C9E56CE" w14:textId="12ABD95E" w:rsidR="003624F0" w:rsidRDefault="00E66302">
          <w:pPr>
            <w:pStyle w:val="TJ2"/>
            <w:rPr>
              <w:rFonts w:asciiTheme="minorHAnsi" w:eastAsiaTheme="minorEastAsia" w:hAnsiTheme="minorHAnsi" w:cstheme="minorBidi"/>
              <w:noProof/>
              <w:szCs w:val="22"/>
            </w:rPr>
          </w:pPr>
          <w:hyperlink w:anchor="_Toc133257990" w:history="1">
            <w:r w:rsidR="003624F0" w:rsidRPr="00D5669F">
              <w:rPr>
                <w:rStyle w:val="Hiperhivatkozs"/>
                <w:noProof/>
              </w:rPr>
              <w:t>3.7</w:t>
            </w:r>
            <w:r w:rsidR="003624F0">
              <w:rPr>
                <w:rFonts w:asciiTheme="minorHAnsi" w:eastAsiaTheme="minorEastAsia" w:hAnsiTheme="minorHAnsi" w:cstheme="minorBidi"/>
                <w:noProof/>
                <w:szCs w:val="22"/>
              </w:rPr>
              <w:tab/>
            </w:r>
            <w:r w:rsidR="003624F0" w:rsidRPr="00D5669F">
              <w:rPr>
                <w:rStyle w:val="Hiperhivatkozs"/>
                <w:noProof/>
              </w:rPr>
              <w:t>Támogatások átláthatósága</w:t>
            </w:r>
            <w:r w:rsidR="003624F0">
              <w:rPr>
                <w:noProof/>
                <w:webHidden/>
              </w:rPr>
              <w:tab/>
            </w:r>
            <w:r w:rsidR="003624F0">
              <w:rPr>
                <w:noProof/>
                <w:webHidden/>
              </w:rPr>
              <w:fldChar w:fldCharType="begin"/>
            </w:r>
            <w:r w:rsidR="003624F0">
              <w:rPr>
                <w:noProof/>
                <w:webHidden/>
              </w:rPr>
              <w:instrText xml:space="preserve"> PAGEREF _Toc133257990 \h </w:instrText>
            </w:r>
            <w:r w:rsidR="003624F0">
              <w:rPr>
                <w:noProof/>
                <w:webHidden/>
              </w:rPr>
            </w:r>
            <w:r w:rsidR="003624F0">
              <w:rPr>
                <w:noProof/>
                <w:webHidden/>
              </w:rPr>
              <w:fldChar w:fldCharType="separate"/>
            </w:r>
            <w:r w:rsidR="003624F0">
              <w:rPr>
                <w:noProof/>
                <w:webHidden/>
              </w:rPr>
              <w:t>18</w:t>
            </w:r>
            <w:r w:rsidR="003624F0">
              <w:rPr>
                <w:noProof/>
                <w:webHidden/>
              </w:rPr>
              <w:fldChar w:fldCharType="end"/>
            </w:r>
          </w:hyperlink>
        </w:p>
        <w:p w14:paraId="0174E8F8" w14:textId="77193E5A" w:rsidR="003624F0" w:rsidRDefault="00E66302">
          <w:pPr>
            <w:pStyle w:val="TJ2"/>
            <w:rPr>
              <w:rFonts w:asciiTheme="minorHAnsi" w:eastAsiaTheme="minorEastAsia" w:hAnsiTheme="minorHAnsi" w:cstheme="minorBidi"/>
              <w:noProof/>
              <w:szCs w:val="22"/>
            </w:rPr>
          </w:pPr>
          <w:hyperlink w:anchor="_Toc133257991" w:history="1">
            <w:r w:rsidR="003624F0" w:rsidRPr="00D5669F">
              <w:rPr>
                <w:rStyle w:val="Hiperhivatkozs"/>
                <w:noProof/>
              </w:rPr>
              <w:t>3.8</w:t>
            </w:r>
            <w:r w:rsidR="003624F0">
              <w:rPr>
                <w:rFonts w:asciiTheme="minorHAnsi" w:eastAsiaTheme="minorEastAsia" w:hAnsiTheme="minorHAnsi" w:cstheme="minorBidi"/>
                <w:noProof/>
                <w:szCs w:val="22"/>
              </w:rPr>
              <w:tab/>
            </w:r>
            <w:r w:rsidR="003624F0" w:rsidRPr="00D5669F">
              <w:rPr>
                <w:rStyle w:val="Hiperhivatkozs"/>
                <w:noProof/>
              </w:rPr>
              <w:t>Energiaközösség, ESCO</w:t>
            </w:r>
            <w:r w:rsidR="003624F0">
              <w:rPr>
                <w:noProof/>
                <w:webHidden/>
              </w:rPr>
              <w:tab/>
            </w:r>
            <w:r w:rsidR="003624F0">
              <w:rPr>
                <w:noProof/>
                <w:webHidden/>
              </w:rPr>
              <w:fldChar w:fldCharType="begin"/>
            </w:r>
            <w:r w:rsidR="003624F0">
              <w:rPr>
                <w:noProof/>
                <w:webHidden/>
              </w:rPr>
              <w:instrText xml:space="preserve"> PAGEREF _Toc133257991 \h </w:instrText>
            </w:r>
            <w:r w:rsidR="003624F0">
              <w:rPr>
                <w:noProof/>
                <w:webHidden/>
              </w:rPr>
            </w:r>
            <w:r w:rsidR="003624F0">
              <w:rPr>
                <w:noProof/>
                <w:webHidden/>
              </w:rPr>
              <w:fldChar w:fldCharType="separate"/>
            </w:r>
            <w:r w:rsidR="003624F0">
              <w:rPr>
                <w:noProof/>
                <w:webHidden/>
              </w:rPr>
              <w:t>19</w:t>
            </w:r>
            <w:r w:rsidR="003624F0">
              <w:rPr>
                <w:noProof/>
                <w:webHidden/>
              </w:rPr>
              <w:fldChar w:fldCharType="end"/>
            </w:r>
          </w:hyperlink>
        </w:p>
        <w:p w14:paraId="7D1A142F" w14:textId="7A294990" w:rsidR="003624F0" w:rsidRDefault="00E66302" w:rsidP="003624F0">
          <w:pPr>
            <w:pStyle w:val="TJ1"/>
            <w:rPr>
              <w:rFonts w:asciiTheme="minorHAnsi" w:eastAsiaTheme="minorEastAsia" w:hAnsiTheme="minorHAnsi" w:cstheme="minorBidi"/>
              <w:sz w:val="22"/>
              <w:szCs w:val="22"/>
            </w:rPr>
          </w:pPr>
          <w:hyperlink w:anchor="_Toc133257992" w:history="1">
            <w:r w:rsidR="003624F0" w:rsidRPr="00D5669F">
              <w:rPr>
                <w:rStyle w:val="Hiperhivatkozs"/>
              </w:rPr>
              <w:t>4</w:t>
            </w:r>
            <w:r w:rsidR="003624F0">
              <w:rPr>
                <w:rFonts w:asciiTheme="minorHAnsi" w:eastAsiaTheme="minorEastAsia" w:hAnsiTheme="minorHAnsi" w:cstheme="minorBidi"/>
                <w:sz w:val="22"/>
                <w:szCs w:val="22"/>
              </w:rPr>
              <w:tab/>
            </w:r>
            <w:r w:rsidR="003624F0" w:rsidRPr="00D5669F">
              <w:rPr>
                <w:rStyle w:val="Hiperhivatkozs"/>
              </w:rPr>
              <w:t>Javaslatok</w:t>
            </w:r>
            <w:r w:rsidR="003624F0">
              <w:rPr>
                <w:webHidden/>
              </w:rPr>
              <w:tab/>
            </w:r>
            <w:r w:rsidR="003624F0">
              <w:rPr>
                <w:webHidden/>
              </w:rPr>
              <w:fldChar w:fldCharType="begin"/>
            </w:r>
            <w:r w:rsidR="003624F0">
              <w:rPr>
                <w:webHidden/>
              </w:rPr>
              <w:instrText xml:space="preserve"> PAGEREF _Toc133257992 \h </w:instrText>
            </w:r>
            <w:r w:rsidR="003624F0">
              <w:rPr>
                <w:webHidden/>
              </w:rPr>
            </w:r>
            <w:r w:rsidR="003624F0">
              <w:rPr>
                <w:webHidden/>
              </w:rPr>
              <w:fldChar w:fldCharType="separate"/>
            </w:r>
            <w:r w:rsidR="003624F0">
              <w:rPr>
                <w:webHidden/>
              </w:rPr>
              <w:t>20</w:t>
            </w:r>
            <w:r w:rsidR="003624F0">
              <w:rPr>
                <w:webHidden/>
              </w:rPr>
              <w:fldChar w:fldCharType="end"/>
            </w:r>
          </w:hyperlink>
        </w:p>
        <w:p w14:paraId="6C8541B7" w14:textId="0069159C" w:rsidR="003624F0" w:rsidRDefault="00E66302">
          <w:pPr>
            <w:pStyle w:val="TJ2"/>
            <w:rPr>
              <w:rFonts w:asciiTheme="minorHAnsi" w:eastAsiaTheme="minorEastAsia" w:hAnsiTheme="minorHAnsi" w:cstheme="minorBidi"/>
              <w:noProof/>
              <w:szCs w:val="22"/>
            </w:rPr>
          </w:pPr>
          <w:hyperlink w:anchor="_Toc133257993" w:history="1">
            <w:r w:rsidR="003624F0" w:rsidRPr="00D5669F">
              <w:rPr>
                <w:rStyle w:val="Hiperhivatkozs"/>
                <w:noProof/>
              </w:rPr>
              <w:t>4.1</w:t>
            </w:r>
            <w:r w:rsidR="003624F0">
              <w:rPr>
                <w:rFonts w:asciiTheme="minorHAnsi" w:eastAsiaTheme="minorEastAsia" w:hAnsiTheme="minorHAnsi" w:cstheme="minorBidi"/>
                <w:noProof/>
                <w:szCs w:val="22"/>
              </w:rPr>
              <w:tab/>
            </w:r>
            <w:r w:rsidR="003624F0" w:rsidRPr="00D5669F">
              <w:rPr>
                <w:rStyle w:val="Hiperhivatkozs"/>
                <w:noProof/>
              </w:rPr>
              <w:t>Energiahatékonysági és Klímavédelmi Alap</w:t>
            </w:r>
            <w:r w:rsidR="003624F0">
              <w:rPr>
                <w:noProof/>
                <w:webHidden/>
              </w:rPr>
              <w:tab/>
            </w:r>
            <w:r w:rsidR="003624F0">
              <w:rPr>
                <w:noProof/>
                <w:webHidden/>
              </w:rPr>
              <w:fldChar w:fldCharType="begin"/>
            </w:r>
            <w:r w:rsidR="003624F0">
              <w:rPr>
                <w:noProof/>
                <w:webHidden/>
              </w:rPr>
              <w:instrText xml:space="preserve"> PAGEREF _Toc133257993 \h </w:instrText>
            </w:r>
            <w:r w:rsidR="003624F0">
              <w:rPr>
                <w:noProof/>
                <w:webHidden/>
              </w:rPr>
            </w:r>
            <w:r w:rsidR="003624F0">
              <w:rPr>
                <w:noProof/>
                <w:webHidden/>
              </w:rPr>
              <w:fldChar w:fldCharType="separate"/>
            </w:r>
            <w:r w:rsidR="003624F0">
              <w:rPr>
                <w:noProof/>
                <w:webHidden/>
              </w:rPr>
              <w:t>20</w:t>
            </w:r>
            <w:r w:rsidR="003624F0">
              <w:rPr>
                <w:noProof/>
                <w:webHidden/>
              </w:rPr>
              <w:fldChar w:fldCharType="end"/>
            </w:r>
          </w:hyperlink>
        </w:p>
        <w:p w14:paraId="4F36EB69" w14:textId="3354E427" w:rsidR="003624F0" w:rsidRDefault="00E66302">
          <w:pPr>
            <w:pStyle w:val="TJ3"/>
            <w:rPr>
              <w:rFonts w:asciiTheme="minorHAnsi" w:eastAsiaTheme="minorEastAsia" w:hAnsiTheme="minorHAnsi" w:cstheme="minorBidi"/>
              <w:szCs w:val="22"/>
            </w:rPr>
          </w:pPr>
          <w:hyperlink w:anchor="_Toc133257994" w:history="1">
            <w:r w:rsidR="003624F0" w:rsidRPr="00D5669F">
              <w:rPr>
                <w:rStyle w:val="Hiperhivatkozs"/>
              </w:rPr>
              <w:t>4.1.1</w:t>
            </w:r>
            <w:r w:rsidR="003624F0">
              <w:rPr>
                <w:rFonts w:asciiTheme="minorHAnsi" w:eastAsiaTheme="minorEastAsia" w:hAnsiTheme="minorHAnsi" w:cstheme="minorBidi"/>
                <w:szCs w:val="22"/>
              </w:rPr>
              <w:tab/>
            </w:r>
            <w:r w:rsidR="003624F0" w:rsidRPr="00D5669F">
              <w:rPr>
                <w:rStyle w:val="Hiperhivatkozs"/>
              </w:rPr>
              <w:t>Az Alap jelenlegi forrásai</w:t>
            </w:r>
            <w:r w:rsidR="003624F0">
              <w:rPr>
                <w:webHidden/>
              </w:rPr>
              <w:tab/>
            </w:r>
            <w:r w:rsidR="003624F0">
              <w:rPr>
                <w:webHidden/>
              </w:rPr>
              <w:fldChar w:fldCharType="begin"/>
            </w:r>
            <w:r w:rsidR="003624F0">
              <w:rPr>
                <w:webHidden/>
              </w:rPr>
              <w:instrText xml:space="preserve"> PAGEREF _Toc133257994 \h </w:instrText>
            </w:r>
            <w:r w:rsidR="003624F0">
              <w:rPr>
                <w:webHidden/>
              </w:rPr>
            </w:r>
            <w:r w:rsidR="003624F0">
              <w:rPr>
                <w:webHidden/>
              </w:rPr>
              <w:fldChar w:fldCharType="separate"/>
            </w:r>
            <w:r w:rsidR="003624F0">
              <w:rPr>
                <w:webHidden/>
              </w:rPr>
              <w:t>21</w:t>
            </w:r>
            <w:r w:rsidR="003624F0">
              <w:rPr>
                <w:webHidden/>
              </w:rPr>
              <w:fldChar w:fldCharType="end"/>
            </w:r>
          </w:hyperlink>
        </w:p>
        <w:p w14:paraId="08F20493" w14:textId="6A1038B2" w:rsidR="003624F0" w:rsidRDefault="00E66302">
          <w:pPr>
            <w:pStyle w:val="TJ3"/>
            <w:rPr>
              <w:rFonts w:asciiTheme="minorHAnsi" w:eastAsiaTheme="minorEastAsia" w:hAnsiTheme="minorHAnsi" w:cstheme="minorBidi"/>
              <w:szCs w:val="22"/>
            </w:rPr>
          </w:pPr>
          <w:hyperlink w:anchor="_Toc133257995" w:history="1">
            <w:r w:rsidR="003624F0" w:rsidRPr="00D5669F">
              <w:rPr>
                <w:rStyle w:val="Hiperhivatkozs"/>
              </w:rPr>
              <w:t>4.1.2</w:t>
            </w:r>
            <w:r w:rsidR="003624F0">
              <w:rPr>
                <w:rFonts w:asciiTheme="minorHAnsi" w:eastAsiaTheme="minorEastAsia" w:hAnsiTheme="minorHAnsi" w:cstheme="minorBidi"/>
                <w:szCs w:val="22"/>
              </w:rPr>
              <w:tab/>
            </w:r>
            <w:r w:rsidR="003624F0" w:rsidRPr="00D5669F">
              <w:rPr>
                <w:rStyle w:val="Hiperhivatkozs"/>
              </w:rPr>
              <w:t>Az Alap további forrásai</w:t>
            </w:r>
            <w:r w:rsidR="003624F0">
              <w:rPr>
                <w:webHidden/>
              </w:rPr>
              <w:tab/>
            </w:r>
            <w:r w:rsidR="003624F0">
              <w:rPr>
                <w:webHidden/>
              </w:rPr>
              <w:fldChar w:fldCharType="begin"/>
            </w:r>
            <w:r w:rsidR="003624F0">
              <w:rPr>
                <w:webHidden/>
              </w:rPr>
              <w:instrText xml:space="preserve"> PAGEREF _Toc133257995 \h </w:instrText>
            </w:r>
            <w:r w:rsidR="003624F0">
              <w:rPr>
                <w:webHidden/>
              </w:rPr>
            </w:r>
            <w:r w:rsidR="003624F0">
              <w:rPr>
                <w:webHidden/>
              </w:rPr>
              <w:fldChar w:fldCharType="separate"/>
            </w:r>
            <w:r w:rsidR="003624F0">
              <w:rPr>
                <w:webHidden/>
              </w:rPr>
              <w:t>22</w:t>
            </w:r>
            <w:r w:rsidR="003624F0">
              <w:rPr>
                <w:webHidden/>
              </w:rPr>
              <w:fldChar w:fldCharType="end"/>
            </w:r>
          </w:hyperlink>
        </w:p>
        <w:p w14:paraId="47A61E52" w14:textId="2A736375" w:rsidR="003624F0" w:rsidRDefault="00E66302">
          <w:pPr>
            <w:pStyle w:val="TJ3"/>
            <w:rPr>
              <w:rFonts w:asciiTheme="minorHAnsi" w:eastAsiaTheme="minorEastAsia" w:hAnsiTheme="minorHAnsi" w:cstheme="minorBidi"/>
              <w:szCs w:val="22"/>
            </w:rPr>
          </w:pPr>
          <w:hyperlink w:anchor="_Toc133257996" w:history="1">
            <w:r w:rsidR="003624F0" w:rsidRPr="00D5669F">
              <w:rPr>
                <w:rStyle w:val="Hiperhivatkozs"/>
              </w:rPr>
              <w:t>4.1.3</w:t>
            </w:r>
            <w:r w:rsidR="003624F0">
              <w:rPr>
                <w:rFonts w:asciiTheme="minorHAnsi" w:eastAsiaTheme="minorEastAsia" w:hAnsiTheme="minorHAnsi" w:cstheme="minorBidi"/>
                <w:szCs w:val="22"/>
              </w:rPr>
              <w:tab/>
            </w:r>
            <w:r w:rsidR="003624F0" w:rsidRPr="00D5669F">
              <w:rPr>
                <w:rStyle w:val="Hiperhivatkozs"/>
              </w:rPr>
              <w:t>Az Alap kezelője</w:t>
            </w:r>
            <w:r w:rsidR="003624F0">
              <w:rPr>
                <w:webHidden/>
              </w:rPr>
              <w:tab/>
            </w:r>
            <w:r w:rsidR="003624F0">
              <w:rPr>
                <w:webHidden/>
              </w:rPr>
              <w:fldChar w:fldCharType="begin"/>
            </w:r>
            <w:r w:rsidR="003624F0">
              <w:rPr>
                <w:webHidden/>
              </w:rPr>
              <w:instrText xml:space="preserve"> PAGEREF _Toc133257996 \h </w:instrText>
            </w:r>
            <w:r w:rsidR="003624F0">
              <w:rPr>
                <w:webHidden/>
              </w:rPr>
            </w:r>
            <w:r w:rsidR="003624F0">
              <w:rPr>
                <w:webHidden/>
              </w:rPr>
              <w:fldChar w:fldCharType="separate"/>
            </w:r>
            <w:r w:rsidR="003624F0">
              <w:rPr>
                <w:webHidden/>
              </w:rPr>
              <w:t>23</w:t>
            </w:r>
            <w:r w:rsidR="003624F0">
              <w:rPr>
                <w:webHidden/>
              </w:rPr>
              <w:fldChar w:fldCharType="end"/>
            </w:r>
          </w:hyperlink>
        </w:p>
        <w:p w14:paraId="4AE5FBFE" w14:textId="0C76ED53" w:rsidR="003624F0" w:rsidRDefault="00E66302">
          <w:pPr>
            <w:pStyle w:val="TJ3"/>
            <w:rPr>
              <w:rFonts w:asciiTheme="minorHAnsi" w:eastAsiaTheme="minorEastAsia" w:hAnsiTheme="minorHAnsi" w:cstheme="minorBidi"/>
              <w:szCs w:val="22"/>
            </w:rPr>
          </w:pPr>
          <w:hyperlink w:anchor="_Toc133257997" w:history="1">
            <w:r w:rsidR="003624F0" w:rsidRPr="00D5669F">
              <w:rPr>
                <w:rStyle w:val="Hiperhivatkozs"/>
              </w:rPr>
              <w:t>4.1.4</w:t>
            </w:r>
            <w:r w:rsidR="003624F0">
              <w:rPr>
                <w:rFonts w:asciiTheme="minorHAnsi" w:eastAsiaTheme="minorEastAsia" w:hAnsiTheme="minorHAnsi" w:cstheme="minorBidi"/>
                <w:szCs w:val="22"/>
              </w:rPr>
              <w:tab/>
            </w:r>
            <w:r w:rsidR="003624F0" w:rsidRPr="00D5669F">
              <w:rPr>
                <w:rStyle w:val="Hiperhivatkozs"/>
              </w:rPr>
              <w:t>Az Alap felhasználása</w:t>
            </w:r>
            <w:r w:rsidR="003624F0">
              <w:rPr>
                <w:webHidden/>
              </w:rPr>
              <w:tab/>
            </w:r>
            <w:r w:rsidR="003624F0">
              <w:rPr>
                <w:webHidden/>
              </w:rPr>
              <w:fldChar w:fldCharType="begin"/>
            </w:r>
            <w:r w:rsidR="003624F0">
              <w:rPr>
                <w:webHidden/>
              </w:rPr>
              <w:instrText xml:space="preserve"> PAGEREF _Toc133257997 \h </w:instrText>
            </w:r>
            <w:r w:rsidR="003624F0">
              <w:rPr>
                <w:webHidden/>
              </w:rPr>
            </w:r>
            <w:r w:rsidR="003624F0">
              <w:rPr>
                <w:webHidden/>
              </w:rPr>
              <w:fldChar w:fldCharType="separate"/>
            </w:r>
            <w:r w:rsidR="003624F0">
              <w:rPr>
                <w:webHidden/>
              </w:rPr>
              <w:t>25</w:t>
            </w:r>
            <w:r w:rsidR="003624F0">
              <w:rPr>
                <w:webHidden/>
              </w:rPr>
              <w:fldChar w:fldCharType="end"/>
            </w:r>
          </w:hyperlink>
        </w:p>
        <w:p w14:paraId="74010EB2" w14:textId="5816C30B" w:rsidR="003624F0" w:rsidRDefault="00E66302">
          <w:pPr>
            <w:pStyle w:val="TJ2"/>
            <w:rPr>
              <w:rFonts w:asciiTheme="minorHAnsi" w:eastAsiaTheme="minorEastAsia" w:hAnsiTheme="minorHAnsi" w:cstheme="minorBidi"/>
              <w:noProof/>
              <w:szCs w:val="22"/>
            </w:rPr>
          </w:pPr>
          <w:hyperlink w:anchor="_Toc133257998" w:history="1">
            <w:r w:rsidR="003624F0" w:rsidRPr="00D5669F">
              <w:rPr>
                <w:rStyle w:val="Hiperhivatkozs"/>
                <w:noProof/>
              </w:rPr>
              <w:t>4.2</w:t>
            </w:r>
            <w:r w:rsidR="003624F0">
              <w:rPr>
                <w:rFonts w:asciiTheme="minorHAnsi" w:eastAsiaTheme="minorEastAsia" w:hAnsiTheme="minorHAnsi" w:cstheme="minorBidi"/>
                <w:noProof/>
                <w:szCs w:val="22"/>
              </w:rPr>
              <w:tab/>
            </w:r>
            <w:r w:rsidR="003624F0" w:rsidRPr="00D5669F">
              <w:rPr>
                <w:rStyle w:val="Hiperhivatkozs"/>
                <w:noProof/>
              </w:rPr>
              <w:t>Az Alap működésének pénzügyi modellezése</w:t>
            </w:r>
            <w:r w:rsidR="003624F0">
              <w:rPr>
                <w:noProof/>
                <w:webHidden/>
              </w:rPr>
              <w:tab/>
            </w:r>
            <w:r w:rsidR="003624F0">
              <w:rPr>
                <w:noProof/>
                <w:webHidden/>
              </w:rPr>
              <w:fldChar w:fldCharType="begin"/>
            </w:r>
            <w:r w:rsidR="003624F0">
              <w:rPr>
                <w:noProof/>
                <w:webHidden/>
              </w:rPr>
              <w:instrText xml:space="preserve"> PAGEREF _Toc133257998 \h </w:instrText>
            </w:r>
            <w:r w:rsidR="003624F0">
              <w:rPr>
                <w:noProof/>
                <w:webHidden/>
              </w:rPr>
            </w:r>
            <w:r w:rsidR="003624F0">
              <w:rPr>
                <w:noProof/>
                <w:webHidden/>
              </w:rPr>
              <w:fldChar w:fldCharType="separate"/>
            </w:r>
            <w:r w:rsidR="003624F0">
              <w:rPr>
                <w:noProof/>
                <w:webHidden/>
              </w:rPr>
              <w:t>26</w:t>
            </w:r>
            <w:r w:rsidR="003624F0">
              <w:rPr>
                <w:noProof/>
                <w:webHidden/>
              </w:rPr>
              <w:fldChar w:fldCharType="end"/>
            </w:r>
          </w:hyperlink>
        </w:p>
        <w:p w14:paraId="679DB12E" w14:textId="74D6C5AF" w:rsidR="003624F0" w:rsidRDefault="00E66302">
          <w:pPr>
            <w:pStyle w:val="TJ3"/>
            <w:rPr>
              <w:rFonts w:asciiTheme="minorHAnsi" w:eastAsiaTheme="minorEastAsia" w:hAnsiTheme="minorHAnsi" w:cstheme="minorBidi"/>
              <w:szCs w:val="22"/>
            </w:rPr>
          </w:pPr>
          <w:hyperlink w:anchor="_Toc133257999" w:history="1">
            <w:r w:rsidR="003624F0" w:rsidRPr="00D5669F">
              <w:rPr>
                <w:rStyle w:val="Hiperhivatkozs"/>
              </w:rPr>
              <w:t>4.2.1</w:t>
            </w:r>
            <w:r w:rsidR="003624F0">
              <w:rPr>
                <w:rFonts w:asciiTheme="minorHAnsi" w:eastAsiaTheme="minorEastAsia" w:hAnsiTheme="minorHAnsi" w:cstheme="minorBidi"/>
                <w:szCs w:val="22"/>
              </w:rPr>
              <w:tab/>
            </w:r>
            <w:r w:rsidR="003624F0" w:rsidRPr="00D5669F">
              <w:rPr>
                <w:rStyle w:val="Hiperhivatkozs"/>
              </w:rPr>
              <w:t>29 épület energetikai számítás</w:t>
            </w:r>
            <w:r w:rsidR="003624F0">
              <w:rPr>
                <w:webHidden/>
              </w:rPr>
              <w:tab/>
            </w:r>
            <w:r w:rsidR="003624F0">
              <w:rPr>
                <w:webHidden/>
              </w:rPr>
              <w:fldChar w:fldCharType="begin"/>
            </w:r>
            <w:r w:rsidR="003624F0">
              <w:rPr>
                <w:webHidden/>
              </w:rPr>
              <w:instrText xml:space="preserve"> PAGEREF _Toc133257999 \h </w:instrText>
            </w:r>
            <w:r w:rsidR="003624F0">
              <w:rPr>
                <w:webHidden/>
              </w:rPr>
            </w:r>
            <w:r w:rsidR="003624F0">
              <w:rPr>
                <w:webHidden/>
              </w:rPr>
              <w:fldChar w:fldCharType="separate"/>
            </w:r>
            <w:r w:rsidR="003624F0">
              <w:rPr>
                <w:webHidden/>
              </w:rPr>
              <w:t>26</w:t>
            </w:r>
            <w:r w:rsidR="003624F0">
              <w:rPr>
                <w:webHidden/>
              </w:rPr>
              <w:fldChar w:fldCharType="end"/>
            </w:r>
          </w:hyperlink>
        </w:p>
        <w:p w14:paraId="27A32EEB" w14:textId="244FB03D" w:rsidR="003624F0" w:rsidRDefault="00E66302">
          <w:pPr>
            <w:pStyle w:val="TJ3"/>
            <w:rPr>
              <w:rFonts w:asciiTheme="minorHAnsi" w:eastAsiaTheme="minorEastAsia" w:hAnsiTheme="minorHAnsi" w:cstheme="minorBidi"/>
              <w:szCs w:val="22"/>
            </w:rPr>
          </w:pPr>
          <w:hyperlink w:anchor="_Toc133258000" w:history="1">
            <w:r w:rsidR="003624F0" w:rsidRPr="00D5669F">
              <w:rPr>
                <w:rStyle w:val="Hiperhivatkozs"/>
              </w:rPr>
              <w:t>4.2.2</w:t>
            </w:r>
            <w:r w:rsidR="003624F0">
              <w:rPr>
                <w:rFonts w:asciiTheme="minorHAnsi" w:eastAsiaTheme="minorEastAsia" w:hAnsiTheme="minorHAnsi" w:cstheme="minorBidi"/>
                <w:szCs w:val="22"/>
              </w:rPr>
              <w:tab/>
            </w:r>
            <w:r w:rsidR="003624F0" w:rsidRPr="00D5669F">
              <w:rPr>
                <w:rStyle w:val="Hiperhivatkozs"/>
              </w:rPr>
              <w:t>Teljes kerültre vonatkozó energetikai becslés</w:t>
            </w:r>
            <w:r w:rsidR="003624F0">
              <w:rPr>
                <w:webHidden/>
              </w:rPr>
              <w:tab/>
            </w:r>
            <w:r w:rsidR="003624F0">
              <w:rPr>
                <w:webHidden/>
              </w:rPr>
              <w:fldChar w:fldCharType="begin"/>
            </w:r>
            <w:r w:rsidR="003624F0">
              <w:rPr>
                <w:webHidden/>
              </w:rPr>
              <w:instrText xml:space="preserve"> PAGEREF _Toc133258000 \h </w:instrText>
            </w:r>
            <w:r w:rsidR="003624F0">
              <w:rPr>
                <w:webHidden/>
              </w:rPr>
            </w:r>
            <w:r w:rsidR="003624F0">
              <w:rPr>
                <w:webHidden/>
              </w:rPr>
              <w:fldChar w:fldCharType="separate"/>
            </w:r>
            <w:r w:rsidR="003624F0">
              <w:rPr>
                <w:webHidden/>
              </w:rPr>
              <w:t>26</w:t>
            </w:r>
            <w:r w:rsidR="003624F0">
              <w:rPr>
                <w:webHidden/>
              </w:rPr>
              <w:fldChar w:fldCharType="end"/>
            </w:r>
          </w:hyperlink>
        </w:p>
        <w:p w14:paraId="3A4BB4DA" w14:textId="30B1C92B" w:rsidR="003624F0" w:rsidRDefault="00E66302">
          <w:pPr>
            <w:pStyle w:val="TJ3"/>
            <w:rPr>
              <w:rFonts w:asciiTheme="minorHAnsi" w:eastAsiaTheme="minorEastAsia" w:hAnsiTheme="minorHAnsi" w:cstheme="minorBidi"/>
              <w:szCs w:val="22"/>
            </w:rPr>
          </w:pPr>
          <w:hyperlink w:anchor="_Toc133258001" w:history="1">
            <w:r w:rsidR="003624F0" w:rsidRPr="00D5669F">
              <w:rPr>
                <w:rStyle w:val="Hiperhivatkozs"/>
              </w:rPr>
              <w:t>4.2.3</w:t>
            </w:r>
            <w:r w:rsidR="003624F0">
              <w:rPr>
                <w:rFonts w:asciiTheme="minorHAnsi" w:eastAsiaTheme="minorEastAsia" w:hAnsiTheme="minorHAnsi" w:cstheme="minorBidi"/>
                <w:szCs w:val="22"/>
              </w:rPr>
              <w:tab/>
            </w:r>
            <w:r w:rsidR="003624F0" w:rsidRPr="00D5669F">
              <w:rPr>
                <w:rStyle w:val="Hiperhivatkozs"/>
              </w:rPr>
              <w:t>A pénzügyi modell</w:t>
            </w:r>
            <w:r w:rsidR="003624F0">
              <w:rPr>
                <w:webHidden/>
              </w:rPr>
              <w:tab/>
            </w:r>
            <w:r w:rsidR="003624F0">
              <w:rPr>
                <w:webHidden/>
              </w:rPr>
              <w:fldChar w:fldCharType="begin"/>
            </w:r>
            <w:r w:rsidR="003624F0">
              <w:rPr>
                <w:webHidden/>
              </w:rPr>
              <w:instrText xml:space="preserve"> PAGEREF _Toc133258001 \h </w:instrText>
            </w:r>
            <w:r w:rsidR="003624F0">
              <w:rPr>
                <w:webHidden/>
              </w:rPr>
            </w:r>
            <w:r w:rsidR="003624F0">
              <w:rPr>
                <w:webHidden/>
              </w:rPr>
              <w:fldChar w:fldCharType="separate"/>
            </w:r>
            <w:r w:rsidR="003624F0">
              <w:rPr>
                <w:webHidden/>
              </w:rPr>
              <w:t>28</w:t>
            </w:r>
            <w:r w:rsidR="003624F0">
              <w:rPr>
                <w:webHidden/>
              </w:rPr>
              <w:fldChar w:fldCharType="end"/>
            </w:r>
          </w:hyperlink>
        </w:p>
        <w:p w14:paraId="0565F3FA" w14:textId="528359F2" w:rsidR="003624F0" w:rsidRDefault="00E66302">
          <w:pPr>
            <w:pStyle w:val="TJ3"/>
            <w:rPr>
              <w:rFonts w:asciiTheme="minorHAnsi" w:eastAsiaTheme="minorEastAsia" w:hAnsiTheme="minorHAnsi" w:cstheme="minorBidi"/>
              <w:szCs w:val="22"/>
            </w:rPr>
          </w:pPr>
          <w:hyperlink w:anchor="_Toc133258002" w:history="1">
            <w:r w:rsidR="003624F0" w:rsidRPr="00D5669F">
              <w:rPr>
                <w:rStyle w:val="Hiperhivatkozs"/>
              </w:rPr>
              <w:t>4.2.4</w:t>
            </w:r>
            <w:r w:rsidR="003624F0">
              <w:rPr>
                <w:rFonts w:asciiTheme="minorHAnsi" w:eastAsiaTheme="minorEastAsia" w:hAnsiTheme="minorHAnsi" w:cstheme="minorBidi"/>
                <w:szCs w:val="22"/>
              </w:rPr>
              <w:tab/>
            </w:r>
            <w:r w:rsidR="003624F0" w:rsidRPr="00D5669F">
              <w:rPr>
                <w:rStyle w:val="Hiperhivatkozs"/>
              </w:rPr>
              <w:t>Önkormányzati projektek megtérülése</w:t>
            </w:r>
            <w:r w:rsidR="003624F0">
              <w:rPr>
                <w:webHidden/>
              </w:rPr>
              <w:tab/>
            </w:r>
            <w:r w:rsidR="003624F0">
              <w:rPr>
                <w:webHidden/>
              </w:rPr>
              <w:fldChar w:fldCharType="begin"/>
            </w:r>
            <w:r w:rsidR="003624F0">
              <w:rPr>
                <w:webHidden/>
              </w:rPr>
              <w:instrText xml:space="preserve"> PAGEREF _Toc133258002 \h </w:instrText>
            </w:r>
            <w:r w:rsidR="003624F0">
              <w:rPr>
                <w:webHidden/>
              </w:rPr>
            </w:r>
            <w:r w:rsidR="003624F0">
              <w:rPr>
                <w:webHidden/>
              </w:rPr>
              <w:fldChar w:fldCharType="separate"/>
            </w:r>
            <w:r w:rsidR="003624F0">
              <w:rPr>
                <w:webHidden/>
              </w:rPr>
              <w:t>32</w:t>
            </w:r>
            <w:r w:rsidR="003624F0">
              <w:rPr>
                <w:webHidden/>
              </w:rPr>
              <w:fldChar w:fldCharType="end"/>
            </w:r>
          </w:hyperlink>
        </w:p>
        <w:p w14:paraId="334D7D10" w14:textId="4086B28C" w:rsidR="003624F0" w:rsidRDefault="00E66302">
          <w:pPr>
            <w:pStyle w:val="TJ3"/>
            <w:rPr>
              <w:rFonts w:asciiTheme="minorHAnsi" w:eastAsiaTheme="minorEastAsia" w:hAnsiTheme="minorHAnsi" w:cstheme="minorBidi"/>
              <w:szCs w:val="22"/>
            </w:rPr>
          </w:pPr>
          <w:hyperlink w:anchor="_Toc133258003" w:history="1">
            <w:r w:rsidR="003624F0" w:rsidRPr="00D5669F">
              <w:rPr>
                <w:rStyle w:val="Hiperhivatkozs"/>
              </w:rPr>
              <w:t>4.2.5</w:t>
            </w:r>
            <w:r w:rsidR="003624F0">
              <w:rPr>
                <w:rFonts w:asciiTheme="minorHAnsi" w:eastAsiaTheme="minorEastAsia" w:hAnsiTheme="minorHAnsi" w:cstheme="minorBidi"/>
                <w:szCs w:val="22"/>
              </w:rPr>
              <w:tab/>
            </w:r>
            <w:r w:rsidR="003624F0" w:rsidRPr="00D5669F">
              <w:rPr>
                <w:rStyle w:val="Hiperhivatkozs"/>
              </w:rPr>
              <w:t>Magántulajdonú társasházak fizetőképességi vizsgálata</w:t>
            </w:r>
            <w:r w:rsidR="003624F0">
              <w:rPr>
                <w:webHidden/>
              </w:rPr>
              <w:tab/>
            </w:r>
            <w:r w:rsidR="003624F0">
              <w:rPr>
                <w:webHidden/>
              </w:rPr>
              <w:fldChar w:fldCharType="begin"/>
            </w:r>
            <w:r w:rsidR="003624F0">
              <w:rPr>
                <w:webHidden/>
              </w:rPr>
              <w:instrText xml:space="preserve"> PAGEREF _Toc133258003 \h </w:instrText>
            </w:r>
            <w:r w:rsidR="003624F0">
              <w:rPr>
                <w:webHidden/>
              </w:rPr>
            </w:r>
            <w:r w:rsidR="003624F0">
              <w:rPr>
                <w:webHidden/>
              </w:rPr>
              <w:fldChar w:fldCharType="separate"/>
            </w:r>
            <w:r w:rsidR="003624F0">
              <w:rPr>
                <w:webHidden/>
              </w:rPr>
              <w:t>35</w:t>
            </w:r>
            <w:r w:rsidR="003624F0">
              <w:rPr>
                <w:webHidden/>
              </w:rPr>
              <w:fldChar w:fldCharType="end"/>
            </w:r>
          </w:hyperlink>
        </w:p>
        <w:p w14:paraId="3EC38DFA" w14:textId="6BC678DB" w:rsidR="003624F0" w:rsidRDefault="00E66302" w:rsidP="003624F0">
          <w:pPr>
            <w:pStyle w:val="TJ1"/>
            <w:rPr>
              <w:rFonts w:asciiTheme="minorHAnsi" w:eastAsiaTheme="minorEastAsia" w:hAnsiTheme="minorHAnsi" w:cstheme="minorBidi"/>
              <w:sz w:val="22"/>
              <w:szCs w:val="22"/>
            </w:rPr>
          </w:pPr>
          <w:hyperlink w:anchor="_Toc133258004" w:history="1">
            <w:r w:rsidR="003624F0" w:rsidRPr="00D5669F">
              <w:rPr>
                <w:rStyle w:val="Hiperhivatkozs"/>
              </w:rPr>
              <w:t>5</w:t>
            </w:r>
            <w:r w:rsidR="003624F0">
              <w:rPr>
                <w:rFonts w:asciiTheme="minorHAnsi" w:eastAsiaTheme="minorEastAsia" w:hAnsiTheme="minorHAnsi" w:cstheme="minorBidi"/>
                <w:sz w:val="22"/>
                <w:szCs w:val="22"/>
              </w:rPr>
              <w:tab/>
            </w:r>
            <w:r w:rsidR="003624F0" w:rsidRPr="00D5669F">
              <w:rPr>
                <w:rStyle w:val="Hiperhivatkozs"/>
              </w:rPr>
              <w:t>Bibliográfia</w:t>
            </w:r>
            <w:r w:rsidR="003624F0">
              <w:rPr>
                <w:webHidden/>
              </w:rPr>
              <w:tab/>
            </w:r>
            <w:r w:rsidR="003624F0">
              <w:rPr>
                <w:webHidden/>
              </w:rPr>
              <w:fldChar w:fldCharType="begin"/>
            </w:r>
            <w:r w:rsidR="003624F0">
              <w:rPr>
                <w:webHidden/>
              </w:rPr>
              <w:instrText xml:space="preserve"> PAGEREF _Toc133258004 \h </w:instrText>
            </w:r>
            <w:r w:rsidR="003624F0">
              <w:rPr>
                <w:webHidden/>
              </w:rPr>
            </w:r>
            <w:r w:rsidR="003624F0">
              <w:rPr>
                <w:webHidden/>
              </w:rPr>
              <w:fldChar w:fldCharType="separate"/>
            </w:r>
            <w:r w:rsidR="003624F0">
              <w:rPr>
                <w:webHidden/>
              </w:rPr>
              <w:t>40</w:t>
            </w:r>
            <w:r w:rsidR="003624F0">
              <w:rPr>
                <w:webHidden/>
              </w:rPr>
              <w:fldChar w:fldCharType="end"/>
            </w:r>
          </w:hyperlink>
        </w:p>
        <w:p w14:paraId="33A32BA2" w14:textId="6F2A8E61" w:rsidR="00AF5DAE" w:rsidRDefault="00AF5DAE">
          <w:r w:rsidRPr="00BA7506">
            <w:rPr>
              <w:b/>
              <w:bCs/>
            </w:rPr>
            <w:fldChar w:fldCharType="end"/>
          </w:r>
        </w:p>
      </w:sdtContent>
    </w:sdt>
    <w:p w14:paraId="2B6FBD3F" w14:textId="16558561" w:rsidR="00AF5DAE" w:rsidRDefault="00841A24" w:rsidP="00A30199">
      <w:pPr>
        <w:autoSpaceDE/>
        <w:autoSpaceDN/>
        <w:spacing w:before="0" w:after="0" w:line="240" w:lineRule="auto"/>
      </w:pPr>
      <w:r>
        <w:br w:type="page"/>
      </w:r>
    </w:p>
    <w:p w14:paraId="71615CAB" w14:textId="674807DE" w:rsidR="005036B4" w:rsidRPr="006F471A" w:rsidRDefault="003B496B" w:rsidP="005036B4">
      <w:pPr>
        <w:pStyle w:val="Cmsor1"/>
      </w:pPr>
      <w:bookmarkStart w:id="1" w:name="_Toc133257972"/>
      <w:r>
        <w:lastRenderedPageBreak/>
        <w:t>Vezetői összefoglaló</w:t>
      </w:r>
      <w:bookmarkEnd w:id="1"/>
    </w:p>
    <w:p w14:paraId="4445030C" w14:textId="62BBB511" w:rsidR="005036B4" w:rsidRDefault="00BF3C94" w:rsidP="005036B4">
      <w:r w:rsidRPr="00BF3C94">
        <w:t>Erzsébetváros a Fenntartható Energia- és Klíma Akciótervében (továbbiakban: SECAP) kötelezettséget vállalt arra, hogy 2030-ra a kerületi károsanyag-kibocsátásokat 40 százalékkal csökkenti.</w:t>
      </w:r>
    </w:p>
    <w:p w14:paraId="164AF05A" w14:textId="3776F1BF" w:rsidR="00BF3C94" w:rsidRDefault="00BF3C94" w:rsidP="00BF3C94">
      <w:r>
        <w:t xml:space="preserve">E célok elérésére Erzsébetváros Önkormányzata </w:t>
      </w:r>
      <w:r w:rsidRPr="00BF3C94">
        <w:t xml:space="preserve">Budapest Főváros VII. kerület Erzsébetváros Önkormányzata 2022. október 19-ei rendes ülésén tárgyalta és elfogadta az Energiahatékonysági és Klímavédelmi Alap létrehozásáról szóló javaslatot. Az Alap általános célja, hogy a kerület lakóinak és intézményeinek </w:t>
      </w:r>
      <w:proofErr w:type="spellStart"/>
      <w:r w:rsidRPr="00BF3C94">
        <w:t>energiamegtakarítási</w:t>
      </w:r>
      <w:proofErr w:type="spellEnd"/>
      <w:r w:rsidRPr="00BF3C94">
        <w:t>, klímavédelmi és zöld fejlesztéseit támogassa</w:t>
      </w:r>
      <w:r>
        <w:t xml:space="preserve">, ezen belül a legnagyobb </w:t>
      </w:r>
      <w:proofErr w:type="spellStart"/>
      <w:r>
        <w:t>kibocsátáscsökkentési</w:t>
      </w:r>
      <w:proofErr w:type="spellEnd"/>
      <w:r>
        <w:t xml:space="preserve"> potenciált jelentő társasházi épületállomány </w:t>
      </w:r>
      <w:proofErr w:type="spellStart"/>
      <w:r>
        <w:t>energiahatékony</w:t>
      </w:r>
      <w:proofErr w:type="spellEnd"/>
      <w:r>
        <w:t xml:space="preserve"> felújítását. A költségvetési átcsoportosítások és ingatlanértékesítésből származó bevételek eredményeképpen az Alap közel 3 milliárd forintos kerettel került bevezetésre.</w:t>
      </w:r>
    </w:p>
    <w:p w14:paraId="7EFDD548" w14:textId="4D6764F7" w:rsidR="00BF3C94" w:rsidRDefault="007D55EC" w:rsidP="007D55EC">
      <w:r>
        <w:t>A lehetőségek feltárása érdekében megvizsgáltuk a</w:t>
      </w:r>
      <w:r w:rsidR="00BF3C94" w:rsidRPr="00BF3C94">
        <w:t>z energetikai felújításokat támogató EU-s pénzügyi eszközök</w:t>
      </w:r>
      <w:r>
        <w:t>et. A hagyományos (vissza nem térítendő támogatások, adókedvezmények, kölcsönök) mellett egyre több kormányzat és önkormányzat új, innovatív megoldásokat vezet be, amely a növekvő tapasztalattal egyre több helyen kerül bevezetésre. Ilyenek az Energiahatékonysági Kötelezettségi Rendszer (EKR), szabályozott átvételi árak, energiateljesítményre vonatkozó szerződések (EPC), energiaszolgáltatási megállapodások (ESCO), s</w:t>
      </w:r>
      <w:r w:rsidRPr="007D55EC">
        <w:t>zámlaalapú (</w:t>
      </w:r>
      <w:proofErr w:type="spellStart"/>
      <w:r w:rsidRPr="007D55EC">
        <w:t>on-bill</w:t>
      </w:r>
      <w:proofErr w:type="spellEnd"/>
      <w:r w:rsidRPr="007D55EC">
        <w:t>) finanszírozás</w:t>
      </w:r>
      <w:r>
        <w:t xml:space="preserve">, felújítási forgóalapok. A hazai városok is, felismerve az éghajlatváltozás jelentőségét, a hagyományos felújítási pályázati rendszereiket az energiahatékonyság irányába mozdítják. </w:t>
      </w:r>
    </w:p>
    <w:p w14:paraId="117EEC59" w14:textId="583256E0" w:rsidR="007D55EC" w:rsidRDefault="00BF3C94" w:rsidP="007D55EC">
      <w:r>
        <w:t xml:space="preserve">Tekintettel arra, hogy </w:t>
      </w:r>
      <w:r w:rsidR="007D55EC">
        <w:t>Erzsébetváros</w:t>
      </w:r>
      <w:r>
        <w:t xml:space="preserve"> kibocsátás</w:t>
      </w:r>
      <w:r w:rsidR="007D55EC">
        <w:t>ának csökkentése</w:t>
      </w:r>
      <w:r>
        <w:t xml:space="preserve"> legnagyobb részben a lakóépületek épületenergetikai felújításával érhető el, jelen munkában az önkormányzati és társasházi épületenergetikai felújításokat előre mozdító</w:t>
      </w:r>
      <w:r w:rsidR="00B56AC2" w:rsidRPr="00B56AC2">
        <w:t xml:space="preserve"> </w:t>
      </w:r>
      <w:r w:rsidR="00B56AC2">
        <w:t xml:space="preserve">forgóalapra </w:t>
      </w:r>
      <w:r>
        <w:t>teszünk javaslatot.</w:t>
      </w:r>
      <w:r w:rsidR="00B56AC2" w:rsidRPr="00B56AC2">
        <w:t xml:space="preserve"> </w:t>
      </w:r>
      <w:r w:rsidR="00B56AC2">
        <w:t xml:space="preserve">A közpénzek hatékony felhasználásának eszköze egy pénzügyi forráskoordináló és elosztó rendszer, amely a forrásösszevonásokat koordinálja, megfelelő jogi és pénzügyi tudással rendelkezik, ezáltal hatékonyan tudja a forrásallokációt működtetni, és biztosítékot jelent a forrást biztosító önkormányzatnak a „gondos” felhasználásról. A visszaforgatható pénzügyi modell, az Energiahatékonysági és Klímavédelmi Alap (továbbiakban: Alap) lehetővé teszi, hogy a finanszírozási források azon része, amely a projekt kezdetekor rendelkezésre áll, hatékonyan kerüljön felhasználásra, és annak biztonságos, transzparens működésével további igényeket gerjesszen. </w:t>
      </w:r>
      <w:r w:rsidR="007D55EC">
        <w:t xml:space="preserve">A megalapozó munka keretében megvizsgáltuk az </w:t>
      </w:r>
      <w:proofErr w:type="spellStart"/>
      <w:r w:rsidR="007D55EC">
        <w:t>épületfelújítások</w:t>
      </w:r>
      <w:proofErr w:type="spellEnd"/>
      <w:r w:rsidR="007D55EC">
        <w:t xml:space="preserve"> rendszerére </w:t>
      </w:r>
      <w:r w:rsidR="00B56AC2">
        <w:t>és az Alap létrehozására és működtetésére</w:t>
      </w:r>
      <w:r w:rsidR="007D55EC">
        <w:t xml:space="preserve"> vonatkozó jogszabályi környezetet.</w:t>
      </w:r>
    </w:p>
    <w:p w14:paraId="7467EB6F" w14:textId="52AD2A90" w:rsidR="00BF3C94" w:rsidRDefault="00B56AC2" w:rsidP="00B56AC2">
      <w:r>
        <w:t xml:space="preserve">Az Alap kiindulási összegének </w:t>
      </w:r>
      <w:r w:rsidRPr="00B56AC2">
        <w:t>Budapest Főváros VII. Kerület Erzsébetváros Önkormányzata 2023. évi költségvetésének 18. mellékle</w:t>
      </w:r>
      <w:r>
        <w:t xml:space="preserve">tében szereplő, az önkormányzati és társasházi felújításokra allokált összeget tekintettük. A 2023-as évben az Alapban rendelkezésre álló összeg nettó 2 132 977 Ft + 575 905 Ft áfa, azaz bruttó 2 708 882 Ft keretösszeg. A költségvetési szándék szerint a 9 és 17 sorszámú </w:t>
      </w:r>
      <w:proofErr w:type="spellStart"/>
      <w:r>
        <w:t>épületfelújítások</w:t>
      </w:r>
      <w:proofErr w:type="spellEnd"/>
      <w:r>
        <w:t xml:space="preserve"> az önkormányzat kizárólagos tulajdonú épületeit érintik, amelyek az Alap önkormányzati beruházásainak részéhez biztosítanak kiindulási alapot. Ennek részösszege bruttó 1 623 882 Ft. A 22-26 sorszámokon levő </w:t>
      </w:r>
      <w:proofErr w:type="spellStart"/>
      <w:r>
        <w:t>épületfelújításokra</w:t>
      </w:r>
      <w:proofErr w:type="spellEnd"/>
      <w:r>
        <w:t xml:space="preserve"> allokált összeg tekinthető a társasházi támogatások alapjának. Ennek részösszege bruttó 1 085 000 Ft.</w:t>
      </w:r>
    </w:p>
    <w:p w14:paraId="41E6CA18" w14:textId="5F1F4B90" w:rsidR="00B56AC2" w:rsidRDefault="00B56AC2" w:rsidP="00B56AC2">
      <w:r>
        <w:t>Az Alap további forrásai lehet</w:t>
      </w:r>
      <w:r w:rsidR="00BF633F">
        <w:t xml:space="preserve"> m</w:t>
      </w:r>
      <w:r>
        <w:t>inden olyan további forrás, amely a lakásgazdálkodás feladathoz köthető</w:t>
      </w:r>
      <w:r w:rsidR="00BF633F">
        <w:t>: i</w:t>
      </w:r>
      <w:r>
        <w:t>ngatlanértékesítés</w:t>
      </w:r>
      <w:r w:rsidR="00BF633F">
        <w:t>, l</w:t>
      </w:r>
      <w:r>
        <w:t>akásértékesítés</w:t>
      </w:r>
      <w:r w:rsidR="00BF633F">
        <w:t>, ö</w:t>
      </w:r>
      <w:r>
        <w:t>nkormányzati tulajdonú épület bővítése, tetőtér beépítése</w:t>
      </w:r>
      <w:r w:rsidR="00BF633F">
        <w:t>, ö</w:t>
      </w:r>
      <w:r>
        <w:t>nkormányzati tulajdonú foghíj, beépítetlen telek befektetési hasznosításából származó bevétel</w:t>
      </w:r>
      <w:r w:rsidR="00BF633F">
        <w:t>ei, k</w:t>
      </w:r>
      <w:r>
        <w:t>amatbevételek</w:t>
      </w:r>
      <w:r w:rsidR="00BF633F">
        <w:t>, á</w:t>
      </w:r>
      <w:r>
        <w:t>llampapírok</w:t>
      </w:r>
      <w:r w:rsidR="00BF633F">
        <w:t xml:space="preserve">, </w:t>
      </w:r>
      <w:r>
        <w:t>Európai Uniós</w:t>
      </w:r>
      <w:r w:rsidR="00BF633F">
        <w:t xml:space="preserve"> és </w:t>
      </w:r>
      <w:r>
        <w:t>nemzeti támogatások forrásai</w:t>
      </w:r>
      <w:r w:rsidR="00BF633F">
        <w:t>.</w:t>
      </w:r>
    </w:p>
    <w:p w14:paraId="56F28820" w14:textId="252F06AB" w:rsidR="00BF633F" w:rsidRDefault="00BF633F" w:rsidP="00B56AC2">
      <w:r>
        <w:lastRenderedPageBreak/>
        <w:t xml:space="preserve">Az Alap kezelőjének </w:t>
      </w:r>
      <w:r w:rsidRPr="00BF633F">
        <w:t xml:space="preserve">kijelölése az Alap feladatainak meghatározásától függ. Önkormányzati hatáskör és pályáztatás esetén a Főépítészi és Vagyongazdálkodási Iroda, az önkormányzati tulajdonú ingatlanok felújításának hangsúlya esetén az Erzsébetvárosi Ingatlangazdálkodási Nonprofit </w:t>
      </w:r>
      <w:proofErr w:type="spellStart"/>
      <w:r w:rsidRPr="00BF633F">
        <w:t>Zrt</w:t>
      </w:r>
      <w:proofErr w:type="spellEnd"/>
      <w:r w:rsidRPr="00BF633F">
        <w:t xml:space="preserve"> </w:t>
      </w:r>
      <w:r>
        <w:t>(</w:t>
      </w:r>
      <w:r w:rsidRPr="00BF633F">
        <w:t>EVIN</w:t>
      </w:r>
      <w:r>
        <w:t>)</w:t>
      </w:r>
      <w:r w:rsidRPr="00BF633F">
        <w:t xml:space="preserve">, további támogatásokkal és beruházásokkal növelt feladatellátás esetén egy erre dedikált Városfejlesztő Társaság (akár </w:t>
      </w:r>
      <w:proofErr w:type="spellStart"/>
      <w:r w:rsidRPr="00BF633F">
        <w:t>EVIN-ből</w:t>
      </w:r>
      <w:proofErr w:type="spellEnd"/>
      <w:r w:rsidRPr="00BF633F">
        <w:t xml:space="preserve"> leválasztva) javasolható.</w:t>
      </w:r>
    </w:p>
    <w:p w14:paraId="0DA44646" w14:textId="05219406" w:rsidR="00BF633F" w:rsidRDefault="00BF633F" w:rsidP="00B56AC2">
      <w:r w:rsidRPr="00BF633F">
        <w:t xml:space="preserve">Az Alap két egymástól független eljárásban kell, hogy felhasználásra kerüljön. Míg az önkormányzat 100%-os tulajdonában levő lakóépületek önkormányzati saját projektként működnek, a társasházi felújítások az Alap költségvetési forrásoktól való függőség idejéig éves, majd annak stabil forgótőke rendszerré </w:t>
      </w:r>
      <w:r>
        <w:t xml:space="preserve">válását </w:t>
      </w:r>
      <w:r w:rsidRPr="00BF633F">
        <w:t>követően folyamatos pályáztatás során kerülnek kiválasztásra</w:t>
      </w:r>
      <w:r>
        <w:t>.</w:t>
      </w:r>
    </w:p>
    <w:p w14:paraId="32763BCE" w14:textId="7D99C1F9" w:rsidR="00BF633F" w:rsidRDefault="00BF633F" w:rsidP="00B56AC2">
      <w:r w:rsidRPr="00BF633F">
        <w:t xml:space="preserve">Az </w:t>
      </w:r>
      <w:r>
        <w:t>A</w:t>
      </w:r>
      <w:r w:rsidRPr="00BF633F">
        <w:t>lap működésének pénzügyi modellezés</w:t>
      </w:r>
      <w:r>
        <w:t xml:space="preserve">ének első lépéseként </w:t>
      </w:r>
      <w:r w:rsidRPr="00BF633F">
        <w:t>energetikai számítások</w:t>
      </w:r>
      <w:r>
        <w:t xml:space="preserve"> kerültek elvégzésre</w:t>
      </w:r>
      <w:r w:rsidRPr="00BF633F">
        <w:t xml:space="preserve"> az önkormányzat 100%-os tulajdonában levő 29 épületre</w:t>
      </w:r>
      <w:r>
        <w:t xml:space="preserve"> és </w:t>
      </w:r>
      <w:r w:rsidRPr="00BF633F">
        <w:t>két konkrét épületre</w:t>
      </w:r>
      <w:r>
        <w:t xml:space="preserve">, valamint – </w:t>
      </w:r>
      <w:proofErr w:type="gramStart"/>
      <w:r>
        <w:t>ezen</w:t>
      </w:r>
      <w:proofErr w:type="gramEnd"/>
      <w:r>
        <w:t xml:space="preserve"> számításokat alapul véve – egy pénzügyi modellező számítási rendszer került kidolgozásra.</w:t>
      </w:r>
      <w:r w:rsidR="00A32B1E">
        <w:t xml:space="preserve"> </w:t>
      </w:r>
      <w:r w:rsidR="00A32B1E" w:rsidRPr="00A32B1E">
        <w:t xml:space="preserve">A modellhez egy Excel tábla készült, amely </w:t>
      </w:r>
      <w:r w:rsidR="00A32B1E">
        <w:t xml:space="preserve">az </w:t>
      </w:r>
      <w:proofErr w:type="gramStart"/>
      <w:r w:rsidR="00A32B1E">
        <w:t xml:space="preserve">alap </w:t>
      </w:r>
      <w:r w:rsidR="00A32B1E" w:rsidRPr="00A32B1E">
        <w:t>feltételek</w:t>
      </w:r>
      <w:proofErr w:type="gramEnd"/>
      <w:r w:rsidR="00A32B1E" w:rsidRPr="00A32B1E">
        <w:t xml:space="preserve"> </w:t>
      </w:r>
      <w:r w:rsidR="00A32B1E">
        <w:t xml:space="preserve">változtatásával </w:t>
      </w:r>
      <w:r w:rsidR="00A32B1E" w:rsidRPr="00A32B1E">
        <w:t>az elkülönített pénzalap</w:t>
      </w:r>
      <w:r w:rsidR="00A32B1E">
        <w:t xml:space="preserve"> és </w:t>
      </w:r>
      <w:r w:rsidR="00A32B1E" w:rsidRPr="00A32B1E">
        <w:t>a projekt pénzáramlás</w:t>
      </w:r>
      <w:r w:rsidR="00A32B1E">
        <w:t>át mutatja.</w:t>
      </w:r>
    </w:p>
    <w:p w14:paraId="1E387FD8" w14:textId="64094550" w:rsidR="00A32B1E" w:rsidRDefault="00A32B1E" w:rsidP="00A32B1E">
      <w:r>
        <w:t>A</w:t>
      </w:r>
      <w:r w:rsidRPr="00A32B1E">
        <w:t xml:space="preserve">z </w:t>
      </w:r>
      <w:r>
        <w:t xml:space="preserve">Alap egyik része (a 2023-as Költségvetés szerint </w:t>
      </w:r>
      <w:r w:rsidRPr="00A32B1E">
        <w:t>1</w:t>
      </w:r>
      <w:r>
        <w:rPr>
          <w:rFonts w:cs="Calibri"/>
          <w:b/>
          <w:bCs/>
          <w:color w:val="000000"/>
          <w:sz w:val="20"/>
        </w:rPr>
        <w:t> </w:t>
      </w:r>
      <w:r w:rsidRPr="00A32B1E">
        <w:t>623</w:t>
      </w:r>
      <w:r>
        <w:rPr>
          <w:rFonts w:cs="Calibri"/>
          <w:b/>
          <w:bCs/>
          <w:color w:val="000000"/>
          <w:sz w:val="20"/>
        </w:rPr>
        <w:t> </w:t>
      </w:r>
      <w:r w:rsidRPr="00A32B1E">
        <w:t>882</w:t>
      </w:r>
      <w:r>
        <w:rPr>
          <w:rFonts w:cs="Calibri"/>
          <w:b/>
          <w:bCs/>
          <w:color w:val="000000"/>
          <w:sz w:val="20"/>
        </w:rPr>
        <w:t> </w:t>
      </w:r>
      <w:r w:rsidRPr="00A32B1E">
        <w:t>Ft</w:t>
      </w:r>
      <w:r>
        <w:t>) az ö</w:t>
      </w:r>
      <w:r w:rsidRPr="00A32B1E">
        <w:t>nkormányzat saját tulajdonban lévő 29 épület</w:t>
      </w:r>
      <w:r>
        <w:t>ének mélyfelújítására (</w:t>
      </w:r>
      <w:r w:rsidRPr="00A32B1E">
        <w:t>hőszigetelés, nyílászárócser</w:t>
      </w:r>
      <w:r>
        <w:t>e</w:t>
      </w:r>
      <w:r w:rsidRPr="00A32B1E">
        <w:t xml:space="preserve">, </w:t>
      </w:r>
      <w:r>
        <w:t xml:space="preserve">hőszivattyús központi fűtés-hűtés rendszer kiépítése, és </w:t>
      </w:r>
      <w:r w:rsidRPr="00A32B1E">
        <w:t>a nem műemléki épületekre szerelt napelemes rendszerek kialakítás</w:t>
      </w:r>
      <w:r>
        <w:t>a) kerül felhasználásra</w:t>
      </w:r>
      <w:r w:rsidRPr="00A32B1E">
        <w:t>.</w:t>
      </w:r>
      <w:r>
        <w:t xml:space="preserve"> A becslések szerint az önkormányzati 100%-os társasházi épületek energetikai felújítása összesen 2,85-3,16 milliárd forintot igényelnek. Az éves megtakarítások Alapba való visszatérítése lassú ütemű</w:t>
      </w:r>
      <w:r w:rsidR="00E84C3F">
        <w:t>, így a</w:t>
      </w:r>
      <w:r>
        <w:t xml:space="preserve"> jelenleg allokált összeget </w:t>
      </w:r>
      <w:r w:rsidR="00E84C3F">
        <w:t xml:space="preserve">a 10 év futamidő alatt </w:t>
      </w:r>
      <w:r>
        <w:t xml:space="preserve">ki kell egészíteni. Az önkormányzat számára az eseti önkormányzati forrásallokációs döntések helyett javasolható, hogy a saját tulajdonú ingatlanokon a felújítással </w:t>
      </w:r>
      <w:proofErr w:type="spellStart"/>
      <w:r>
        <w:t>egyidőben</w:t>
      </w:r>
      <w:proofErr w:type="spellEnd"/>
      <w:r>
        <w:t xml:space="preserve"> a telkek beépítési lehetőségeit használja ki a helyi építési szabályzatban és a környék adottságainak figyelembevételével. A legtöbb ingatlanon a tetőtér beépítése és további új épületszárnyak megvalósítása rendelkezésre áll. </w:t>
      </w:r>
    </w:p>
    <w:p w14:paraId="1A3F64B2" w14:textId="0FA59CE7" w:rsidR="00A32B1E" w:rsidRDefault="00A32B1E" w:rsidP="00A32B1E">
      <w:r>
        <w:t>Az előfinanszírozás visszatörlesztése az Önkormányzat felé két módon</w:t>
      </w:r>
      <w:r w:rsidR="00E84C3F">
        <w:t xml:space="preserve"> – a l</w:t>
      </w:r>
      <w:r w:rsidR="00E84C3F" w:rsidRPr="00E84C3F">
        <w:t>akbér</w:t>
      </w:r>
      <w:r w:rsidR="00E84C3F">
        <w:t>ek</w:t>
      </w:r>
      <w:r w:rsidR="00E84C3F" w:rsidRPr="00E84C3F">
        <w:t xml:space="preserve"> mértékének emelés</w:t>
      </w:r>
      <w:r w:rsidR="00E84C3F">
        <w:t xml:space="preserve">ével vagy </w:t>
      </w:r>
      <w:r w:rsidR="00E84C3F" w:rsidRPr="00E84C3F">
        <w:t>a bérlőkkel energiahatékonyságra vonatkozó szerződés (EPC) köt</w:t>
      </w:r>
      <w:r w:rsidR="00E84C3F">
        <w:t>ésével</w:t>
      </w:r>
      <w:r w:rsidR="00E84C3F" w:rsidRPr="00E84C3F">
        <w:t xml:space="preserve"> </w:t>
      </w:r>
      <w:r w:rsidR="00E84C3F">
        <w:t xml:space="preserve">– </w:t>
      </w:r>
      <w:r>
        <w:t>történhet</w:t>
      </w:r>
      <w:r w:rsidR="00E84C3F">
        <w:t xml:space="preserve">. </w:t>
      </w:r>
      <w:r w:rsidR="00E84C3F" w:rsidRPr="00E84C3F">
        <w:t>Az Alapba 2027-től kezdve (piaci energiaárakkal számolva 2028-től) évenkénti 550 millió forint alaptőke emeléssel a felújítások megvalósíthatók. A felújított épületekben az Alapba való visszatérítés alacsony mértékű, de folyamatos bevételeket jelent az ingatlanok vagyonkezelési igényeinek ellátásához. A 29 épület felújítását követően az Alap tudja folyamatosan biztosítani a kisebb korszerűsítési feladatok forrását, valamint a nem lakóépületek felújítási programjait.</w:t>
      </w:r>
    </w:p>
    <w:p w14:paraId="043CC0AE" w14:textId="61A50A2F" w:rsidR="00E84C3F" w:rsidRDefault="00E84C3F" w:rsidP="00E84C3F">
      <w:r>
        <w:t xml:space="preserve">Az Alap másik része (a 2023-as Költségvetés szerint </w:t>
      </w:r>
      <w:r w:rsidRPr="00E84C3F">
        <w:t>1 085</w:t>
      </w:r>
      <w:r>
        <w:t> </w:t>
      </w:r>
      <w:r w:rsidRPr="00E84C3F">
        <w:t>000 Ft</w:t>
      </w:r>
      <w:r>
        <w:t>)</w:t>
      </w:r>
      <w:r w:rsidRPr="00E84C3F">
        <w:t xml:space="preserve"> </w:t>
      </w:r>
      <w:r>
        <w:t>a m</w:t>
      </w:r>
      <w:r w:rsidRPr="00E84C3F">
        <w:t>agán</w:t>
      </w:r>
      <w:r>
        <w:t xml:space="preserve">- vagy vegyes </w:t>
      </w:r>
      <w:r w:rsidRPr="00E84C3F">
        <w:t>tulajdonú társasházak</w:t>
      </w:r>
      <w:r>
        <w:t xml:space="preserve"> támogatási programját tartalmazza. Az önkormányzati épületek példamutató felújításának eredményeképpen az Alapra pályázó 120 épület felújítási igényével számoltunk, amely a kerületi lakások 11,9%-át jelenti a tervezett 10 év alatt. </w:t>
      </w:r>
      <w:r w:rsidRPr="00E84C3F">
        <w:t xml:space="preserve">A </w:t>
      </w:r>
      <w:r>
        <w:t>társasházak</w:t>
      </w:r>
      <w:r w:rsidRPr="00E84C3F">
        <w:t xml:space="preserve"> felújításait az Alap felállítását követően, 2024-től feltételezzük, </w:t>
      </w:r>
      <w:proofErr w:type="spellStart"/>
      <w:r w:rsidRPr="00E84C3F">
        <w:t>hőtechnikai</w:t>
      </w:r>
      <w:proofErr w:type="spellEnd"/>
      <w:r w:rsidRPr="00E84C3F">
        <w:t xml:space="preserve"> felújítással és PV telepítéssel, központi hőszivattyús rendszerrel.</w:t>
      </w:r>
      <w:r>
        <w:t xml:space="preserve"> A felújítások egy lakásra, háztartásra jutó 9,97 millió forintos mértéke az ingatlanok értékéhez viszonyítva reálisnak ítéljük, különösen, hogy ezzel a lakások egészséges beltéri környezete és komfort javulása is megtörténik, és az ingatlan értéke akár 25-40%-kal is növekedhet.</w:t>
      </w:r>
    </w:p>
    <w:p w14:paraId="2D1974B7" w14:textId="49D20131" w:rsidR="00C87535" w:rsidRDefault="00E84C3F" w:rsidP="00C87535">
      <w:r>
        <w:t>A pénzügyi modellel több szcenáriót állítottunk fel</w:t>
      </w:r>
      <w:r w:rsidR="00C87535">
        <w:t xml:space="preserve">, amelyből a nagyobb támogatási intenzitású és futamidejű változatok esetében (1-3. szcenáriók) a </w:t>
      </w:r>
      <w:r w:rsidR="00C87535" w:rsidRPr="00C87535">
        <w:t>korai időszakban jelentkező kiadások meghaladják a visszafizetésekből származó bevételeket</w:t>
      </w:r>
      <w:r w:rsidR="00C87535">
        <w:t xml:space="preserve">, így további </w:t>
      </w:r>
      <w:r w:rsidR="00C87535" w:rsidRPr="00C87535">
        <w:t>forrásbevonás</w:t>
      </w:r>
      <w:r w:rsidR="00C87535">
        <w:t>ok</w:t>
      </w:r>
      <w:r w:rsidR="00C87535" w:rsidRPr="00C87535">
        <w:t xml:space="preserve"> tudj</w:t>
      </w:r>
      <w:r w:rsidR="00C87535">
        <w:t>ák</w:t>
      </w:r>
      <w:r w:rsidR="00C87535" w:rsidRPr="00C87535">
        <w:t xml:space="preserve"> folyamatosan biztosítani a forgóalap támogatási igényeit</w:t>
      </w:r>
      <w:r w:rsidR="00C87535">
        <w:t xml:space="preserve">. Az eseti önkormányzati forrásallokációs döntések helyett </w:t>
      </w:r>
      <w:r w:rsidR="00C87535">
        <w:lastRenderedPageBreak/>
        <w:t xml:space="preserve">javasolható, hogy a saját tulajdonú ingatlanokon a felújítással </w:t>
      </w:r>
      <w:proofErr w:type="spellStart"/>
      <w:r w:rsidR="00C87535">
        <w:t>egyidőben</w:t>
      </w:r>
      <w:proofErr w:type="spellEnd"/>
      <w:r w:rsidR="00C87535">
        <w:t xml:space="preserve"> a telkek beépítési lehetőségeit használja ki a helyi építési szabályzatban és a környék adottságainak figyelembevételével. A legtöbb ingatlanon a tetőtér beépítése és további új épületszárnyak megvalósítása rendelkezésre áll. Továbbá a jövőben megjelenő </w:t>
      </w:r>
      <w:proofErr w:type="spellStart"/>
      <w:r w:rsidR="00C87535">
        <w:t>EUs</w:t>
      </w:r>
      <w:proofErr w:type="spellEnd"/>
      <w:r w:rsidR="00C87535">
        <w:t xml:space="preserve"> és nemzeti támogatási programok segíthetik a kedvezőbb feltételeket.</w:t>
      </w:r>
    </w:p>
    <w:p w14:paraId="0F0F2600" w14:textId="6BE70A7A" w:rsidR="00E84C3F" w:rsidRDefault="00C87535" w:rsidP="00A32B1E">
      <w:r w:rsidRPr="00C87535">
        <w:t>A 4. szcenárióban, 8,5%-os támogatási intenzitással, 4 éves visszafizetési idővel (vagy 14%-os támogatási intenzitás és 2 éves futamidő) nincs szükség tőkebevonásra.</w:t>
      </w:r>
    </w:p>
    <w:p w14:paraId="0DAEF225" w14:textId="29529083" w:rsidR="00C87535" w:rsidRDefault="00C87535" w:rsidP="00C87535">
      <w:r>
        <w:t xml:space="preserve">Jelen modell nem tartalmazza, de a kölcsönök </w:t>
      </w:r>
      <w:proofErr w:type="spellStart"/>
      <w:r>
        <w:t>kedvezményezetti</w:t>
      </w:r>
      <w:proofErr w:type="spellEnd"/>
      <w:r>
        <w:t xml:space="preserve"> előnyeit érdemes egy sávos rendszer bevezetésével gazdagítani: minél nagyobb energiahatékonyságot ér el a felújítás, annál nagyobb összeg vagy annál hosszabb visszafizetési idő kerülhet meghatározásra.</w:t>
      </w:r>
    </w:p>
    <w:p w14:paraId="0A88E2D3" w14:textId="4072696E" w:rsidR="00B56AC2" w:rsidRDefault="00B56AC2">
      <w:pPr>
        <w:autoSpaceDE/>
        <w:autoSpaceDN/>
        <w:spacing w:before="0" w:after="0" w:line="240" w:lineRule="auto"/>
      </w:pPr>
      <w:r>
        <w:br w:type="page"/>
      </w:r>
    </w:p>
    <w:p w14:paraId="3C337C2D" w14:textId="569912ED" w:rsidR="00982CDD" w:rsidRDefault="006C7FF4" w:rsidP="00982CDD">
      <w:pPr>
        <w:pStyle w:val="Cmsor1"/>
      </w:pPr>
      <w:bookmarkStart w:id="2" w:name="_Toc133257973"/>
      <w:r>
        <w:lastRenderedPageBreak/>
        <w:t>P</w:t>
      </w:r>
      <w:r w:rsidR="00982CDD" w:rsidRPr="00D139B5">
        <w:t>éldák társasházi épület felújítási támogatásokra</w:t>
      </w:r>
      <w:bookmarkEnd w:id="2"/>
    </w:p>
    <w:p w14:paraId="25695DA4" w14:textId="563A1380" w:rsidR="00982CDD" w:rsidRDefault="00982CDD" w:rsidP="00982CDD">
      <w:pPr>
        <w:pStyle w:val="Cmsor2"/>
      </w:pPr>
      <w:bookmarkStart w:id="3" w:name="_Toc133257974"/>
      <w:r w:rsidRPr="00D139B5">
        <w:t xml:space="preserve">Nemzetközi </w:t>
      </w:r>
      <w:r>
        <w:t>hagyományos és innovatív támogatási eszközök</w:t>
      </w:r>
      <w:bookmarkEnd w:id="3"/>
    </w:p>
    <w:tbl>
      <w:tblPr>
        <w:tblStyle w:val="Rcsostblzat"/>
        <w:tblW w:w="0" w:type="auto"/>
        <w:tblLook w:val="04A0" w:firstRow="1" w:lastRow="0" w:firstColumn="1" w:lastColumn="0" w:noHBand="0" w:noVBand="1"/>
      </w:tblPr>
      <w:tblGrid>
        <w:gridCol w:w="2205"/>
        <w:gridCol w:w="2226"/>
        <w:gridCol w:w="2303"/>
        <w:gridCol w:w="2282"/>
      </w:tblGrid>
      <w:tr w:rsidR="00982CDD" w14:paraId="32853EA1" w14:textId="77777777" w:rsidTr="00A30199">
        <w:tc>
          <w:tcPr>
            <w:tcW w:w="2614" w:type="dxa"/>
            <w:shd w:val="clear" w:color="auto" w:fill="D9D9D9" w:themeFill="background1" w:themeFillShade="D9"/>
          </w:tcPr>
          <w:p w14:paraId="665F1309" w14:textId="77777777" w:rsidR="00982CDD" w:rsidRDefault="00982CDD" w:rsidP="00982CDD">
            <w:pPr>
              <w:pStyle w:val="tablazat"/>
            </w:pPr>
            <w:bookmarkStart w:id="4" w:name="_Hlk130390120"/>
          </w:p>
        </w:tc>
        <w:tc>
          <w:tcPr>
            <w:tcW w:w="2614" w:type="dxa"/>
            <w:shd w:val="clear" w:color="auto" w:fill="D9D9D9" w:themeFill="background1" w:themeFillShade="D9"/>
          </w:tcPr>
          <w:p w14:paraId="686A31EF" w14:textId="77777777" w:rsidR="00982CDD" w:rsidRDefault="00982CDD" w:rsidP="00982CDD">
            <w:pPr>
              <w:pStyle w:val="tablazat"/>
            </w:pPr>
            <w:r>
              <w:t>Hagyományos és jól bevált</w:t>
            </w:r>
          </w:p>
        </w:tc>
        <w:tc>
          <w:tcPr>
            <w:tcW w:w="2614" w:type="dxa"/>
            <w:shd w:val="clear" w:color="auto" w:fill="D9D9D9" w:themeFill="background1" w:themeFillShade="D9"/>
          </w:tcPr>
          <w:p w14:paraId="4D0A8CB8" w14:textId="77777777" w:rsidR="00982CDD" w:rsidRDefault="00982CDD" w:rsidP="00982CDD">
            <w:pPr>
              <w:pStyle w:val="tablazat"/>
            </w:pPr>
            <w:r>
              <w:t>Tesztelt és növekvő</w:t>
            </w:r>
          </w:p>
        </w:tc>
        <w:tc>
          <w:tcPr>
            <w:tcW w:w="2614" w:type="dxa"/>
            <w:shd w:val="clear" w:color="auto" w:fill="D9D9D9" w:themeFill="background1" w:themeFillShade="D9"/>
          </w:tcPr>
          <w:p w14:paraId="28C54217" w14:textId="77777777" w:rsidR="00982CDD" w:rsidRDefault="00982CDD" w:rsidP="00982CDD">
            <w:pPr>
              <w:pStyle w:val="tablazat"/>
            </w:pPr>
            <w:r>
              <w:t>Új és innovatív</w:t>
            </w:r>
          </w:p>
        </w:tc>
      </w:tr>
      <w:tr w:rsidR="00982CDD" w14:paraId="24A9B39B" w14:textId="77777777" w:rsidTr="00A30199">
        <w:tc>
          <w:tcPr>
            <w:tcW w:w="2614" w:type="dxa"/>
            <w:shd w:val="clear" w:color="auto" w:fill="D9D9D9" w:themeFill="background1" w:themeFillShade="D9"/>
          </w:tcPr>
          <w:p w14:paraId="3CC06AE6" w14:textId="77777777" w:rsidR="00982CDD" w:rsidRDefault="00982CDD" w:rsidP="00982CDD">
            <w:pPr>
              <w:pStyle w:val="tablazat"/>
            </w:pPr>
            <w:r w:rsidRPr="00866956">
              <w:t>Vissza nem térítendő</w:t>
            </w:r>
            <w:r>
              <w:t xml:space="preserve"> támogatás</w:t>
            </w:r>
          </w:p>
        </w:tc>
        <w:tc>
          <w:tcPr>
            <w:tcW w:w="2614" w:type="dxa"/>
          </w:tcPr>
          <w:p w14:paraId="3CD1CD2D" w14:textId="77777777" w:rsidR="00982CDD" w:rsidRDefault="00982CDD" w:rsidP="00982CDD">
            <w:pPr>
              <w:pStyle w:val="tablazat"/>
            </w:pPr>
            <w:r>
              <w:t>Pályázati támogatások</w:t>
            </w:r>
          </w:p>
          <w:p w14:paraId="57B90619" w14:textId="77777777" w:rsidR="00982CDD" w:rsidRDefault="00982CDD" w:rsidP="00982CDD">
            <w:pPr>
              <w:pStyle w:val="tablazat"/>
            </w:pPr>
            <w:r>
              <w:t>Adókedvezmények</w:t>
            </w:r>
          </w:p>
        </w:tc>
        <w:tc>
          <w:tcPr>
            <w:tcW w:w="2614" w:type="dxa"/>
          </w:tcPr>
          <w:p w14:paraId="702BC33F" w14:textId="7A3AF1BC" w:rsidR="00982CDD" w:rsidRDefault="00583375" w:rsidP="00982CDD">
            <w:pPr>
              <w:pStyle w:val="tablazat"/>
            </w:pPr>
            <w:r w:rsidRPr="00583375">
              <w:t>Energiahatékonys</w:t>
            </w:r>
            <w:r>
              <w:t>á</w:t>
            </w:r>
            <w:r w:rsidRPr="00583375">
              <w:t>gi Kötelezettségi Rendszer</w:t>
            </w:r>
            <w:r>
              <w:t xml:space="preserve"> (EKR)</w:t>
            </w:r>
          </w:p>
        </w:tc>
        <w:tc>
          <w:tcPr>
            <w:tcW w:w="2614" w:type="dxa"/>
          </w:tcPr>
          <w:p w14:paraId="59EE43BE" w14:textId="77777777" w:rsidR="00982CDD" w:rsidRDefault="00982CDD" w:rsidP="00982CDD">
            <w:pPr>
              <w:pStyle w:val="tablazat"/>
            </w:pPr>
            <w:r w:rsidRPr="00343570">
              <w:t xml:space="preserve">Energiahatékonysági </w:t>
            </w:r>
            <w:r>
              <w:t xml:space="preserve">szabályozott </w:t>
            </w:r>
            <w:r w:rsidRPr="00343570">
              <w:t xml:space="preserve">átvételi </w:t>
            </w:r>
            <w:r>
              <w:t>árak</w:t>
            </w:r>
          </w:p>
        </w:tc>
      </w:tr>
      <w:tr w:rsidR="00982CDD" w14:paraId="298F98E9" w14:textId="77777777" w:rsidTr="00A30199">
        <w:tc>
          <w:tcPr>
            <w:tcW w:w="2614" w:type="dxa"/>
            <w:shd w:val="clear" w:color="auto" w:fill="D9D9D9" w:themeFill="background1" w:themeFillShade="D9"/>
          </w:tcPr>
          <w:p w14:paraId="1D5C0426" w14:textId="77777777" w:rsidR="00982CDD" w:rsidRDefault="00982CDD" w:rsidP="00982CDD">
            <w:pPr>
              <w:pStyle w:val="tablazat"/>
            </w:pPr>
            <w:r>
              <w:t>Hitelfinanszírozás</w:t>
            </w:r>
          </w:p>
        </w:tc>
        <w:tc>
          <w:tcPr>
            <w:tcW w:w="2614" w:type="dxa"/>
          </w:tcPr>
          <w:p w14:paraId="6E17DA2D" w14:textId="77777777" w:rsidR="00982CDD" w:rsidRDefault="00982CDD" w:rsidP="00982CDD">
            <w:pPr>
              <w:pStyle w:val="tablazat"/>
            </w:pPr>
            <w:r>
              <w:t>Kedvezményes kölcsönök</w:t>
            </w:r>
          </w:p>
          <w:p w14:paraId="2419EF47" w14:textId="77777777" w:rsidR="00982CDD" w:rsidRDefault="00982CDD" w:rsidP="00982CDD">
            <w:pPr>
              <w:pStyle w:val="tablazat"/>
            </w:pPr>
            <w:r>
              <w:t>Lízing</w:t>
            </w:r>
          </w:p>
        </w:tc>
        <w:tc>
          <w:tcPr>
            <w:tcW w:w="2614" w:type="dxa"/>
          </w:tcPr>
          <w:p w14:paraId="11FD453F" w14:textId="77777777" w:rsidR="00982CDD" w:rsidRDefault="00982CDD" w:rsidP="00982CDD">
            <w:pPr>
              <w:pStyle w:val="tablazat"/>
            </w:pPr>
            <w:r>
              <w:t>Energiateljesítményre vonatkozó szerződések (EPC)</w:t>
            </w:r>
          </w:p>
          <w:p w14:paraId="3C563C2E" w14:textId="77777777" w:rsidR="00982CDD" w:rsidRDefault="00982CDD" w:rsidP="00982CDD">
            <w:pPr>
              <w:pStyle w:val="tablazat"/>
            </w:pPr>
            <w:r>
              <w:t>Energiaszolgáltatási megállapodások (ESCO)</w:t>
            </w:r>
          </w:p>
          <w:p w14:paraId="534F96B0" w14:textId="77777777" w:rsidR="00982CDD" w:rsidRDefault="00982CDD" w:rsidP="00982CDD">
            <w:pPr>
              <w:pStyle w:val="tablazat"/>
            </w:pPr>
            <w:r>
              <w:t>Forgóalapok</w:t>
            </w:r>
          </w:p>
          <w:p w14:paraId="2F54BFF2" w14:textId="77777777" w:rsidR="00982CDD" w:rsidRDefault="00982CDD" w:rsidP="00982CDD">
            <w:pPr>
              <w:pStyle w:val="tablazat"/>
            </w:pPr>
            <w:r>
              <w:t>Kereskedelmi hitelek</w:t>
            </w:r>
          </w:p>
        </w:tc>
        <w:tc>
          <w:tcPr>
            <w:tcW w:w="2614" w:type="dxa"/>
          </w:tcPr>
          <w:p w14:paraId="615470DE" w14:textId="77777777" w:rsidR="00982CDD" w:rsidRDefault="00982CDD" w:rsidP="00982CDD">
            <w:pPr>
              <w:pStyle w:val="tablazat"/>
            </w:pPr>
            <w:proofErr w:type="spellStart"/>
            <w:r>
              <w:t>Energiahatékony</w:t>
            </w:r>
            <w:proofErr w:type="spellEnd"/>
            <w:r>
              <w:t xml:space="preserve"> jelzáloghitelek</w:t>
            </w:r>
          </w:p>
          <w:p w14:paraId="7F7AD933" w14:textId="77777777" w:rsidR="00982CDD" w:rsidRDefault="00982CDD" w:rsidP="00982CDD">
            <w:pPr>
              <w:pStyle w:val="tablazat"/>
            </w:pPr>
            <w:r>
              <w:t>Közösségi finanszírozás (</w:t>
            </w:r>
            <w:proofErr w:type="spellStart"/>
            <w:r>
              <w:t>Crowdfunding</w:t>
            </w:r>
            <w:proofErr w:type="spellEnd"/>
            <w:r>
              <w:t>)</w:t>
            </w:r>
          </w:p>
          <w:p w14:paraId="26EB7097" w14:textId="77777777" w:rsidR="00982CDD" w:rsidRDefault="00982CDD" w:rsidP="00982CDD">
            <w:pPr>
              <w:pStyle w:val="tablazat"/>
            </w:pPr>
            <w:r>
              <w:t>PACE (</w:t>
            </w:r>
            <w:proofErr w:type="spellStart"/>
            <w:r>
              <w:t>Property</w:t>
            </w:r>
            <w:proofErr w:type="spellEnd"/>
            <w:r>
              <w:t xml:space="preserve"> </w:t>
            </w:r>
            <w:proofErr w:type="spellStart"/>
            <w:r>
              <w:t>Assessment</w:t>
            </w:r>
            <w:proofErr w:type="spellEnd"/>
            <w:r>
              <w:t xml:space="preserve"> </w:t>
            </w:r>
            <w:proofErr w:type="spellStart"/>
            <w:r>
              <w:t>Clean</w:t>
            </w:r>
            <w:proofErr w:type="spellEnd"/>
            <w:r>
              <w:t xml:space="preserve"> </w:t>
            </w:r>
            <w:proofErr w:type="spellStart"/>
            <w:r>
              <w:t>Energy</w:t>
            </w:r>
            <w:proofErr w:type="spellEnd"/>
            <w:r>
              <w:t>)</w:t>
            </w:r>
          </w:p>
          <w:p w14:paraId="314B1C76" w14:textId="77777777" w:rsidR="00982CDD" w:rsidRDefault="00982CDD" w:rsidP="00982CDD">
            <w:pPr>
              <w:pStyle w:val="tablazat"/>
            </w:pPr>
            <w:r>
              <w:t>Számlaalapú (</w:t>
            </w:r>
            <w:proofErr w:type="spellStart"/>
            <w:r>
              <w:t>on-bill</w:t>
            </w:r>
            <w:proofErr w:type="spellEnd"/>
            <w:r>
              <w:t>) finanszírozás</w:t>
            </w:r>
          </w:p>
        </w:tc>
      </w:tr>
      <w:tr w:rsidR="00982CDD" w14:paraId="3CA5449E" w14:textId="77777777" w:rsidTr="00A30199">
        <w:tc>
          <w:tcPr>
            <w:tcW w:w="2614" w:type="dxa"/>
            <w:shd w:val="clear" w:color="auto" w:fill="D9D9D9" w:themeFill="background1" w:themeFillShade="D9"/>
          </w:tcPr>
          <w:p w14:paraId="04E9E569" w14:textId="77777777" w:rsidR="00982CDD" w:rsidRDefault="00982CDD" w:rsidP="00982CDD">
            <w:pPr>
              <w:pStyle w:val="tablazat"/>
            </w:pPr>
            <w:r>
              <w:t>T</w:t>
            </w:r>
            <w:r w:rsidRPr="00866956">
              <w:t>őkefinanszírozás</w:t>
            </w:r>
          </w:p>
        </w:tc>
        <w:tc>
          <w:tcPr>
            <w:tcW w:w="2614" w:type="dxa"/>
          </w:tcPr>
          <w:p w14:paraId="1C129A8E" w14:textId="77777777" w:rsidR="00982CDD" w:rsidRDefault="00982CDD" w:rsidP="00982CDD">
            <w:pPr>
              <w:pStyle w:val="tablazat"/>
            </w:pPr>
          </w:p>
        </w:tc>
        <w:tc>
          <w:tcPr>
            <w:tcW w:w="2614" w:type="dxa"/>
          </w:tcPr>
          <w:p w14:paraId="10BFEFEA" w14:textId="77777777" w:rsidR="00982CDD" w:rsidRDefault="00982CDD" w:rsidP="00982CDD">
            <w:pPr>
              <w:pStyle w:val="tablazat"/>
            </w:pPr>
            <w:r>
              <w:t>Energiateljesítményre vonatkozó szerződések (EPC)</w:t>
            </w:r>
          </w:p>
          <w:p w14:paraId="2E638B92" w14:textId="77777777" w:rsidR="00982CDD" w:rsidRDefault="00982CDD" w:rsidP="00982CDD">
            <w:pPr>
              <w:pStyle w:val="tablazat"/>
            </w:pPr>
            <w:r>
              <w:t>Energiaszolgáltatási megállapodások (ESCO)</w:t>
            </w:r>
          </w:p>
        </w:tc>
        <w:tc>
          <w:tcPr>
            <w:tcW w:w="2614" w:type="dxa"/>
          </w:tcPr>
          <w:p w14:paraId="3BEE3648" w14:textId="77777777" w:rsidR="00982CDD" w:rsidRDefault="00982CDD" w:rsidP="00982CDD">
            <w:pPr>
              <w:pStyle w:val="tablazat"/>
            </w:pPr>
            <w:r>
              <w:t>Közösségi finanszírozás (</w:t>
            </w:r>
            <w:proofErr w:type="spellStart"/>
            <w:r>
              <w:t>Crowdfunding</w:t>
            </w:r>
            <w:proofErr w:type="spellEnd"/>
            <w:r>
              <w:t>)</w:t>
            </w:r>
          </w:p>
        </w:tc>
      </w:tr>
    </w:tbl>
    <w:bookmarkEnd w:id="4"/>
    <w:p w14:paraId="2B4640C9" w14:textId="77777777" w:rsidR="00982CDD" w:rsidRDefault="00982CDD" w:rsidP="00982CDD">
      <w:pPr>
        <w:pStyle w:val="kepalairas"/>
      </w:pPr>
      <w:r w:rsidRPr="009954E2">
        <w:t xml:space="preserve">Az energetikai felújításokat támogató </w:t>
      </w:r>
      <w:r>
        <w:t xml:space="preserve">EU-s </w:t>
      </w:r>
      <w:r w:rsidRPr="009954E2">
        <w:t xml:space="preserve">pénzügyi eszközök áttekintése a piac telítettsége (hagyományos, növekvő és új) és típusa (vissza nem térítendő, </w:t>
      </w:r>
      <w:r>
        <w:t>hitel</w:t>
      </w:r>
      <w:r w:rsidRPr="009954E2">
        <w:t>finanszírozás és tőkefinanszírozás) szerint osztályozva.</w:t>
      </w:r>
      <w:r>
        <w:t xml:space="preserve"> (Forrás: </w:t>
      </w:r>
      <w:hyperlink r:id="rId11" w:history="1">
        <w:r w:rsidRPr="002D1F7D">
          <w:rPr>
            <w:rStyle w:val="Hiperhivatkozs"/>
          </w:rPr>
          <w:t>https://wires.onlinelibrary.wiley.com/doi/epdf/10.1002/wene.384</w:t>
        </w:r>
      </w:hyperlink>
      <w:r>
        <w:t>)</w:t>
      </w:r>
    </w:p>
    <w:p w14:paraId="2C73F7D3" w14:textId="77777777" w:rsidR="003624F0" w:rsidRDefault="003624F0" w:rsidP="00982CDD">
      <w:pPr>
        <w:pStyle w:val="kepalairas"/>
      </w:pPr>
    </w:p>
    <w:p w14:paraId="6E128613" w14:textId="7E64CA72" w:rsidR="00982CDD" w:rsidRPr="00982CDD" w:rsidRDefault="00982CDD" w:rsidP="006C7FF4">
      <w:pPr>
        <w:pStyle w:val="Cmsor3"/>
      </w:pPr>
      <w:bookmarkStart w:id="5" w:name="_Toc133257975"/>
      <w:r>
        <w:t>Nemzetközi hagyományos támogatási eszközök</w:t>
      </w:r>
      <w:bookmarkEnd w:id="5"/>
    </w:p>
    <w:p w14:paraId="7804ADAA" w14:textId="2E59B350" w:rsidR="001D09D2" w:rsidRDefault="00E311B1" w:rsidP="00E311B1">
      <w:r>
        <w:t>A Magyar Nemzeti Bank 2022. novemberi Lakáspiaci jelentésében</w:t>
      </w:r>
      <w:r w:rsidR="003D3735">
        <w:t xml:space="preserve"> (MNB, 2021)</w:t>
      </w:r>
      <w:r>
        <w:t xml:space="preserve"> összefoglalást készített az </w:t>
      </w:r>
      <w:r w:rsidRPr="00E311B1">
        <w:t xml:space="preserve">lakásállomány energetikai hatékonyságának javítását célzó </w:t>
      </w:r>
      <w:r>
        <w:t>európai</w:t>
      </w:r>
      <w:r w:rsidRPr="00E311B1">
        <w:t xml:space="preserve"> intézkedések</w:t>
      </w:r>
      <w:r>
        <w:t xml:space="preserve">ről. </w:t>
      </w:r>
    </w:p>
    <w:p w14:paraId="33F0393E" w14:textId="617D7C5E" w:rsidR="00B22972" w:rsidRPr="00982CDD" w:rsidRDefault="00E311B1" w:rsidP="00E311B1">
      <w:r>
        <w:t>A</w:t>
      </w:r>
      <w:r w:rsidRPr="00E311B1">
        <w:t xml:space="preserve"> </w:t>
      </w:r>
      <w:r>
        <w:t xml:space="preserve">20-60%-os </w:t>
      </w:r>
      <w:r w:rsidRPr="001D09D2">
        <w:rPr>
          <w:b/>
          <w:bCs/>
        </w:rPr>
        <w:t>vissza nem térítendő támogatásokat</w:t>
      </w:r>
      <w:r>
        <w:t xml:space="preserve"> tipikusan az államok nyújtják. Több országban az energetikai javulást eredményező munkák </w:t>
      </w:r>
      <w:r w:rsidR="00B22972">
        <w:t>kerülnek támogatásra</w:t>
      </w:r>
      <w:r w:rsidR="001D09D2">
        <w:t xml:space="preserve"> (Csehország kombinációs bónusszal ösztönzi a több fajta munkálatok egyidejű elvégzését). E</w:t>
      </w:r>
      <w:r w:rsidR="00B22972">
        <w:t xml:space="preserve">mellett </w:t>
      </w:r>
      <w:r>
        <w:t xml:space="preserve">elvárás, hogy az épület energetikai besorolása egy </w:t>
      </w:r>
      <w:r w:rsidR="00B22972">
        <w:t xml:space="preserve">vagy több </w:t>
      </w:r>
      <w:r>
        <w:t>szintet javuljon (Románia</w:t>
      </w:r>
      <w:r w:rsidR="00B22972">
        <w:t>, Ausztria</w:t>
      </w:r>
      <w:r>
        <w:t xml:space="preserve">), bizonyos </w:t>
      </w:r>
      <w:r w:rsidRPr="00982CDD">
        <w:t>szintet érjen el</w:t>
      </w:r>
      <w:r w:rsidR="00B22972" w:rsidRPr="00982CDD">
        <w:t xml:space="preserve">, </w:t>
      </w:r>
      <w:r w:rsidRPr="00982CDD">
        <w:t>az épület közel nulla energiaigényűvé váljon (Szlovénia</w:t>
      </w:r>
      <w:r w:rsidR="00B22972" w:rsidRPr="00982CDD">
        <w:t>, Egyesült Királyságban közel nulla</w:t>
      </w:r>
      <w:r w:rsidRPr="00982CDD">
        <w:t>)</w:t>
      </w:r>
      <w:r w:rsidR="00B22972" w:rsidRPr="00982CDD">
        <w:t xml:space="preserve"> vagy </w:t>
      </w:r>
      <w:r w:rsidRPr="00982CDD">
        <w:t>egy bizonyos</w:t>
      </w:r>
      <w:r w:rsidR="00B22972" w:rsidRPr="00982CDD">
        <w:t xml:space="preserve"> </w:t>
      </w:r>
      <w:r w:rsidRPr="00982CDD">
        <w:t xml:space="preserve">mértékű javulás a minimumelvárás. </w:t>
      </w:r>
      <w:r w:rsidR="00B22972" w:rsidRPr="00982CDD">
        <w:t xml:space="preserve">A támogatások jellemzően maximális összeghatárral rendelkeznek és sávos rendszerűek, </w:t>
      </w:r>
      <w:r w:rsidR="001D09D2" w:rsidRPr="00982CDD">
        <w:t>nevezetesen,</w:t>
      </w:r>
      <w:r w:rsidR="00B22972" w:rsidRPr="00982CDD">
        <w:t xml:space="preserve"> ha jelentősebb primer </w:t>
      </w:r>
      <w:proofErr w:type="spellStart"/>
      <w:r w:rsidR="00B22972" w:rsidRPr="00982CDD">
        <w:t>energiamegtakarítást</w:t>
      </w:r>
      <w:proofErr w:type="spellEnd"/>
      <w:r w:rsidR="00B22972" w:rsidRPr="00982CDD">
        <w:t xml:space="preserve"> ér el a felújítás, nagyobb a támogatási arány és összeg.</w:t>
      </w:r>
      <w:r w:rsidR="001D09D2" w:rsidRPr="00982CDD">
        <w:t xml:space="preserve"> </w:t>
      </w:r>
    </w:p>
    <w:p w14:paraId="0E0BF56A" w14:textId="50B12CC0" w:rsidR="00E311B1" w:rsidRPr="00982CDD" w:rsidRDefault="00E311B1" w:rsidP="00E311B1">
      <w:r w:rsidRPr="00982CDD">
        <w:t>A támogatásra jogosultak körét gyakran a rosszabb energetikai besorolású (Egyesült Királyság) vagy a régebben épült (Bécs, Észtország, Szlovákia, Szlovénia) ingatlanokra</w:t>
      </w:r>
      <w:r w:rsidR="00B22972" w:rsidRPr="00982CDD">
        <w:t xml:space="preserve"> </w:t>
      </w:r>
      <w:r w:rsidRPr="00982CDD">
        <w:t>korlátozzák</w:t>
      </w:r>
      <w:r w:rsidR="00B22972" w:rsidRPr="00982CDD">
        <w:t>, hiszen ez jelenti a legnagyobb hozzájárulást a klímacélokhoz, és az épületek energiahatékonyságról szóló direktívája (továbbiakban: EPBD) a legrosszabb épületállomány kivezetését tűzi ki célul</w:t>
      </w:r>
      <w:r w:rsidRPr="00982CDD">
        <w:t>.</w:t>
      </w:r>
      <w:r w:rsidR="00B22972" w:rsidRPr="00982CDD">
        <w:t xml:space="preserve"> </w:t>
      </w:r>
    </w:p>
    <w:p w14:paraId="7853A284" w14:textId="77777777" w:rsidR="001D09D2" w:rsidRPr="00982CDD" w:rsidRDefault="00B22972" w:rsidP="00B22972">
      <w:r w:rsidRPr="00982CDD">
        <w:t>A támogatásokat az államok többnyire EU-s alapokból vagy a központi költségvetésből finanszírozzák, szétosztásuk centralizált (Észtország: állami beruházási bank, Egyesült Királyság</w:t>
      </w:r>
      <w:r w:rsidR="001D09D2" w:rsidRPr="00982CDD">
        <w:t>:</w:t>
      </w:r>
      <w:r w:rsidRPr="00982CDD">
        <w:t xml:space="preserve"> </w:t>
      </w:r>
      <w:r w:rsidR="001D09D2" w:rsidRPr="00982CDD">
        <w:t xml:space="preserve">Szociális Lakás </w:t>
      </w:r>
      <w:proofErr w:type="spellStart"/>
      <w:r w:rsidR="001D09D2" w:rsidRPr="00982CDD">
        <w:t>Dekarbonizációs</w:t>
      </w:r>
      <w:proofErr w:type="spellEnd"/>
      <w:r w:rsidR="001D09D2" w:rsidRPr="00982CDD">
        <w:t xml:space="preserve"> Alap</w:t>
      </w:r>
      <w:r w:rsidRPr="00982CDD">
        <w:t xml:space="preserve">) vagy decentralizált (Bulgária: önkormányzatok). </w:t>
      </w:r>
    </w:p>
    <w:p w14:paraId="4BEAACB0" w14:textId="08AB1001" w:rsidR="003D3735" w:rsidRDefault="001D09D2" w:rsidP="00B22972">
      <w:r w:rsidRPr="00982CDD">
        <w:t xml:space="preserve">A támogatások mellett </w:t>
      </w:r>
      <w:r w:rsidRPr="00982CDD">
        <w:rPr>
          <w:b/>
          <w:bCs/>
        </w:rPr>
        <w:t>a kedvezményes</w:t>
      </w:r>
      <w:r w:rsidR="003D3735" w:rsidRPr="00982CDD">
        <w:rPr>
          <w:b/>
          <w:bCs/>
        </w:rPr>
        <w:t>, a</w:t>
      </w:r>
      <w:r w:rsidR="003D3735" w:rsidRPr="00982CDD">
        <w:t xml:space="preserve"> </w:t>
      </w:r>
      <w:r w:rsidR="003D3735" w:rsidRPr="00982CDD">
        <w:rPr>
          <w:b/>
          <w:bCs/>
        </w:rPr>
        <w:t>futamidő végéig fix kamatozású</w:t>
      </w:r>
      <w:r w:rsidRPr="00982CDD">
        <w:rPr>
          <w:b/>
          <w:bCs/>
        </w:rPr>
        <w:t xml:space="preserve"> hitelek</w:t>
      </w:r>
      <w:r w:rsidRPr="00982CDD">
        <w:t xml:space="preserve"> (1,5 százalékpont) minden országban jellemzők. Az alacsony jövedelmű háztartások több országban </w:t>
      </w:r>
      <w:r w:rsidRPr="00982CDD">
        <w:lastRenderedPageBreak/>
        <w:t xml:space="preserve">kamatmentes hitelt kaphatnak (Luxemburg, Hollandia). Az </w:t>
      </w:r>
      <w:proofErr w:type="spellStart"/>
      <w:r w:rsidRPr="00982CDD">
        <w:t>energiamegtakarítási</w:t>
      </w:r>
      <w:proofErr w:type="spellEnd"/>
      <w:r w:rsidRPr="00982CDD">
        <w:t xml:space="preserve"> hiteleket hitelintézetek vagy nonprofit pénzügyi intézmény (Hollandia) folyósítj</w:t>
      </w:r>
      <w:r w:rsidR="003D3735" w:rsidRPr="00982CDD">
        <w:t>ák. Feltétel általában egy szakember segítségével elkészített előzetes energetikai felújítási koncepció benyújtása, szakember igénybevétele és szigorú energiahatékonysági feltételek teljesítése.</w:t>
      </w:r>
    </w:p>
    <w:p w14:paraId="0E4916F1" w14:textId="3717C6CD" w:rsidR="00982CDD" w:rsidRDefault="003B496B" w:rsidP="006C7FF4">
      <w:pPr>
        <w:pStyle w:val="Cmsor3"/>
      </w:pPr>
      <w:bookmarkStart w:id="6" w:name="_Toc133257976"/>
      <w:r>
        <w:t>I</w:t>
      </w:r>
      <w:r w:rsidR="006C7FF4">
        <w:t xml:space="preserve">nnovatív támogatási eszközök, </w:t>
      </w:r>
      <w:r w:rsidR="00982CDD" w:rsidRPr="00D139B5">
        <w:t xml:space="preserve">felújítási </w:t>
      </w:r>
      <w:r>
        <w:t>forgó</w:t>
      </w:r>
      <w:r w:rsidR="00982CDD" w:rsidRPr="00D139B5">
        <w:t>alap</w:t>
      </w:r>
      <w:r>
        <w:t xml:space="preserve">: </w:t>
      </w:r>
      <w:proofErr w:type="spellStart"/>
      <w:r>
        <w:t>KredEx</w:t>
      </w:r>
      <w:bookmarkEnd w:id="6"/>
      <w:proofErr w:type="spellEnd"/>
    </w:p>
    <w:p w14:paraId="7F7EC3BE" w14:textId="6E4C2E19" w:rsidR="00A469F8" w:rsidRDefault="00A469F8" w:rsidP="00A469F8">
      <w:r>
        <w:t xml:space="preserve">A </w:t>
      </w:r>
      <w:proofErr w:type="spellStart"/>
      <w:r>
        <w:t>KredEx</w:t>
      </w:r>
      <w:proofErr w:type="spellEnd"/>
      <w:r>
        <w:t xml:space="preserve"> forgóalap Észtországban 2009-ben került felállításra a társasházak energiahatékonyságának növelésére. A forgóalap kezelője a </w:t>
      </w:r>
      <w:proofErr w:type="spellStart"/>
      <w:r>
        <w:t>KredEx</w:t>
      </w:r>
      <w:proofErr w:type="spellEnd"/>
      <w:r>
        <w:t xml:space="preserve"> Alapítvány, amely az észt Gazdasági és Kommunikációs Minisztérium (</w:t>
      </w:r>
      <w:proofErr w:type="spellStart"/>
      <w:r>
        <w:t>MoEAC</w:t>
      </w:r>
      <w:proofErr w:type="spellEnd"/>
      <w:r>
        <w:t xml:space="preserve">) által létrehozott, állami tulajdonú nonprofit pénzügyi szolgáltató. A forgóalap forrásai a saját </w:t>
      </w:r>
      <w:r w:rsidR="008C12E9">
        <w:t>források (10,2 millió EUR)</w:t>
      </w:r>
      <w:r>
        <w:t xml:space="preserve"> mellett az Európai Regionális Fejlesztési Alap (ERFA</w:t>
      </w:r>
      <w:r w:rsidR="008C12E9">
        <w:t>, 17 millió EUR</w:t>
      </w:r>
      <w:r>
        <w:t>), az észt kormány</w:t>
      </w:r>
      <w:r w:rsidR="008C12E9">
        <w:t xml:space="preserve"> (65 millió EUR)</w:t>
      </w:r>
      <w:r>
        <w:t>, az Európa Tanács Fejlesztési Bankja (CEB</w:t>
      </w:r>
      <w:r w:rsidR="008C12E9">
        <w:t>, 28,8 millió EUR</w:t>
      </w:r>
      <w:r>
        <w:t>) általi források voltak.</w:t>
      </w:r>
    </w:p>
    <w:p w14:paraId="3D285D44" w14:textId="2227ADF8" w:rsidR="00A469F8" w:rsidRDefault="00A469F8" w:rsidP="00A469F8">
      <w:r>
        <w:t>Az alap célja volt, hogy 2013 végéig legalább 1000 épület kerüljön felújításra, és a 2000 m²</w:t>
      </w:r>
      <w:proofErr w:type="spellStart"/>
      <w:r>
        <w:t>-nél</w:t>
      </w:r>
      <w:proofErr w:type="spellEnd"/>
      <w:r>
        <w:t xml:space="preserve"> kisebb nettó alapterületű épületek esetében legalább 20%, a 2000 m²</w:t>
      </w:r>
      <w:proofErr w:type="spellStart"/>
      <w:r>
        <w:t>-nél</w:t>
      </w:r>
      <w:proofErr w:type="spellEnd"/>
      <w:r>
        <w:t xml:space="preserve"> nagyobb nettó alapterületű épületek esetében pedig legalább 30% </w:t>
      </w:r>
      <w:proofErr w:type="spellStart"/>
      <w:r>
        <w:t>energiamegtakarítást</w:t>
      </w:r>
      <w:proofErr w:type="spellEnd"/>
      <w:r>
        <w:t xml:space="preserve"> érjen el. Kedvezményezettek a lakásszövetkezetek (társasházak és épületszövetkezetek) és az 1993 előtt épült épületek lakástulajdonosainak közösségei</w:t>
      </w:r>
      <w:r w:rsidR="008C12E9">
        <w:t xml:space="preserve"> (legalább 3 tulajdonos)</w:t>
      </w:r>
      <w:r>
        <w:t>, valamint a helyi önkormányzatok (szociális lakásaik megújítására) voltak</w:t>
      </w:r>
      <w:r w:rsidR="008C12E9">
        <w:t>.</w:t>
      </w:r>
    </w:p>
    <w:p w14:paraId="09C6EAEF" w14:textId="0C065BF8" w:rsidR="008C12E9" w:rsidRDefault="006D4C34" w:rsidP="008C12E9">
      <w:r>
        <w:t>A</w:t>
      </w:r>
      <w:r w:rsidR="008C12E9">
        <w:t xml:space="preserve"> </w:t>
      </w:r>
      <w:r>
        <w:t xml:space="preserve">fix, </w:t>
      </w:r>
      <w:r w:rsidRPr="006D4C34">
        <w:t>piaci kamatlábak</w:t>
      </w:r>
      <w:r>
        <w:t xml:space="preserve">nál alacsonyabb 3,5% és 4,5% közötti kamatozású </w:t>
      </w:r>
      <w:r w:rsidR="008C12E9">
        <w:t>hitelek</w:t>
      </w:r>
      <w:r>
        <w:t xml:space="preserve"> kezdetben </w:t>
      </w:r>
      <w:r w:rsidR="008C12E9">
        <w:t>10 éves futamidő</w:t>
      </w:r>
      <w:r>
        <w:t xml:space="preserve">vel, később </w:t>
      </w:r>
      <w:proofErr w:type="spellStart"/>
      <w:r>
        <w:t>max</w:t>
      </w:r>
      <w:proofErr w:type="spellEnd"/>
      <w:r>
        <w:t>. 20 éves futamidőre szóltak (</w:t>
      </w:r>
      <w:r w:rsidR="008C12E9">
        <w:t>átlag</w:t>
      </w:r>
      <w:r>
        <w:t>osan</w:t>
      </w:r>
      <w:r w:rsidR="008C12E9">
        <w:t xml:space="preserve"> 4,0%, 17 év</w:t>
      </w:r>
      <w:r>
        <w:t>)</w:t>
      </w:r>
      <w:r w:rsidR="008C12E9">
        <w:t>.</w:t>
      </w:r>
      <w:r>
        <w:t xml:space="preserve"> </w:t>
      </w:r>
      <w:r w:rsidR="008C12E9">
        <w:t>A kedvezményezettek legalább 15%-os önrés</w:t>
      </w:r>
      <w:r>
        <w:t xml:space="preserve">szel kellett, hogy rendelkezzenek </w:t>
      </w:r>
      <w:r w:rsidR="008C12E9">
        <w:t>(ez lehet</w:t>
      </w:r>
      <w:r>
        <w:t>ett</w:t>
      </w:r>
      <w:r w:rsidR="008C12E9">
        <w:t xml:space="preserve"> saját forrás, támogatás vagy bármilyen más kölcsön), és a maximális összeg felső határa épületenként 1,35 millió EUR</w:t>
      </w:r>
      <w:r>
        <w:t xml:space="preserve"> volt</w:t>
      </w:r>
      <w:r w:rsidR="008C12E9">
        <w:t>.</w:t>
      </w:r>
      <w:r>
        <w:t xml:space="preserve"> </w:t>
      </w:r>
      <w:r w:rsidRPr="006D4C34">
        <w:t>A szerződési díj a kölcsönösszeg 0,5-0,75%</w:t>
      </w:r>
      <w:r>
        <w:t>-a volt</w:t>
      </w:r>
      <w:r w:rsidRPr="006D4C34">
        <w:t>, ami szintén a kereskedelmi piaci feltételek alatt v</w:t>
      </w:r>
      <w:r>
        <w:t>olt</w:t>
      </w:r>
      <w:r w:rsidRPr="006D4C34">
        <w:t>.</w:t>
      </w:r>
    </w:p>
    <w:p w14:paraId="6749D344" w14:textId="537257BF" w:rsidR="008C12E9" w:rsidRDefault="006D4C34" w:rsidP="008C12E9">
      <w:r>
        <w:t xml:space="preserve">Biztosíték nem került meghatározásra, de a kölcsön teljes futamideje alatt a társasháznak (vagy tulajdonosoknak) biztosítással kellett rendelkezni. A visszafizetés </w:t>
      </w:r>
      <w:r w:rsidR="008C12E9">
        <w:t xml:space="preserve">többnyire az elért </w:t>
      </w:r>
      <w:proofErr w:type="spellStart"/>
      <w:r w:rsidR="008C12E9">
        <w:t>energiamegtakarításból</w:t>
      </w:r>
      <w:proofErr w:type="spellEnd"/>
      <w:r w:rsidR="008C12E9">
        <w:t xml:space="preserve"> </w:t>
      </w:r>
      <w:r>
        <w:t>történt</w:t>
      </w:r>
      <w:r w:rsidR="008C12E9">
        <w:t>.</w:t>
      </w:r>
    </w:p>
    <w:p w14:paraId="7FE739AE" w14:textId="700FAF03" w:rsidR="00A43DD5" w:rsidRDefault="00FC252C" w:rsidP="008C12E9">
      <w:r>
        <w:t>Az alacsony kamatú kölcsön mellett sávos rendszerű vissza nem térítendő támogatás is rendelkezésre állt</w:t>
      </w:r>
      <w:r w:rsidR="003216BB">
        <w:t>, utófinanszírozással</w:t>
      </w:r>
      <w:r>
        <w:t xml:space="preserve">. </w:t>
      </w:r>
    </w:p>
    <w:p w14:paraId="1712793E" w14:textId="6767D521" w:rsidR="00A43DD5" w:rsidRDefault="00A43DD5" w:rsidP="00A43DD5">
      <w:pPr>
        <w:pStyle w:val="Listaszerbekezds"/>
        <w:numPr>
          <w:ilvl w:val="0"/>
          <w:numId w:val="12"/>
        </w:numPr>
      </w:pPr>
      <w:r>
        <w:t>15%-os támogatás: 2000 m²</w:t>
      </w:r>
      <w:proofErr w:type="spellStart"/>
      <w:r>
        <w:t>-nél</w:t>
      </w:r>
      <w:proofErr w:type="spellEnd"/>
      <w:r>
        <w:t xml:space="preserve"> kisebb épületeknél 20%-os, 2000 m²</w:t>
      </w:r>
      <w:proofErr w:type="spellStart"/>
      <w:r>
        <w:t>-nél</w:t>
      </w:r>
      <w:proofErr w:type="spellEnd"/>
      <w:r>
        <w:t xml:space="preserve"> nagyobb épületeknél 30%-os </w:t>
      </w:r>
      <w:proofErr w:type="spellStart"/>
      <w:r>
        <w:t>energiamegtakarítási</w:t>
      </w:r>
      <w:proofErr w:type="spellEnd"/>
      <w:r>
        <w:t xml:space="preserve"> követelmény, E energiaminősítési szint (250 kWh/m²);</w:t>
      </w:r>
    </w:p>
    <w:p w14:paraId="3AC20283" w14:textId="14BE3FD5" w:rsidR="00A43DD5" w:rsidRDefault="00A43DD5" w:rsidP="00A43DD5">
      <w:pPr>
        <w:pStyle w:val="Listaszerbekezds"/>
        <w:numPr>
          <w:ilvl w:val="0"/>
          <w:numId w:val="12"/>
        </w:numPr>
      </w:pPr>
      <w:r>
        <w:t xml:space="preserve">25%-os támogatás: legalább 40%-os </w:t>
      </w:r>
      <w:proofErr w:type="spellStart"/>
      <w:r>
        <w:t>energiamegtakarítás</w:t>
      </w:r>
      <w:proofErr w:type="spellEnd"/>
      <w:r>
        <w:t xml:space="preserve"> a tető, homlokzat, ablakok (U-érték1,1) </w:t>
      </w:r>
      <w:r w:rsidR="00F4355B">
        <w:t xml:space="preserve">felújításával </w:t>
      </w:r>
      <w:r>
        <w:t>és fűtési rendszer korszerűsítésével</w:t>
      </w:r>
      <w:r w:rsidR="00F4355B">
        <w:t xml:space="preserve">, </w:t>
      </w:r>
      <w:r>
        <w:t xml:space="preserve">D </w:t>
      </w:r>
      <w:r w:rsidR="00F4355B">
        <w:t>energiaminősítési szint (200 kWh/m²)</w:t>
      </w:r>
      <w:r>
        <w:t>;</w:t>
      </w:r>
    </w:p>
    <w:p w14:paraId="32411315" w14:textId="67BA697E" w:rsidR="00F4355B" w:rsidRDefault="00A43DD5" w:rsidP="00A43DD5">
      <w:pPr>
        <w:pStyle w:val="Listaszerbekezds"/>
        <w:numPr>
          <w:ilvl w:val="0"/>
          <w:numId w:val="12"/>
        </w:numPr>
      </w:pPr>
      <w:r>
        <w:t>35%-os támogatás</w:t>
      </w:r>
      <w:r w:rsidR="00F4355B">
        <w:t>:</w:t>
      </w:r>
      <w:r>
        <w:t xml:space="preserve"> </w:t>
      </w:r>
      <w:r w:rsidR="00F4355B">
        <w:t xml:space="preserve">legalább 50%-os </w:t>
      </w:r>
      <w:proofErr w:type="spellStart"/>
      <w:r w:rsidR="00F4355B">
        <w:t>energiamegtakarítás</w:t>
      </w:r>
      <w:proofErr w:type="spellEnd"/>
      <w:r w:rsidR="00F4355B">
        <w:t xml:space="preserve"> a tető, homlokzat, ablakok (U-érték1,1) felújításával, a fűtési rendszer korszerűsítésével és </w:t>
      </w:r>
      <w:proofErr w:type="spellStart"/>
      <w:r w:rsidR="00F4355B">
        <w:t>hővisszanyerő</w:t>
      </w:r>
      <w:proofErr w:type="spellEnd"/>
      <w:r w:rsidR="00F4355B">
        <w:t xml:space="preserve"> szellőztető rendszer kiépítésével, C energiaminősítési szint (150 kWh/m²);</w:t>
      </w:r>
    </w:p>
    <w:p w14:paraId="649D224F" w14:textId="2D016D4D" w:rsidR="00FC252C" w:rsidRDefault="00FC252C" w:rsidP="008C12E9">
      <w:pPr>
        <w:pStyle w:val="Listaszerbekezds"/>
        <w:numPr>
          <w:ilvl w:val="0"/>
          <w:numId w:val="12"/>
        </w:numPr>
      </w:pPr>
      <w:r>
        <w:t xml:space="preserve">A megalapozott </w:t>
      </w:r>
      <w:proofErr w:type="spellStart"/>
      <w:r>
        <w:t>döntéselőkészítés</w:t>
      </w:r>
      <w:proofErr w:type="spellEnd"/>
      <w:r>
        <w:t xml:space="preserve"> elősegítésére 50% támogatást vehettek igénybe </w:t>
      </w:r>
      <w:r w:rsidRPr="00FC252C">
        <w:t>a projekttervezési dokumentumok</w:t>
      </w:r>
      <w:r>
        <w:t>,</w:t>
      </w:r>
      <w:r w:rsidRPr="00FC252C">
        <w:t xml:space="preserve"> szakértői értékelések</w:t>
      </w:r>
      <w:r>
        <w:t xml:space="preserve"> és</w:t>
      </w:r>
      <w:r w:rsidRPr="00FC252C">
        <w:t xml:space="preserve"> energiaaudit</w:t>
      </w:r>
      <w:r>
        <w:t>ok költ</w:t>
      </w:r>
      <w:r w:rsidRPr="00FC252C">
        <w:t>ségei</w:t>
      </w:r>
      <w:r>
        <w:t>re</w:t>
      </w:r>
      <w:r w:rsidR="00F4355B">
        <w:t xml:space="preserve"> (legalább 3 ajánlat minden munkára)</w:t>
      </w:r>
      <w:r w:rsidRPr="00FC252C">
        <w:t>.</w:t>
      </w:r>
    </w:p>
    <w:p w14:paraId="1F39DBAE" w14:textId="0BE3F839" w:rsidR="003216BB" w:rsidRDefault="00FC252C" w:rsidP="003216BB">
      <w:r>
        <w:t>Az alap pályáztatással kiválasztott, két hitelközvetítő kereskedelmi bankon</w:t>
      </w:r>
      <w:r w:rsidRPr="008C12E9">
        <w:t xml:space="preserve"> (</w:t>
      </w:r>
      <w:proofErr w:type="spellStart"/>
      <w:r w:rsidRPr="008C12E9">
        <w:t>Swedbank</w:t>
      </w:r>
      <w:proofErr w:type="spellEnd"/>
      <w:r>
        <w:t xml:space="preserve"> két-harmad és SEB egyharmados arányban</w:t>
      </w:r>
      <w:r w:rsidRPr="008C12E9">
        <w:t>)</w:t>
      </w:r>
      <w:r>
        <w:t xml:space="preserve"> keresztül került közvetítésre a kedvezményezettek számára.</w:t>
      </w:r>
      <w:r w:rsidR="00F4355B">
        <w:t xml:space="preserve"> A projektértékelés és hitelképesség-értékelés a közvetítő bankok által történt</w:t>
      </w:r>
      <w:r w:rsidR="003216BB">
        <w:t xml:space="preserve">. A kölcsönszerződés partnere a közvetítő bank, a támogatási szerződésé a </w:t>
      </w:r>
      <w:proofErr w:type="spellStart"/>
      <w:r w:rsidR="003216BB">
        <w:t>KredEx</w:t>
      </w:r>
      <w:proofErr w:type="spellEnd"/>
      <w:r w:rsidR="003216BB">
        <w:t xml:space="preserve"> volt.</w:t>
      </w:r>
    </w:p>
    <w:p w14:paraId="4103FFF7" w14:textId="77241B96" w:rsidR="00F4355B" w:rsidRDefault="003216BB" w:rsidP="00F4355B">
      <w:r w:rsidRPr="003216BB">
        <w:lastRenderedPageBreak/>
        <w:t xml:space="preserve">Az alap létrehozásával kapcsolatos </w:t>
      </w:r>
      <w:proofErr w:type="spellStart"/>
      <w:r w:rsidRPr="003216BB">
        <w:t>KredEx-költségek</w:t>
      </w:r>
      <w:proofErr w:type="spellEnd"/>
      <w:r w:rsidRPr="003216BB">
        <w:t xml:space="preserve"> összege 200 000 EUR, az éves működési költségek 100 000 EUR, a program promóciós költségei pedig évente 150 000 EUR-t te</w:t>
      </w:r>
      <w:r>
        <w:t>tt</w:t>
      </w:r>
      <w:r w:rsidRPr="003216BB">
        <w:t>ek ki.</w:t>
      </w:r>
      <w:r w:rsidR="00862854">
        <w:t xml:space="preserve"> Humán erőforrás igénye két dedikált ember volt.</w:t>
      </w:r>
    </w:p>
    <w:p w14:paraId="282700C7" w14:textId="6D376BC9" w:rsidR="00A469F8" w:rsidRDefault="003216BB" w:rsidP="003216BB">
      <w:r>
        <w:t xml:space="preserve">A </w:t>
      </w:r>
      <w:proofErr w:type="spellStart"/>
      <w:r>
        <w:t>KredEx</w:t>
      </w:r>
      <w:proofErr w:type="spellEnd"/>
      <w:r>
        <w:t xml:space="preserve"> forgóalap a tervezett 4 éves futamidő alatt nem tudott önfenntartóvá válni, kimerítette a forrásait. Mindemellett </w:t>
      </w:r>
      <w:r w:rsidR="00A51024">
        <w:t xml:space="preserve">Észtország </w:t>
      </w:r>
      <w:r>
        <w:t xml:space="preserve">sikeresnek </w:t>
      </w:r>
      <w:r w:rsidR="00A51024">
        <w:t xml:space="preserve">tekinti a programot. A várt 20-30%-os </w:t>
      </w:r>
      <w:proofErr w:type="spellStart"/>
      <w:r w:rsidR="00A51024">
        <w:t>energiamegtakarítást</w:t>
      </w:r>
      <w:proofErr w:type="spellEnd"/>
      <w:r w:rsidR="00A51024">
        <w:t xml:space="preserve"> meghaladta az elért átlagos 40% eredmény, a program tervezett 1000 épülete helyett 615 társasház </w:t>
      </w:r>
      <w:proofErr w:type="spellStart"/>
      <w:r w:rsidR="00A51024">
        <w:t>energiahatékony</w:t>
      </w:r>
      <w:proofErr w:type="spellEnd"/>
      <w:r w:rsidR="00A51024">
        <w:t xml:space="preserve"> felújítása történt meg. </w:t>
      </w:r>
    </w:p>
    <w:tbl>
      <w:tblPr>
        <w:tblStyle w:val="Rcsostblzat"/>
        <w:tblW w:w="0" w:type="auto"/>
        <w:tblLook w:val="04A0" w:firstRow="1" w:lastRow="0" w:firstColumn="1" w:lastColumn="0" w:noHBand="0" w:noVBand="1"/>
      </w:tblPr>
      <w:tblGrid>
        <w:gridCol w:w="3005"/>
        <w:gridCol w:w="3005"/>
        <w:gridCol w:w="3006"/>
      </w:tblGrid>
      <w:tr w:rsidR="00A51024" w14:paraId="7E03F084" w14:textId="77777777" w:rsidTr="003B496B">
        <w:tc>
          <w:tcPr>
            <w:tcW w:w="3005" w:type="dxa"/>
            <w:shd w:val="clear" w:color="auto" w:fill="D9D9D9" w:themeFill="background1" w:themeFillShade="D9"/>
          </w:tcPr>
          <w:p w14:paraId="7A2C7CCB" w14:textId="185ABB8C" w:rsidR="00A51024" w:rsidRDefault="00A51024" w:rsidP="00A51024">
            <w:pPr>
              <w:pStyle w:val="tablazat"/>
            </w:pPr>
            <w:r>
              <w:t>Felújítási hitelprogram</w:t>
            </w:r>
          </w:p>
        </w:tc>
        <w:tc>
          <w:tcPr>
            <w:tcW w:w="3005" w:type="dxa"/>
            <w:shd w:val="clear" w:color="auto" w:fill="D9D9D9" w:themeFill="background1" w:themeFillShade="D9"/>
          </w:tcPr>
          <w:p w14:paraId="17BC7CAC" w14:textId="4964F367" w:rsidR="00A51024" w:rsidRDefault="00A51024" w:rsidP="00A51024">
            <w:pPr>
              <w:pStyle w:val="tablazat"/>
            </w:pPr>
            <w:r>
              <w:t>Felújítási támogatások</w:t>
            </w:r>
          </w:p>
        </w:tc>
        <w:tc>
          <w:tcPr>
            <w:tcW w:w="3006" w:type="dxa"/>
            <w:shd w:val="clear" w:color="auto" w:fill="D9D9D9" w:themeFill="background1" w:themeFillShade="D9"/>
          </w:tcPr>
          <w:p w14:paraId="35078EF4" w14:textId="40DA8278" w:rsidR="00A51024" w:rsidRDefault="00A51024" w:rsidP="00A51024">
            <w:pPr>
              <w:pStyle w:val="tablazat"/>
            </w:pPr>
            <w:r>
              <w:t>Egyéb támogatások</w:t>
            </w:r>
          </w:p>
        </w:tc>
      </w:tr>
      <w:tr w:rsidR="00A51024" w14:paraId="5D204848" w14:textId="77777777" w:rsidTr="00A51024">
        <w:tc>
          <w:tcPr>
            <w:tcW w:w="3005" w:type="dxa"/>
          </w:tcPr>
          <w:p w14:paraId="751EA88B" w14:textId="36BB3A93" w:rsidR="00A51024" w:rsidRDefault="00A51024" w:rsidP="00AC4220">
            <w:pPr>
              <w:pStyle w:val="tablazat"/>
              <w:tabs>
                <w:tab w:val="right" w:pos="2788"/>
              </w:tabs>
            </w:pPr>
            <w:r>
              <w:t xml:space="preserve">Felújított épületek száma </w:t>
            </w:r>
            <w:r w:rsidR="00AC4220">
              <w:tab/>
            </w:r>
            <w:r>
              <w:t>615</w:t>
            </w:r>
          </w:p>
          <w:p w14:paraId="3434D4E8" w14:textId="47C2F50A" w:rsidR="00A51024" w:rsidRDefault="00A51024" w:rsidP="00AC4220">
            <w:pPr>
              <w:pStyle w:val="tablazat"/>
              <w:tabs>
                <w:tab w:val="right" w:pos="2788"/>
              </w:tabs>
            </w:pPr>
            <w:r>
              <w:t xml:space="preserve">Lakások száma </w:t>
            </w:r>
            <w:r w:rsidR="00AC4220">
              <w:tab/>
            </w:r>
            <w:r>
              <w:t>22.534</w:t>
            </w:r>
          </w:p>
          <w:p w14:paraId="69D89E39" w14:textId="1D3F6018" w:rsidR="00A51024" w:rsidRDefault="00A51024" w:rsidP="00AC4220">
            <w:pPr>
              <w:pStyle w:val="tablazat"/>
              <w:tabs>
                <w:tab w:val="right" w:pos="2788"/>
              </w:tabs>
            </w:pPr>
            <w:r>
              <w:t xml:space="preserve">Lakosok száma </w:t>
            </w:r>
            <w:r w:rsidR="00AC4220">
              <w:tab/>
            </w:r>
            <w:r>
              <w:t>51.828</w:t>
            </w:r>
          </w:p>
          <w:p w14:paraId="363AD7A9" w14:textId="3DE9F9BA" w:rsidR="00A51024" w:rsidRDefault="00AC4220" w:rsidP="00AC4220">
            <w:pPr>
              <w:pStyle w:val="tablazat"/>
              <w:tabs>
                <w:tab w:val="right" w:pos="2788"/>
              </w:tabs>
            </w:pPr>
            <w:r>
              <w:t>N</w:t>
            </w:r>
            <w:r w:rsidR="00A51024">
              <w:t xml:space="preserve">ettó </w:t>
            </w:r>
            <w:r>
              <w:t>alap</w:t>
            </w:r>
            <w:r w:rsidR="00A51024">
              <w:t>terület</w:t>
            </w:r>
            <w:r>
              <w:tab/>
            </w:r>
            <w:r w:rsidR="00A51024">
              <w:t>1</w:t>
            </w:r>
            <w:r>
              <w:t>.</w:t>
            </w:r>
            <w:r w:rsidR="00A51024">
              <w:t>492</w:t>
            </w:r>
            <w:r>
              <w:t>.</w:t>
            </w:r>
            <w:r w:rsidR="00A51024">
              <w:t>824</w:t>
            </w:r>
            <w:r>
              <w:t xml:space="preserve"> m2</w:t>
            </w:r>
          </w:p>
          <w:p w14:paraId="3DE53BDD" w14:textId="77777777" w:rsidR="00AC4220" w:rsidRDefault="00AC4220" w:rsidP="00AC4220">
            <w:pPr>
              <w:pStyle w:val="tablazat"/>
              <w:tabs>
                <w:tab w:val="right" w:pos="2788"/>
              </w:tabs>
            </w:pPr>
            <w:r>
              <w:t xml:space="preserve">Teljes beruházási összeg </w:t>
            </w:r>
            <w:r>
              <w:br/>
            </w:r>
            <w:r>
              <w:tab/>
              <w:t>102,74 millió EUR</w:t>
            </w:r>
          </w:p>
          <w:p w14:paraId="0E1D53AA" w14:textId="00240D7D" w:rsidR="00A51024" w:rsidRDefault="00A51024" w:rsidP="00AC4220">
            <w:pPr>
              <w:pStyle w:val="tablazat"/>
              <w:tabs>
                <w:tab w:val="right" w:pos="2788"/>
              </w:tabs>
            </w:pPr>
            <w:r>
              <w:t xml:space="preserve">Teljes hitelösszeg </w:t>
            </w:r>
            <w:r w:rsidR="00AC4220">
              <w:br/>
            </w:r>
            <w:r w:rsidR="00AC4220">
              <w:tab/>
            </w:r>
            <w:r>
              <w:t>71,97</w:t>
            </w:r>
            <w:r w:rsidR="00AC4220">
              <w:t xml:space="preserve"> millió EUR (70%)</w:t>
            </w:r>
          </w:p>
          <w:p w14:paraId="4D453892" w14:textId="36AF1207" w:rsidR="00A51024" w:rsidRDefault="00A51024" w:rsidP="00AC4220">
            <w:pPr>
              <w:pStyle w:val="tablazat"/>
              <w:tabs>
                <w:tab w:val="right" w:pos="2788"/>
              </w:tabs>
            </w:pPr>
            <w:r>
              <w:t xml:space="preserve">Átlagos hitelösszeg </w:t>
            </w:r>
            <w:r w:rsidR="00AC4220">
              <w:tab/>
            </w:r>
            <w:r>
              <w:t xml:space="preserve"> 117</w:t>
            </w:r>
            <w:r w:rsidR="00AC4220">
              <w:t xml:space="preserve"> ezer EUR</w:t>
            </w:r>
          </w:p>
          <w:p w14:paraId="782EFBE6" w14:textId="7D1ECCCC" w:rsidR="00A51024" w:rsidRDefault="00AC4220" w:rsidP="00AC4220">
            <w:pPr>
              <w:pStyle w:val="tablazat"/>
              <w:tabs>
                <w:tab w:val="right" w:pos="2788"/>
              </w:tabs>
            </w:pPr>
            <w:r>
              <w:t>Elért</w:t>
            </w:r>
            <w:r w:rsidR="00A51024">
              <w:t xml:space="preserve"> </w:t>
            </w:r>
            <w:proofErr w:type="spellStart"/>
            <w:r w:rsidR="00A51024">
              <w:t>energiamegtakarítás</w:t>
            </w:r>
            <w:proofErr w:type="spellEnd"/>
            <w:r w:rsidR="00A51024">
              <w:t xml:space="preserve"> </w:t>
            </w:r>
            <w:r>
              <w:tab/>
            </w:r>
            <w:r w:rsidR="00A51024">
              <w:t>40%</w:t>
            </w:r>
          </w:p>
        </w:tc>
        <w:tc>
          <w:tcPr>
            <w:tcW w:w="3005" w:type="dxa"/>
          </w:tcPr>
          <w:p w14:paraId="442ED576" w14:textId="4C6480DC" w:rsidR="00A51024" w:rsidRDefault="00A51024" w:rsidP="00A51024">
            <w:pPr>
              <w:pStyle w:val="tablazat"/>
              <w:tabs>
                <w:tab w:val="right" w:pos="2788"/>
              </w:tabs>
            </w:pPr>
            <w:r>
              <w:t xml:space="preserve">Felújított épületek száma </w:t>
            </w:r>
            <w:r>
              <w:tab/>
              <w:t>659</w:t>
            </w:r>
          </w:p>
          <w:p w14:paraId="53BFFAB7" w14:textId="46B05356" w:rsidR="00A51024" w:rsidRPr="00AC4220" w:rsidRDefault="00A51024" w:rsidP="00AC4220">
            <w:pPr>
              <w:pStyle w:val="tablazat"/>
              <w:tabs>
                <w:tab w:val="right" w:pos="2788"/>
              </w:tabs>
              <w:ind w:left="277"/>
              <w:rPr>
                <w:i/>
                <w:iCs/>
              </w:rPr>
            </w:pPr>
            <w:r w:rsidRPr="00AC4220">
              <w:rPr>
                <w:i/>
                <w:iCs/>
              </w:rPr>
              <w:t xml:space="preserve">Támogatás típusa 15% </w:t>
            </w:r>
            <w:r w:rsidRPr="00AC4220">
              <w:rPr>
                <w:i/>
                <w:iCs/>
              </w:rPr>
              <w:tab/>
              <w:t>276</w:t>
            </w:r>
          </w:p>
          <w:p w14:paraId="07021913" w14:textId="7579D4CB" w:rsidR="00A51024" w:rsidRPr="00AC4220" w:rsidRDefault="00A51024" w:rsidP="00AC4220">
            <w:pPr>
              <w:pStyle w:val="tablazat"/>
              <w:tabs>
                <w:tab w:val="right" w:pos="2788"/>
              </w:tabs>
              <w:ind w:left="277"/>
              <w:rPr>
                <w:i/>
                <w:iCs/>
              </w:rPr>
            </w:pPr>
            <w:r w:rsidRPr="00AC4220">
              <w:rPr>
                <w:i/>
                <w:iCs/>
              </w:rPr>
              <w:t xml:space="preserve">Támogatás típusa 25% </w:t>
            </w:r>
            <w:r w:rsidRPr="00AC4220">
              <w:rPr>
                <w:i/>
                <w:iCs/>
              </w:rPr>
              <w:tab/>
              <w:t>182</w:t>
            </w:r>
          </w:p>
          <w:p w14:paraId="7688922A" w14:textId="5DE565AF" w:rsidR="00A51024" w:rsidRPr="00AC4220" w:rsidRDefault="00A51024" w:rsidP="00AC4220">
            <w:pPr>
              <w:pStyle w:val="tablazat"/>
              <w:tabs>
                <w:tab w:val="right" w:pos="2788"/>
              </w:tabs>
              <w:ind w:left="277"/>
              <w:rPr>
                <w:i/>
                <w:iCs/>
              </w:rPr>
            </w:pPr>
            <w:r w:rsidRPr="00AC4220">
              <w:rPr>
                <w:i/>
                <w:iCs/>
              </w:rPr>
              <w:t xml:space="preserve">Támogatás típusa 35% </w:t>
            </w:r>
            <w:r w:rsidRPr="00AC4220">
              <w:rPr>
                <w:i/>
                <w:iCs/>
              </w:rPr>
              <w:tab/>
              <w:t>201</w:t>
            </w:r>
          </w:p>
          <w:p w14:paraId="40037B88" w14:textId="77777777" w:rsidR="00AC4220" w:rsidRDefault="00AC4220" w:rsidP="00A51024">
            <w:pPr>
              <w:pStyle w:val="tablazat"/>
              <w:tabs>
                <w:tab w:val="right" w:pos="2788"/>
              </w:tabs>
            </w:pPr>
            <w:r>
              <w:t>Beruházások összesen</w:t>
            </w:r>
            <w:r>
              <w:tab/>
              <w:t>135 millió EUR</w:t>
            </w:r>
          </w:p>
          <w:p w14:paraId="705C5229" w14:textId="02D34AEF" w:rsidR="00A51024" w:rsidRDefault="00AC4220" w:rsidP="00A51024">
            <w:pPr>
              <w:pStyle w:val="tablazat"/>
              <w:tabs>
                <w:tab w:val="right" w:pos="2788"/>
              </w:tabs>
            </w:pPr>
            <w:r>
              <w:t>K</w:t>
            </w:r>
            <w:r w:rsidR="00A51024">
              <w:t>ifizetett támogatások össze</w:t>
            </w:r>
            <w:r>
              <w:t>sen</w:t>
            </w:r>
            <w:r>
              <w:br/>
            </w:r>
            <w:r>
              <w:tab/>
            </w:r>
            <w:r w:rsidR="00A51024">
              <w:t>35,9</w:t>
            </w:r>
            <w:r>
              <w:t xml:space="preserve"> millió EUR </w:t>
            </w:r>
            <w:r>
              <w:br/>
            </w:r>
            <w:r>
              <w:tab/>
              <w:t>(beruházások 26,6%-a)</w:t>
            </w:r>
          </w:p>
          <w:p w14:paraId="3D82A1D0" w14:textId="0B047ADA" w:rsidR="00A51024" w:rsidRDefault="00A51024" w:rsidP="00A51024">
            <w:pPr>
              <w:pStyle w:val="tablazat"/>
              <w:tabs>
                <w:tab w:val="right" w:pos="2788"/>
              </w:tabs>
            </w:pPr>
          </w:p>
        </w:tc>
        <w:tc>
          <w:tcPr>
            <w:tcW w:w="3006" w:type="dxa"/>
          </w:tcPr>
          <w:p w14:paraId="638BE8F6" w14:textId="77777777" w:rsidR="00A51024" w:rsidRDefault="00A51024" w:rsidP="00AC4220">
            <w:pPr>
              <w:pStyle w:val="tablazat"/>
              <w:tabs>
                <w:tab w:val="right" w:pos="2788"/>
              </w:tabs>
            </w:pPr>
            <w:r>
              <w:t>Kifizetett támogatások száma</w:t>
            </w:r>
          </w:p>
          <w:p w14:paraId="6C8B7697" w14:textId="3FA75AD4" w:rsidR="00A51024" w:rsidRDefault="00A51024" w:rsidP="00AC4220">
            <w:pPr>
              <w:pStyle w:val="tablazat"/>
              <w:tabs>
                <w:tab w:val="right" w:pos="2788"/>
              </w:tabs>
            </w:pPr>
            <w:r>
              <w:t xml:space="preserve">Energiaauditok </w:t>
            </w:r>
            <w:r w:rsidR="00862854">
              <w:tab/>
            </w:r>
            <w:r>
              <w:t>2</w:t>
            </w:r>
            <w:r w:rsidR="00862854">
              <w:t>.</w:t>
            </w:r>
            <w:r>
              <w:t xml:space="preserve">442 </w:t>
            </w:r>
            <w:r w:rsidR="00862854">
              <w:t>db</w:t>
            </w:r>
            <w:r w:rsidR="00862854">
              <w:br/>
            </w:r>
            <w:r w:rsidR="00862854">
              <w:tab/>
            </w:r>
            <w:r>
              <w:t>856</w:t>
            </w:r>
            <w:r w:rsidR="00862854">
              <w:t xml:space="preserve"> ezer EUR</w:t>
            </w:r>
          </w:p>
          <w:p w14:paraId="3D517278" w14:textId="07A17AFD" w:rsidR="00A51024" w:rsidRDefault="00A51024" w:rsidP="00AC4220">
            <w:pPr>
              <w:pStyle w:val="tablazat"/>
              <w:tabs>
                <w:tab w:val="right" w:pos="2788"/>
              </w:tabs>
            </w:pPr>
            <w:r>
              <w:t xml:space="preserve">Szakértői értékelések </w:t>
            </w:r>
            <w:r w:rsidR="00862854">
              <w:tab/>
            </w:r>
            <w:r>
              <w:t>210</w:t>
            </w:r>
            <w:r w:rsidR="00862854">
              <w:t xml:space="preserve"> db</w:t>
            </w:r>
            <w:r w:rsidR="00862854">
              <w:br/>
            </w:r>
            <w:r w:rsidR="00862854">
              <w:tab/>
            </w:r>
            <w:r>
              <w:t xml:space="preserve"> 49</w:t>
            </w:r>
            <w:r w:rsidR="00862854">
              <w:t xml:space="preserve"> ezer EUR</w:t>
            </w:r>
          </w:p>
          <w:p w14:paraId="78A149EB" w14:textId="3C539064" w:rsidR="00A51024" w:rsidRDefault="00A51024" w:rsidP="00AC4220">
            <w:pPr>
              <w:pStyle w:val="tablazat"/>
              <w:tabs>
                <w:tab w:val="right" w:pos="2788"/>
              </w:tabs>
            </w:pPr>
            <w:r>
              <w:t xml:space="preserve">Projekttervezés (energiaauditot követően) </w:t>
            </w:r>
            <w:r w:rsidR="00862854">
              <w:tab/>
            </w:r>
            <w:r>
              <w:t>1</w:t>
            </w:r>
            <w:r w:rsidR="00862854">
              <w:t>.</w:t>
            </w:r>
            <w:r>
              <w:t>362</w:t>
            </w:r>
            <w:r w:rsidR="00862854">
              <w:t xml:space="preserve"> db</w:t>
            </w:r>
            <w:r w:rsidR="00862854">
              <w:br/>
            </w:r>
            <w:r w:rsidR="00862854">
              <w:tab/>
            </w:r>
            <w:r>
              <w:t xml:space="preserve"> 1</w:t>
            </w:r>
            <w:r w:rsidR="00862854">
              <w:t>.</w:t>
            </w:r>
            <w:r>
              <w:t>210</w:t>
            </w:r>
            <w:r w:rsidR="00862854">
              <w:t xml:space="preserve"> ezer EUR</w:t>
            </w:r>
          </w:p>
          <w:p w14:paraId="57867AC2" w14:textId="22587FB0" w:rsidR="00A51024" w:rsidRDefault="00862854" w:rsidP="00AC4220">
            <w:pPr>
              <w:pStyle w:val="tablazat"/>
              <w:tabs>
                <w:tab w:val="right" w:pos="2788"/>
              </w:tabs>
            </w:pPr>
            <w:r>
              <w:t>Összesen</w:t>
            </w:r>
            <w:r>
              <w:tab/>
            </w:r>
            <w:r w:rsidR="00A51024">
              <w:t>4.014</w:t>
            </w:r>
            <w:r>
              <w:t xml:space="preserve"> db</w:t>
            </w:r>
            <w:r>
              <w:br/>
            </w:r>
            <w:r>
              <w:tab/>
            </w:r>
            <w:r w:rsidR="00A51024">
              <w:t>2.115</w:t>
            </w:r>
            <w:r>
              <w:t xml:space="preserve"> ezer EUR</w:t>
            </w:r>
          </w:p>
        </w:tc>
      </w:tr>
    </w:tbl>
    <w:p w14:paraId="0C60560A" w14:textId="1B5BE9CB" w:rsidR="00A51024" w:rsidRDefault="00A51024" w:rsidP="00A51024">
      <w:pPr>
        <w:pStyle w:val="kepalairas"/>
      </w:pPr>
      <w:r>
        <w:t xml:space="preserve">Összefoglaló a </w:t>
      </w:r>
      <w:proofErr w:type="spellStart"/>
      <w:r>
        <w:t>KredEx</w:t>
      </w:r>
      <w:proofErr w:type="spellEnd"/>
      <w:r>
        <w:t xml:space="preserve"> program eredményeiről</w:t>
      </w:r>
    </w:p>
    <w:p w14:paraId="400604B3" w14:textId="450B4DB9" w:rsidR="00D139B5" w:rsidRDefault="00D139B5" w:rsidP="006C7FF4">
      <w:pPr>
        <w:pStyle w:val="Cmsor2"/>
      </w:pPr>
      <w:bookmarkStart w:id="7" w:name="_Toc133257977"/>
      <w:r w:rsidRPr="00D139B5">
        <w:t>Magyar példák társasházi épület felújítási támogatásokra</w:t>
      </w:r>
      <w:bookmarkEnd w:id="7"/>
    </w:p>
    <w:p w14:paraId="7FC0D53E" w14:textId="178DECD4" w:rsidR="004B217A" w:rsidRDefault="000230B1" w:rsidP="006C7FF4">
      <w:pPr>
        <w:pStyle w:val="Cmsor3"/>
      </w:pPr>
      <w:bookmarkStart w:id="8" w:name="_Toc133257978"/>
      <w:r>
        <w:t xml:space="preserve">Többlakásos lakóépületek </w:t>
      </w:r>
      <w:r w:rsidR="004B217A">
        <w:t>felújítási támogatás</w:t>
      </w:r>
      <w:r>
        <w:t>ai</w:t>
      </w:r>
      <w:r w:rsidR="004B217A">
        <w:t xml:space="preserve"> </w:t>
      </w:r>
      <w:r>
        <w:t>helyi önkormányzatok által</w:t>
      </w:r>
      <w:bookmarkEnd w:id="8"/>
    </w:p>
    <w:p w14:paraId="1442EC6D" w14:textId="77777777" w:rsidR="003F715E" w:rsidRDefault="000230B1" w:rsidP="000230B1">
      <w:r>
        <w:t>Budapest</w:t>
      </w:r>
      <w:r w:rsidR="003F715E">
        <w:t xml:space="preserve">en a kerületek jelentik a felújítási támogatások jelentős részét. </w:t>
      </w:r>
    </w:p>
    <w:p w14:paraId="7E4E4678" w14:textId="196E8C06" w:rsidR="003F715E" w:rsidRDefault="000230B1" w:rsidP="003F715E">
      <w:r w:rsidRPr="000230B1">
        <w:t>A</w:t>
      </w:r>
      <w:r>
        <w:t xml:space="preserve"> támogatások </w:t>
      </w:r>
      <w:r w:rsidR="003F715E">
        <w:t xml:space="preserve">a kerületekben levő </w:t>
      </w:r>
      <w:r>
        <w:t>társasház</w:t>
      </w:r>
      <w:r w:rsidR="003F715E">
        <w:t>ak</w:t>
      </w:r>
      <w:r>
        <w:t xml:space="preserve"> és lakásszövetkezet</w:t>
      </w:r>
      <w:r w:rsidR="003F715E">
        <w:t>ek</w:t>
      </w:r>
      <w:r w:rsidRPr="000230B1">
        <w:t xml:space="preserve"> felújításának pénzügyi támogatás</w:t>
      </w:r>
      <w:r w:rsidR="003F715E">
        <w:t xml:space="preserve">ára kerülnek kiírásra az adott évi költségvetés elfogadását követően. A feltételek </w:t>
      </w:r>
      <w:r w:rsidRPr="000230B1">
        <w:t>pályázat</w:t>
      </w:r>
      <w:r w:rsidR="003F715E">
        <w:t xml:space="preserve">ban kerülnek kiírásra. </w:t>
      </w:r>
      <w:proofErr w:type="gramStart"/>
      <w:r w:rsidR="003F715E">
        <w:t xml:space="preserve">Az életveszély és vis major helyzetek elhárítása (tető, pince beázás) és a jogszabályi változásokból fakadó követelmények (kémények) mellett tipikus célok a </w:t>
      </w:r>
      <w:r w:rsidR="00987909" w:rsidRPr="004A61C6">
        <w:t xml:space="preserve">Lakástörvényben </w:t>
      </w:r>
      <w:r w:rsidR="002B0761" w:rsidRPr="004A61C6">
        <w:t xml:space="preserve">korábban meghatározott, jelenleg már nem hatályos </w:t>
      </w:r>
      <w:r w:rsidR="00987909" w:rsidRPr="004A61C6">
        <w:t>feladatok</w:t>
      </w:r>
      <w:r w:rsidR="003F715E" w:rsidRPr="004A61C6">
        <w:t xml:space="preserve"> (közös</w:t>
      </w:r>
      <w:r w:rsidR="003F715E">
        <w:t xml:space="preserve"> tulajdonban lévő gépészeti vezetékhálózat teljes vagy részleges felújítása, központi berendezések, kazántelep, felvonók, szellőztető berendezések részleges és teljes felújítása, egyéni vízmérők felszerelése, tető, tetőszerkezet </w:t>
      </w:r>
      <w:proofErr w:type="spellStart"/>
      <w:r w:rsidR="003F715E">
        <w:t>héjalás</w:t>
      </w:r>
      <w:proofErr w:type="spellEnd"/>
      <w:r w:rsidR="003F715E">
        <w:t xml:space="preserve">, bádogozás, kémények részleges, vagy teljes felújítása, födémek, függőfolyosók, erkélyek szerkezeti felújítása, </w:t>
      </w:r>
      <w:proofErr w:type="spellStart"/>
      <w:r w:rsidR="003F715E">
        <w:t>alapmegerősítés</w:t>
      </w:r>
      <w:proofErr w:type="spellEnd"/>
      <w:r w:rsidR="003F715E">
        <w:t>,</w:t>
      </w:r>
      <w:proofErr w:type="gramEnd"/>
      <w:r w:rsidR="003F715E">
        <w:t xml:space="preserve"> </w:t>
      </w:r>
      <w:proofErr w:type="gramStart"/>
      <w:r w:rsidR="003F715E">
        <w:t>lépcsőház</w:t>
      </w:r>
      <w:proofErr w:type="gramEnd"/>
      <w:r w:rsidR="003F715E">
        <w:t xml:space="preserve"> helyreállítása, </w:t>
      </w:r>
      <w:r w:rsidR="004A61C6">
        <w:t xml:space="preserve">új felvonó kialakítása, </w:t>
      </w:r>
      <w:proofErr w:type="spellStart"/>
      <w:r w:rsidR="003F715E">
        <w:t>homlokzatfelújítás</w:t>
      </w:r>
      <w:proofErr w:type="spellEnd"/>
      <w:r w:rsidR="003F715E">
        <w:t>, külső utcafronti nyílászáró csere, szeméttároló kialakítása, meglévő szemétledobó korszerűsítése</w:t>
      </w:r>
      <w:r w:rsidR="004A61C6">
        <w:t xml:space="preserve">, kamerarendszer kiépítése), de az utóbbi években az energiahatékonysági prioritás </w:t>
      </w:r>
      <w:r w:rsidR="004A61C6" w:rsidRPr="004A61C6">
        <w:t>kezd megjelenni.</w:t>
      </w:r>
      <w:r w:rsidR="003F715E" w:rsidRPr="004A61C6">
        <w:t xml:space="preserve"> </w:t>
      </w:r>
      <w:r w:rsidR="004A61C6" w:rsidRPr="004A61C6">
        <w:t xml:space="preserve">Ez leginkább – annak nagyságrendje miatt – kamattámogatásként </w:t>
      </w:r>
      <w:r w:rsidR="004A61C6">
        <w:t xml:space="preserve">vagy a felújítással összefüggő, nem önkormányzati pályázathoz önrész fedezeteként </w:t>
      </w:r>
      <w:r w:rsidR="004A61C6" w:rsidRPr="004A61C6">
        <w:t>jelenik meg.</w:t>
      </w:r>
    </w:p>
    <w:p w14:paraId="3F7FF892" w14:textId="4AB87F64" w:rsidR="00987909" w:rsidRDefault="004A61C6" w:rsidP="004B217A">
      <w:r>
        <w:t>A rendeletek általában tartalmazzák a társasház korát (</w:t>
      </w:r>
      <w:r w:rsidRPr="004A61C6">
        <w:t xml:space="preserve">1945. előtt </w:t>
      </w:r>
      <w:r>
        <w:t xml:space="preserve">vagy </w:t>
      </w:r>
      <w:r w:rsidRPr="004A61C6">
        <w:t>legalább tizenöt év</w:t>
      </w:r>
      <w:r>
        <w:t>e</w:t>
      </w:r>
      <w:r w:rsidRPr="004A61C6">
        <w:t xml:space="preserve"> épült</w:t>
      </w:r>
      <w:r>
        <w:t xml:space="preserve">) és a </w:t>
      </w:r>
      <w:r w:rsidRPr="004A61C6">
        <w:t xml:space="preserve">lakások </w:t>
      </w:r>
      <w:r>
        <w:t>minimális s</w:t>
      </w:r>
      <w:r w:rsidRPr="004A61C6">
        <w:t>zám</w:t>
      </w:r>
      <w:r>
        <w:t>át (6-8)</w:t>
      </w:r>
      <w:r w:rsidR="000C6DCF">
        <w:t>, valamint a</w:t>
      </w:r>
      <w:r w:rsidRPr="000C6DCF">
        <w:t xml:space="preserve"> költségek %-os arány</w:t>
      </w:r>
      <w:r w:rsidR="000C6DCF">
        <w:t>át</w:t>
      </w:r>
      <w:r w:rsidRPr="000C6DCF">
        <w:t xml:space="preserve"> (40-60%) és a felújítás </w:t>
      </w:r>
      <w:r w:rsidR="000C6DCF" w:rsidRPr="000C6DCF">
        <w:t xml:space="preserve">épületre vagy </w:t>
      </w:r>
      <w:r w:rsidRPr="000C6DCF">
        <w:t>lakásonkénti maximált összeg</w:t>
      </w:r>
      <w:r w:rsidR="000C6DCF">
        <w:t>ét</w:t>
      </w:r>
      <w:r w:rsidRPr="000C6DCF">
        <w:t xml:space="preserve"> is</w:t>
      </w:r>
      <w:r w:rsidR="000C6DCF">
        <w:t xml:space="preserve">. A támogatás formája </w:t>
      </w:r>
      <w:r w:rsidR="000C6DCF" w:rsidRPr="000C6DCF">
        <w:t>vissza nem térítendő támogatás</w:t>
      </w:r>
      <w:r w:rsidR="000C6DCF">
        <w:t xml:space="preserve"> és eltérő idejű kamatmentes kölcsön (3-5 év).</w:t>
      </w:r>
      <w:r w:rsidR="00DA3CD0">
        <w:t xml:space="preserve"> Ezek</w:t>
      </w:r>
      <w:r w:rsidR="00DA3CD0" w:rsidRPr="00DA3CD0">
        <w:t xml:space="preserve"> kizárólag a közös tulajdonban lévő épületrészek felújítási munkálataiho</w:t>
      </w:r>
      <w:r w:rsidR="00DA3CD0">
        <w:t xml:space="preserve">z – a </w:t>
      </w:r>
      <w:r w:rsidR="00DA3CD0" w:rsidRPr="00DA3CD0">
        <w:t>kivitelezés és</w:t>
      </w:r>
      <w:r w:rsidR="00DA3CD0">
        <w:t xml:space="preserve"> </w:t>
      </w:r>
      <w:r w:rsidR="00DA3CD0" w:rsidRPr="00DA3CD0">
        <w:t>lebonyolítás közvetlen</w:t>
      </w:r>
      <w:r w:rsidR="00DA3CD0">
        <w:t xml:space="preserve"> </w:t>
      </w:r>
      <w:r w:rsidR="00DA3CD0" w:rsidRPr="00DA3CD0">
        <w:t>költségeire (tervezés, szakértői díjak, kivitelezés, műszaki ellenőr díja)</w:t>
      </w:r>
      <w:r w:rsidR="00DA3CD0">
        <w:t xml:space="preserve"> – </w:t>
      </w:r>
      <w:r w:rsidR="00DA3CD0" w:rsidRPr="00DA3CD0">
        <w:t>vehető</w:t>
      </w:r>
      <w:r w:rsidR="00DA3CD0">
        <w:t>k</w:t>
      </w:r>
      <w:r w:rsidR="00DA3CD0" w:rsidRPr="00DA3CD0">
        <w:t xml:space="preserve"> igénybe</w:t>
      </w:r>
      <w:r w:rsidR="00DA3CD0">
        <w:t>.</w:t>
      </w:r>
    </w:p>
    <w:p w14:paraId="5DB18ED1" w14:textId="7CB6A834" w:rsidR="004B217A" w:rsidRDefault="002B0761" w:rsidP="004B217A">
      <w:r>
        <w:lastRenderedPageBreak/>
        <w:t xml:space="preserve">Erzsébetváros </w:t>
      </w:r>
      <w:r w:rsidRPr="002B0761">
        <w:t xml:space="preserve">társasházak és lakásfenntartó szövetkezeti házak számára </w:t>
      </w:r>
      <w:r>
        <w:t xml:space="preserve">kiírt </w:t>
      </w:r>
      <w:r w:rsidRPr="002B0761">
        <w:t>energiahatékonysági és klímavédelmi támogatás</w:t>
      </w:r>
      <w:r>
        <w:t xml:space="preserve">a progresszív, hiszen abban a házak </w:t>
      </w:r>
      <w:proofErr w:type="spellStart"/>
      <w:r>
        <w:t>hőtechnikai</w:t>
      </w:r>
      <w:proofErr w:type="spellEnd"/>
      <w:r>
        <w:t xml:space="preserve"> javítása és megújuló energia telepítése került fókuszba.</w:t>
      </w:r>
      <w:r w:rsidR="00AF48CC">
        <w:t xml:space="preserve"> Ennek megfelelően a rendelet módosításra került.</w:t>
      </w:r>
    </w:p>
    <w:p w14:paraId="28E7641F" w14:textId="77777777" w:rsidR="0089696C" w:rsidRDefault="0089696C" w:rsidP="006C7FF4">
      <w:pPr>
        <w:pStyle w:val="Cmsor3"/>
      </w:pPr>
      <w:bookmarkStart w:id="9" w:name="_Toc133257979"/>
      <w:r>
        <w:t>Budaörs</w:t>
      </w:r>
      <w:bookmarkEnd w:id="9"/>
    </w:p>
    <w:p w14:paraId="4CB7E358" w14:textId="4A0124A3" w:rsidR="00EF06A2" w:rsidRDefault="00EF06A2" w:rsidP="00EF06A2">
      <w:r>
        <w:t xml:space="preserve">Budaörs a társasházak felújítását a társasházak által a közös tulajdonú részek felújításához pénzintézettől igényelhető állami kamattámogatású hitelhez kapcsolódó, a pénzintézetek által biztosítékként elfogadott óvadéki betét segítségével támogatja. Az Alap bevételei az Önkormányzat éves költségvetési rendeletében az Alapra elkülönített költségvetési forrás, valamint a lejáró és a pénzintézetnek visszafizetett hitelekhez kapcsolódóan elhelyezett óvadéki betétek pénzintézet által visszafizetett tőke és kamatösszege. </w:t>
      </w:r>
    </w:p>
    <w:p w14:paraId="2A6DB133" w14:textId="5E5791A5" w:rsidR="00EF06A2" w:rsidRPr="004B217A" w:rsidRDefault="00EF06A2" w:rsidP="00EF06A2">
      <w:proofErr w:type="gramStart"/>
      <w:r>
        <w:t>A rendelet az energiahatékonyság növelésére irányuló felújítási és korszerűsítési munkákat támogat: utólagos hőszigetelési feladatok (bejárati és közös helyiségek nyílászáróinak felújítása, szigetelése, cseréje, tetőrendszerek felújítása, szigetelése, homlokzatok hőszigetelése, panelhézagok, repedések szigetelése), épületgépészeti rendszerek felújítása, korszerűsítése (meglévő fűtési berendezések és rendszerek korszerűsítése, energiatakarékos berendezésekre történő cseréje, hálózati víz, tűzi víz, csatorna, gázvezetékek felújítása, épületek közös részei világításának korszerű berendezésekre történő</w:t>
      </w:r>
      <w:proofErr w:type="gramEnd"/>
      <w:r>
        <w:t xml:space="preserve"> </w:t>
      </w:r>
      <w:proofErr w:type="gramStart"/>
      <w:r>
        <w:t>cseréje</w:t>
      </w:r>
      <w:proofErr w:type="gramEnd"/>
      <w:r>
        <w:t>, felvonó motorok, liftajtók korszerűsítése, szellőző rendszerek felújítása, korszerűsítése,  kaputelefonok korszerűsítése, biztonsági-, riasztó-, vészjelző rendszerek kialakítása, baleset és tűzveszélyes járófelületek, lépcsőházak, lépcsők felújítása, balesetmentesítése.</w:t>
      </w:r>
    </w:p>
    <w:p w14:paraId="0C78E78D" w14:textId="6EF8D10A" w:rsidR="00C7259F" w:rsidRDefault="00C7259F" w:rsidP="006C7FF4">
      <w:pPr>
        <w:pStyle w:val="Cmsor3"/>
      </w:pPr>
      <w:bookmarkStart w:id="10" w:name="_Toc133257980"/>
      <w:r>
        <w:t>Tiszaújváros</w:t>
      </w:r>
      <w:bookmarkEnd w:id="10"/>
      <w:r>
        <w:t xml:space="preserve"> </w:t>
      </w:r>
    </w:p>
    <w:p w14:paraId="1DCA5C17" w14:textId="06AACC92" w:rsidR="00987909" w:rsidRDefault="00C7259F" w:rsidP="00B578E0">
      <w:pPr>
        <w:rPr>
          <w:shd w:val="clear" w:color="auto" w:fill="FFFFFF"/>
        </w:rPr>
      </w:pPr>
      <w:r>
        <w:rPr>
          <w:shd w:val="clear" w:color="auto" w:fill="FFFFFF"/>
        </w:rPr>
        <w:t xml:space="preserve">Tiszaújváros képviselő-testülete 1996 júniusában fogadta el az </w:t>
      </w:r>
      <w:proofErr w:type="spellStart"/>
      <w:r>
        <w:rPr>
          <w:shd w:val="clear" w:color="auto" w:fill="FFFFFF"/>
        </w:rPr>
        <w:t>épületfenntartási</w:t>
      </w:r>
      <w:proofErr w:type="spellEnd"/>
      <w:r>
        <w:rPr>
          <w:shd w:val="clear" w:color="auto" w:fill="FFFFFF"/>
        </w:rPr>
        <w:t xml:space="preserve"> alapból </w:t>
      </w:r>
      <w:r w:rsidR="00B578E0">
        <w:rPr>
          <w:shd w:val="clear" w:color="auto" w:fill="FFFFFF"/>
        </w:rPr>
        <w:t xml:space="preserve">(Alap) </w:t>
      </w:r>
      <w:r>
        <w:rPr>
          <w:shd w:val="clear" w:color="auto" w:fill="FFFFFF"/>
        </w:rPr>
        <w:t>folyósítható támogatásokról szóló javaslatot</w:t>
      </w:r>
      <w:r w:rsidR="00B578E0">
        <w:rPr>
          <w:shd w:val="clear" w:color="auto" w:fill="FFFFFF"/>
        </w:rPr>
        <w:t xml:space="preserve">, és megbízta </w:t>
      </w:r>
      <w:r>
        <w:rPr>
          <w:shd w:val="clear" w:color="auto" w:fill="FFFFFF"/>
        </w:rPr>
        <w:t xml:space="preserve">a Társasházak, Lakásszövetkezetek és Egyedi Lakástulajdonosok Érdekvédelmi Egyesületét az </w:t>
      </w:r>
      <w:r w:rsidR="00B578E0">
        <w:rPr>
          <w:shd w:val="clear" w:color="auto" w:fill="FFFFFF"/>
        </w:rPr>
        <w:t>A</w:t>
      </w:r>
      <w:r>
        <w:rPr>
          <w:shd w:val="clear" w:color="auto" w:fill="FFFFFF"/>
        </w:rPr>
        <w:t xml:space="preserve">lap kezelésével. </w:t>
      </w:r>
      <w:r w:rsidR="00987909">
        <w:rPr>
          <w:shd w:val="clear" w:color="auto" w:fill="FFFFFF"/>
        </w:rPr>
        <w:t xml:space="preserve">Az egyesület évente számot ad a testületnek a felhasználásról. </w:t>
      </w:r>
    </w:p>
    <w:p w14:paraId="11B7EDE5" w14:textId="52035A4A" w:rsidR="00B578E0" w:rsidRDefault="00B578E0" w:rsidP="00B578E0">
      <w:r>
        <w:rPr>
          <w:shd w:val="clear" w:color="auto" w:fill="FFFFFF"/>
        </w:rPr>
        <w:t xml:space="preserve">Az Alap </w:t>
      </w:r>
      <w:r>
        <w:t xml:space="preserve">az épületek kisebb költségigényű karbantartási feladatainak végrehajtásához ad </w:t>
      </w:r>
      <w:r w:rsidR="00987909">
        <w:t xml:space="preserve">támogatást. </w:t>
      </w:r>
      <w:r>
        <w:t xml:space="preserve">A társasházak az igénybevett kölcsönt tetőszigetelésre, bejárati ajtó cseréjére, lábazat- és végfal szigetelésére, fűtéskorszerűsítésre, villamoshálózat felújítására, szennyvízvezeték cseréjére, </w:t>
      </w:r>
      <w:r>
        <w:rPr>
          <w:shd w:val="clear" w:color="auto" w:fill="FFFFFF"/>
        </w:rPr>
        <w:t xml:space="preserve">liftfelújításra, külső homlokzat vakolására, festésére, pince süllyedésének megszüntetésére, hideg-meleg, cirkulációs vezetékek cseréjére fordították. </w:t>
      </w:r>
      <w:r>
        <w:t>A visszatérítendő támogatás eredményeképpen javul a város lakóépületeinek esztétikai megjelenése, az elvégzett felújítások nyomán az épületek energetikai jellemzői is kedvező irányba változtak.</w:t>
      </w:r>
    </w:p>
    <w:p w14:paraId="617DEF9E" w14:textId="2EAD115B" w:rsidR="00C32A57" w:rsidRDefault="00C32A57" w:rsidP="006C7FF4">
      <w:pPr>
        <w:pStyle w:val="Cmsor3"/>
      </w:pPr>
      <w:bookmarkStart w:id="11" w:name="_Toc133257981"/>
      <w:r>
        <w:t>Ferencváros</w:t>
      </w:r>
      <w:bookmarkEnd w:id="11"/>
    </w:p>
    <w:p w14:paraId="1DF41EEC" w14:textId="77777777" w:rsidR="006C10D2" w:rsidRPr="006653EB" w:rsidRDefault="006C10D2" w:rsidP="006C10D2">
      <w:r w:rsidRPr="006653EB">
        <w:t>A nyolcvanas</w:t>
      </w:r>
      <w:r w:rsidRPr="006653EB">
        <w:rPr>
          <w:shd w:val="clear" w:color="auto" w:fill="FEFEFE"/>
        </w:rPr>
        <w:t xml:space="preserve"> évek közepétől elindult egy három háztömböt érintő rehabilitáció a Fővárosi Tanács által, de a </w:t>
      </w:r>
      <w:proofErr w:type="spellStart"/>
      <w:r w:rsidRPr="006653EB">
        <w:rPr>
          <w:shd w:val="clear" w:color="auto" w:fill="FEFEFE"/>
        </w:rPr>
        <w:t>városrehabilitáció</w:t>
      </w:r>
      <w:proofErr w:type="spellEnd"/>
      <w:r w:rsidRPr="006653EB">
        <w:rPr>
          <w:shd w:val="clear" w:color="auto" w:fill="FEFEFE"/>
        </w:rPr>
        <w:t xml:space="preserve"> ma is működő rendszere a </w:t>
      </w:r>
      <w:r w:rsidRPr="006653EB">
        <w:t>rendszerváltás után állt fel a Ferencvárosi Önkormányzat kezdeményezésére és irányításával. A francia SEM (</w:t>
      </w:r>
      <w:proofErr w:type="spellStart"/>
      <w:r w:rsidRPr="006653EB">
        <w:t>société</w:t>
      </w:r>
      <w:proofErr w:type="spellEnd"/>
      <w:r w:rsidRPr="006653EB">
        <w:t xml:space="preserve"> </w:t>
      </w:r>
      <w:proofErr w:type="spellStart"/>
      <w:r w:rsidRPr="006653EB">
        <w:t>d’économie</w:t>
      </w:r>
      <w:proofErr w:type="spellEnd"/>
      <w:r w:rsidRPr="006653EB">
        <w:t xml:space="preserve"> </w:t>
      </w:r>
      <w:proofErr w:type="spellStart"/>
      <w:r w:rsidRPr="006653EB">
        <w:t>mixte</w:t>
      </w:r>
      <w:proofErr w:type="spellEnd"/>
      <w:r w:rsidRPr="006653EB">
        <w:t>, vegyes tulajdonú gazdasági társaság) mintájára 1992 februárjában megalakult a nonprofit SEM IX. Városfejlesztő Részvénytársaság 70 millió forintos alaptőkével</w:t>
      </w:r>
      <w:r>
        <w:t>:</w:t>
      </w:r>
      <w:r w:rsidRPr="006653EB">
        <w:t xml:space="preserve"> az önkormányzat többségi</w:t>
      </w:r>
      <w:r>
        <w:t xml:space="preserve"> </w:t>
      </w:r>
      <w:r w:rsidRPr="006653EB">
        <w:t>(51%), az OTP (24,5%) és a francia CDC (a Francia Köztársaság fejlesztési pénzintézete) (24,5%) tulajdon</w:t>
      </w:r>
      <w:r>
        <w:t>nal</w:t>
      </w:r>
      <w:r w:rsidRPr="006653EB">
        <w:t>. A társaság</w:t>
      </w:r>
      <w:r w:rsidRPr="006653EB">
        <w:rPr>
          <w:rFonts w:eastAsia="SimSun"/>
        </w:rPr>
        <w:t xml:space="preserve"> feladata</w:t>
      </w:r>
      <w:r w:rsidRPr="006653EB">
        <w:t xml:space="preserve"> lett a </w:t>
      </w:r>
      <w:r w:rsidRPr="006653EB">
        <w:rPr>
          <w:rFonts w:eastAsia="SimSun"/>
        </w:rPr>
        <w:t>városfejlesztési akciók indítása és irányítása a Ferencváros egész területén,</w:t>
      </w:r>
      <w:r w:rsidRPr="006653EB">
        <w:t xml:space="preserve"> </w:t>
      </w:r>
      <w:r w:rsidRPr="006653EB">
        <w:rPr>
          <w:rFonts w:eastAsia="SimSun"/>
        </w:rPr>
        <w:t xml:space="preserve">ezen belül a Középső-Ferencváros </w:t>
      </w:r>
      <w:proofErr w:type="spellStart"/>
      <w:r w:rsidRPr="006653EB">
        <w:rPr>
          <w:rFonts w:eastAsia="SimSun"/>
        </w:rPr>
        <w:t>városrehabilitációja</w:t>
      </w:r>
      <w:proofErr w:type="spellEnd"/>
      <w:r w:rsidRPr="006653EB">
        <w:rPr>
          <w:rFonts w:eastAsia="SimSun"/>
        </w:rPr>
        <w:t>.</w:t>
      </w:r>
      <w:r w:rsidRPr="006653EB">
        <w:t xml:space="preserve"> Az önkormányzat feladata volt a rehabilitáció megtervezése, a SEM IX. pedig a program megvalósítását irányította. A kerület felismerte, hogy a </w:t>
      </w:r>
      <w:proofErr w:type="spellStart"/>
      <w:r w:rsidRPr="006653EB">
        <w:lastRenderedPageBreak/>
        <w:t>városrehabilitáció</w:t>
      </w:r>
      <w:proofErr w:type="spellEnd"/>
      <w:r w:rsidRPr="006653EB">
        <w:t xml:space="preserve"> sem pusztán közpénzekből nem fog megvalósulni, sem pusztán magán erőforrásokból. A társaság létrehozásával sikeresen valósult meg a köz- és magánszféra együttműködése: az önkormányzati többségi tulajdon biztosította, hogy a </w:t>
      </w:r>
      <w:proofErr w:type="spellStart"/>
      <w:r w:rsidRPr="006653EB">
        <w:t>városrehabilitáció</w:t>
      </w:r>
      <w:proofErr w:type="spellEnd"/>
      <w:r w:rsidRPr="006653EB">
        <w:t xml:space="preserve"> a közösségi értékek mentén haladjon, a banki/befektetői tulajdonosok pedig biztosították a hatékony, a piaci elvárásoknak megfelelő működést. </w:t>
      </w:r>
    </w:p>
    <w:p w14:paraId="3952FDBB" w14:textId="77777777" w:rsidR="006C10D2" w:rsidRPr="006653EB" w:rsidRDefault="006C10D2" w:rsidP="006C10D2">
      <w:r w:rsidRPr="006653EB">
        <w:t xml:space="preserve">A keretrendszer a komplex településfejlesztési akciótervben került megfogalmazásra, amelyben a kerületi saját feladatok és a magán erőforrások fejlesztési lehetőségei helyet kaptak. Az akcióterületen belül a műszaki infrastruktúra (közutak, közművek, közterületek, parkok, játszóterek, utcabútorok) teljes rekonstrukcióját vagy kiépítését, valamint a későbbi időszakban a humán infrastruktúra (bölcsődék, óvodák) fejlesztését is a foghíjtelkek és az elavult, nem felújítható épületek bontásával nyert építési telkek vállalkozók részére történő értékesítéséből befolyt összegből finanszírozta. </w:t>
      </w:r>
    </w:p>
    <w:p w14:paraId="3FDCB90A" w14:textId="77777777" w:rsidR="006C10D2" w:rsidRPr="006653EB" w:rsidRDefault="006C10D2" w:rsidP="006C10D2">
      <w:r w:rsidRPr="006653EB">
        <w:t xml:space="preserve">A lakásprivatizáció csak a felújítások után indult meg, miután az átfogó rehabilitációnak köszönhetően az egész városrészben javult a környezeti minőség és az épületek felújítása megtörtént. Az önkormányzati tulajdonú lakóházak teljes felújítása eredményeképpen komfortos, korszerű lakások jöttek létre. A bérlők végleges vagy átmeneti elhelyezését az önkormányzat biztosította, a használtlakás piacon vett lakásokból hozta létre </w:t>
      </w:r>
      <w:proofErr w:type="spellStart"/>
      <w:r w:rsidRPr="006653EB">
        <w:t>bérlakásállományát</w:t>
      </w:r>
      <w:proofErr w:type="spellEnd"/>
      <w:r w:rsidRPr="006653EB">
        <w:t xml:space="preserve">, évente körülbelül 150 családnak megteremtve a lakhatást. Kritikaként került megfogalmazásra, hogy a </w:t>
      </w:r>
      <w:proofErr w:type="spellStart"/>
      <w:r w:rsidRPr="006653EB">
        <w:t>városrehabilitációs</w:t>
      </w:r>
      <w:proofErr w:type="spellEnd"/>
      <w:r w:rsidRPr="006653EB">
        <w:t xml:space="preserve"> akció a kerület </w:t>
      </w:r>
      <w:proofErr w:type="spellStart"/>
      <w:r w:rsidRPr="006653EB">
        <w:t>dzsentrifikációját</w:t>
      </w:r>
      <w:proofErr w:type="spellEnd"/>
      <w:r w:rsidRPr="006653EB">
        <w:t xml:space="preserve"> eredményezte, az alacsonyabb státuszú lakosság szociális kérdéskörét az önkormányzat a területről való kitelepítéssel exportálta az említett, nem környékbeli bérlakásokba.</w:t>
      </w:r>
    </w:p>
    <w:p w14:paraId="5BE00F0E" w14:textId="77777777" w:rsidR="006C10D2" w:rsidRPr="006653EB" w:rsidRDefault="006C10D2" w:rsidP="006C10D2">
      <w:r w:rsidRPr="006653EB">
        <w:t xml:space="preserve">A városfejlesztési akció finanszírozása több forrásból történt. Egyrészt az önkormányzat tulajdonában álló ingatlanok eladása, másrészt az önkormányzat saját költségvetése, harmadrészt a számos egyéb forrás aktív kihasználása, becsatornázása. A kerület 1996-2012-ig a Fővárosi </w:t>
      </w:r>
      <w:proofErr w:type="spellStart"/>
      <w:r w:rsidRPr="006653EB">
        <w:t>Városrehabilitációs</w:t>
      </w:r>
      <w:proofErr w:type="spellEnd"/>
      <w:r w:rsidRPr="006653EB">
        <w:t xml:space="preserve"> Alapból minden évben jelentős támogatást tudott lehívni. 2004-ben a Phare-program „Integrált helyi fejlesztési akciók ösztönzése” keretében, 2005-ben a ROP (Regionális Fejlesztés Operatív Program) „A városi területek rehabilitációja” keretében, majd 2010-ben a KMOP (Közép-Magyarországi Operatív Program) „Szociális </w:t>
      </w:r>
      <w:proofErr w:type="spellStart"/>
      <w:r w:rsidRPr="006653EB">
        <w:t>városrehabilitáció</w:t>
      </w:r>
      <w:proofErr w:type="spellEnd"/>
      <w:r w:rsidRPr="006653EB">
        <w:t xml:space="preserve"> Ferencvárosban, József Attila terv I. ütem” keretében nyert jelentős vissza nem térítendő támogatást.</w:t>
      </w:r>
    </w:p>
    <w:p w14:paraId="3DAE61F4" w14:textId="2E2620E4" w:rsidR="006C10D2" w:rsidRPr="006653EB" w:rsidRDefault="006C10D2" w:rsidP="006C10D2">
      <w:r w:rsidRPr="006653EB">
        <w:t>Különböző források megállapításai szerint minden 1 HUF-nyi önkormányzati ráfordítás 2-5</w:t>
      </w:r>
      <w:r w:rsidR="005E7474">
        <w:t xml:space="preserve"> </w:t>
      </w:r>
      <w:r w:rsidRPr="006653EB">
        <w:t xml:space="preserve">HUF magánbefektetői ráfordítást indukált. </w:t>
      </w:r>
    </w:p>
    <w:p w14:paraId="5D41A0C0" w14:textId="67EA72B6" w:rsidR="006C10D2" w:rsidRDefault="006C10D2" w:rsidP="006C10D2">
      <w:r w:rsidRPr="006653EB">
        <w:t xml:space="preserve">A társaság 4-5 fős személyi állománnyal több százmilliós beruházások koordinálását bonyolította éveken keresztül. A SEM IX. </w:t>
      </w:r>
      <w:proofErr w:type="spellStart"/>
      <w:r w:rsidRPr="006653EB">
        <w:t>Zrt</w:t>
      </w:r>
      <w:proofErr w:type="spellEnd"/>
      <w:r w:rsidRPr="006653EB">
        <w:t>. 2010-ben 100%-</w:t>
      </w:r>
      <w:r w:rsidRPr="00EA2EC0">
        <w:t xml:space="preserve">os önkormányzati tulajdonba került. Feladatkörét – a </w:t>
      </w:r>
      <w:proofErr w:type="spellStart"/>
      <w:r w:rsidRPr="00EA2EC0">
        <w:t>városrehabilitációs</w:t>
      </w:r>
      <w:proofErr w:type="spellEnd"/>
      <w:r w:rsidRPr="00EA2EC0">
        <w:t xml:space="preserve"> akciók menedzselésén túl – jelentősen kibővítették. 2011-ben a kerületi közbeszerzések lebonyolítását a társaságba kiszervezték, majd a Ferencvárosi Vagyonkezelő </w:t>
      </w:r>
      <w:proofErr w:type="spellStart"/>
      <w:r w:rsidRPr="00EA2EC0">
        <w:t>Kft</w:t>
      </w:r>
      <w:r>
        <w:t>.</w:t>
      </w:r>
      <w:r w:rsidRPr="00EA2EC0">
        <w:t>-t</w:t>
      </w:r>
      <w:proofErr w:type="spellEnd"/>
      <w:r w:rsidRPr="00EA2EC0">
        <w:t xml:space="preserve"> és a Ferencvárosi Bérleményüzemeltető </w:t>
      </w:r>
      <w:proofErr w:type="spellStart"/>
      <w:r w:rsidRPr="00EA2EC0">
        <w:t>Kft</w:t>
      </w:r>
      <w:r>
        <w:t>.</w:t>
      </w:r>
      <w:r w:rsidRPr="00EA2EC0">
        <w:t>-t</w:t>
      </w:r>
      <w:proofErr w:type="spellEnd"/>
      <w:r w:rsidRPr="00EA2EC0">
        <w:t xml:space="preserve"> beolvasztották, amellyel a társaság feladatkörei kibővültek a vagyonkezeléssel/bérleményüzemeltetéssel is. 2012-ben megváltoztatták a </w:t>
      </w:r>
      <w:proofErr w:type="spellStart"/>
      <w:r w:rsidRPr="00EA2EC0">
        <w:t>Zrt</w:t>
      </w:r>
      <w:proofErr w:type="spellEnd"/>
      <w:r w:rsidRPr="00EA2EC0">
        <w:t xml:space="preserve">. nevét, FEV IX. Ferencvárosi Vagyonkezelő és Városfejlesztő </w:t>
      </w:r>
      <w:proofErr w:type="spellStart"/>
      <w:r w:rsidRPr="00EA2EC0">
        <w:t>Zrt</w:t>
      </w:r>
      <w:proofErr w:type="spellEnd"/>
      <w:r w:rsidRPr="00EA2EC0">
        <w:t xml:space="preserve">. 2015-ben a Ferencvárosi Parkolási Kft. beolvadt, ezzel a </w:t>
      </w:r>
      <w:proofErr w:type="spellStart"/>
      <w:r w:rsidRPr="00EA2EC0">
        <w:t>parkolásellenőrzési</w:t>
      </w:r>
      <w:proofErr w:type="spellEnd"/>
      <w:r w:rsidRPr="00EA2EC0">
        <w:t xml:space="preserve"> feladatokat is ellátva.</w:t>
      </w:r>
    </w:p>
    <w:p w14:paraId="7714B12F" w14:textId="77E8B257" w:rsidR="00914BE9" w:rsidRDefault="00914BE9" w:rsidP="006C10D2"/>
    <w:p w14:paraId="1BF32C83" w14:textId="77777777" w:rsidR="003624F0" w:rsidRDefault="003624F0" w:rsidP="006C10D2"/>
    <w:p w14:paraId="0F9C4D70" w14:textId="77777777" w:rsidR="003624F0" w:rsidRDefault="003624F0" w:rsidP="006C10D2"/>
    <w:p w14:paraId="6F8BD4E0" w14:textId="77777777" w:rsidR="003624F0" w:rsidRDefault="003624F0" w:rsidP="006C10D2"/>
    <w:p w14:paraId="350EB289" w14:textId="77777777" w:rsidR="00A30199" w:rsidRDefault="00A30199" w:rsidP="006C10D2"/>
    <w:p w14:paraId="3980C434" w14:textId="77777777" w:rsidR="006C10D2" w:rsidRPr="006653EB" w:rsidRDefault="006C10D2" w:rsidP="006C10D2">
      <w:r w:rsidRPr="006653EB">
        <w:lastRenderedPageBreak/>
        <w:t>Összesítés</w:t>
      </w:r>
      <w:r>
        <w:t>:</w:t>
      </w:r>
    </w:p>
    <w:tbl>
      <w:tblPr>
        <w:tblW w:w="10785" w:type="dxa"/>
        <w:tblInd w:w="-851" w:type="dxa"/>
        <w:tblBorders>
          <w:top w:val="single" w:sz="4" w:space="0" w:color="auto"/>
          <w:bottom w:val="single" w:sz="4" w:space="0" w:color="auto"/>
          <w:insideH w:val="single" w:sz="4" w:space="0" w:color="auto"/>
        </w:tblBorders>
        <w:tblCellMar>
          <w:left w:w="70" w:type="dxa"/>
          <w:right w:w="70" w:type="dxa"/>
        </w:tblCellMar>
        <w:tblLook w:val="04A0" w:firstRow="1" w:lastRow="0" w:firstColumn="1" w:lastColumn="0" w:noHBand="0" w:noVBand="1"/>
      </w:tblPr>
      <w:tblGrid>
        <w:gridCol w:w="1418"/>
        <w:gridCol w:w="465"/>
        <w:gridCol w:w="465"/>
        <w:gridCol w:w="505"/>
        <w:gridCol w:w="505"/>
        <w:gridCol w:w="505"/>
        <w:gridCol w:w="465"/>
        <w:gridCol w:w="505"/>
        <w:gridCol w:w="465"/>
        <w:gridCol w:w="465"/>
        <w:gridCol w:w="465"/>
        <w:gridCol w:w="465"/>
        <w:gridCol w:w="505"/>
        <w:gridCol w:w="505"/>
        <w:gridCol w:w="505"/>
        <w:gridCol w:w="505"/>
        <w:gridCol w:w="505"/>
        <w:gridCol w:w="465"/>
        <w:gridCol w:w="505"/>
        <w:gridCol w:w="597"/>
      </w:tblGrid>
      <w:tr w:rsidR="006C10D2" w:rsidRPr="006653EB" w14:paraId="69AD2CDC" w14:textId="77777777" w:rsidTr="00D57C71">
        <w:trPr>
          <w:trHeight w:val="255"/>
        </w:trPr>
        <w:tc>
          <w:tcPr>
            <w:tcW w:w="1418" w:type="dxa"/>
            <w:shd w:val="clear" w:color="auto" w:fill="E7E6E6"/>
            <w:noWrap/>
            <w:vAlign w:val="center"/>
            <w:hideMark/>
          </w:tcPr>
          <w:p w14:paraId="1BF3DFED" w14:textId="77777777" w:rsidR="006C10D2" w:rsidRPr="006653EB" w:rsidRDefault="006C10D2" w:rsidP="00E66302">
            <w:pPr>
              <w:pStyle w:val="tablazat"/>
              <w:rPr>
                <w:sz w:val="16"/>
                <w:szCs w:val="14"/>
              </w:rPr>
            </w:pPr>
          </w:p>
        </w:tc>
        <w:tc>
          <w:tcPr>
            <w:tcW w:w="465" w:type="dxa"/>
            <w:shd w:val="clear" w:color="auto" w:fill="E7E6E6"/>
            <w:noWrap/>
            <w:vAlign w:val="center"/>
            <w:hideMark/>
          </w:tcPr>
          <w:p w14:paraId="75E24EA7" w14:textId="77777777" w:rsidR="006C10D2" w:rsidRPr="006653EB" w:rsidRDefault="006C10D2" w:rsidP="00E66302">
            <w:pPr>
              <w:pStyle w:val="tablazat"/>
              <w:jc w:val="center"/>
              <w:rPr>
                <w:color w:val="000000"/>
                <w:sz w:val="16"/>
                <w:szCs w:val="14"/>
              </w:rPr>
            </w:pPr>
            <w:r w:rsidRPr="006653EB">
              <w:rPr>
                <w:color w:val="000000"/>
                <w:sz w:val="16"/>
                <w:szCs w:val="14"/>
              </w:rPr>
              <w:t>1991</w:t>
            </w:r>
          </w:p>
        </w:tc>
        <w:tc>
          <w:tcPr>
            <w:tcW w:w="465" w:type="dxa"/>
            <w:shd w:val="clear" w:color="auto" w:fill="E7E6E6"/>
            <w:noWrap/>
            <w:vAlign w:val="center"/>
            <w:hideMark/>
          </w:tcPr>
          <w:p w14:paraId="05F0486B" w14:textId="77777777" w:rsidR="006C10D2" w:rsidRPr="006653EB" w:rsidRDefault="006C10D2" w:rsidP="00E66302">
            <w:pPr>
              <w:pStyle w:val="tablazat"/>
              <w:jc w:val="center"/>
              <w:rPr>
                <w:color w:val="000000"/>
                <w:sz w:val="16"/>
                <w:szCs w:val="14"/>
              </w:rPr>
            </w:pPr>
            <w:r w:rsidRPr="006653EB">
              <w:rPr>
                <w:color w:val="000000"/>
                <w:sz w:val="16"/>
                <w:szCs w:val="14"/>
              </w:rPr>
              <w:t>1992</w:t>
            </w:r>
          </w:p>
        </w:tc>
        <w:tc>
          <w:tcPr>
            <w:tcW w:w="505" w:type="dxa"/>
            <w:shd w:val="clear" w:color="auto" w:fill="E7E6E6"/>
            <w:noWrap/>
            <w:vAlign w:val="center"/>
            <w:hideMark/>
          </w:tcPr>
          <w:p w14:paraId="6E16EC23" w14:textId="77777777" w:rsidR="006C10D2" w:rsidRPr="006653EB" w:rsidRDefault="006C10D2" w:rsidP="00E66302">
            <w:pPr>
              <w:pStyle w:val="tablazat"/>
              <w:jc w:val="center"/>
              <w:rPr>
                <w:color w:val="000000"/>
                <w:sz w:val="16"/>
                <w:szCs w:val="14"/>
              </w:rPr>
            </w:pPr>
            <w:r w:rsidRPr="006653EB">
              <w:rPr>
                <w:color w:val="000000"/>
                <w:sz w:val="16"/>
                <w:szCs w:val="14"/>
              </w:rPr>
              <w:t>1993</w:t>
            </w:r>
          </w:p>
        </w:tc>
        <w:tc>
          <w:tcPr>
            <w:tcW w:w="505" w:type="dxa"/>
            <w:shd w:val="clear" w:color="auto" w:fill="E7E6E6"/>
            <w:noWrap/>
            <w:vAlign w:val="center"/>
            <w:hideMark/>
          </w:tcPr>
          <w:p w14:paraId="006DEE8F" w14:textId="77777777" w:rsidR="006C10D2" w:rsidRPr="006653EB" w:rsidRDefault="006C10D2" w:rsidP="00E66302">
            <w:pPr>
              <w:pStyle w:val="tablazat"/>
              <w:jc w:val="center"/>
              <w:rPr>
                <w:color w:val="000000"/>
                <w:sz w:val="16"/>
                <w:szCs w:val="14"/>
              </w:rPr>
            </w:pPr>
            <w:r w:rsidRPr="006653EB">
              <w:rPr>
                <w:color w:val="000000"/>
                <w:sz w:val="16"/>
                <w:szCs w:val="14"/>
              </w:rPr>
              <w:t>1994</w:t>
            </w:r>
          </w:p>
        </w:tc>
        <w:tc>
          <w:tcPr>
            <w:tcW w:w="505" w:type="dxa"/>
            <w:shd w:val="clear" w:color="auto" w:fill="E7E6E6"/>
            <w:noWrap/>
            <w:vAlign w:val="center"/>
            <w:hideMark/>
          </w:tcPr>
          <w:p w14:paraId="14659089" w14:textId="77777777" w:rsidR="006C10D2" w:rsidRPr="006653EB" w:rsidRDefault="006C10D2" w:rsidP="00E66302">
            <w:pPr>
              <w:pStyle w:val="tablazat"/>
              <w:jc w:val="center"/>
              <w:rPr>
                <w:color w:val="000000"/>
                <w:sz w:val="16"/>
                <w:szCs w:val="14"/>
              </w:rPr>
            </w:pPr>
            <w:r w:rsidRPr="006653EB">
              <w:rPr>
                <w:color w:val="000000"/>
                <w:sz w:val="16"/>
                <w:szCs w:val="14"/>
              </w:rPr>
              <w:t>1995</w:t>
            </w:r>
          </w:p>
        </w:tc>
        <w:tc>
          <w:tcPr>
            <w:tcW w:w="465" w:type="dxa"/>
            <w:shd w:val="clear" w:color="auto" w:fill="E7E6E6"/>
            <w:noWrap/>
            <w:vAlign w:val="center"/>
            <w:hideMark/>
          </w:tcPr>
          <w:p w14:paraId="17668E2C" w14:textId="77777777" w:rsidR="006C10D2" w:rsidRPr="006653EB" w:rsidRDefault="006C10D2" w:rsidP="00E66302">
            <w:pPr>
              <w:pStyle w:val="tablazat"/>
              <w:jc w:val="center"/>
              <w:rPr>
                <w:color w:val="000000"/>
                <w:sz w:val="16"/>
                <w:szCs w:val="14"/>
              </w:rPr>
            </w:pPr>
            <w:r w:rsidRPr="006653EB">
              <w:rPr>
                <w:color w:val="000000"/>
                <w:sz w:val="16"/>
                <w:szCs w:val="14"/>
              </w:rPr>
              <w:t>1996</w:t>
            </w:r>
          </w:p>
        </w:tc>
        <w:tc>
          <w:tcPr>
            <w:tcW w:w="505" w:type="dxa"/>
            <w:shd w:val="clear" w:color="auto" w:fill="E7E6E6"/>
            <w:noWrap/>
            <w:vAlign w:val="center"/>
            <w:hideMark/>
          </w:tcPr>
          <w:p w14:paraId="5468E804" w14:textId="77777777" w:rsidR="006C10D2" w:rsidRPr="006653EB" w:rsidRDefault="006C10D2" w:rsidP="00E66302">
            <w:pPr>
              <w:pStyle w:val="tablazat"/>
              <w:jc w:val="center"/>
              <w:rPr>
                <w:color w:val="000000"/>
                <w:sz w:val="16"/>
                <w:szCs w:val="14"/>
              </w:rPr>
            </w:pPr>
            <w:r w:rsidRPr="006653EB">
              <w:rPr>
                <w:color w:val="000000"/>
                <w:sz w:val="16"/>
                <w:szCs w:val="14"/>
              </w:rPr>
              <w:t>1997</w:t>
            </w:r>
          </w:p>
        </w:tc>
        <w:tc>
          <w:tcPr>
            <w:tcW w:w="465" w:type="dxa"/>
            <w:shd w:val="clear" w:color="auto" w:fill="E7E6E6"/>
            <w:noWrap/>
            <w:vAlign w:val="center"/>
            <w:hideMark/>
          </w:tcPr>
          <w:p w14:paraId="5799C239" w14:textId="77777777" w:rsidR="006C10D2" w:rsidRPr="006653EB" w:rsidRDefault="006C10D2" w:rsidP="00E66302">
            <w:pPr>
              <w:pStyle w:val="tablazat"/>
              <w:jc w:val="center"/>
              <w:rPr>
                <w:color w:val="000000"/>
                <w:sz w:val="16"/>
                <w:szCs w:val="14"/>
              </w:rPr>
            </w:pPr>
            <w:r w:rsidRPr="006653EB">
              <w:rPr>
                <w:color w:val="000000"/>
                <w:sz w:val="16"/>
                <w:szCs w:val="14"/>
              </w:rPr>
              <w:t>1998</w:t>
            </w:r>
          </w:p>
        </w:tc>
        <w:tc>
          <w:tcPr>
            <w:tcW w:w="465" w:type="dxa"/>
            <w:shd w:val="clear" w:color="auto" w:fill="E7E6E6"/>
            <w:noWrap/>
            <w:vAlign w:val="center"/>
            <w:hideMark/>
          </w:tcPr>
          <w:p w14:paraId="40BCE1EB" w14:textId="77777777" w:rsidR="006C10D2" w:rsidRPr="006653EB" w:rsidRDefault="006C10D2" w:rsidP="00E66302">
            <w:pPr>
              <w:pStyle w:val="tablazat"/>
              <w:jc w:val="center"/>
              <w:rPr>
                <w:color w:val="000000"/>
                <w:sz w:val="16"/>
                <w:szCs w:val="14"/>
              </w:rPr>
            </w:pPr>
            <w:r w:rsidRPr="006653EB">
              <w:rPr>
                <w:color w:val="000000"/>
                <w:sz w:val="16"/>
                <w:szCs w:val="14"/>
              </w:rPr>
              <w:t>1999</w:t>
            </w:r>
          </w:p>
        </w:tc>
        <w:tc>
          <w:tcPr>
            <w:tcW w:w="465" w:type="dxa"/>
            <w:shd w:val="clear" w:color="auto" w:fill="E7E6E6"/>
            <w:noWrap/>
            <w:vAlign w:val="center"/>
            <w:hideMark/>
          </w:tcPr>
          <w:p w14:paraId="2933CCB7" w14:textId="77777777" w:rsidR="006C10D2" w:rsidRPr="006653EB" w:rsidRDefault="006C10D2" w:rsidP="00E66302">
            <w:pPr>
              <w:pStyle w:val="tablazat"/>
              <w:jc w:val="center"/>
              <w:rPr>
                <w:color w:val="000000"/>
                <w:sz w:val="16"/>
                <w:szCs w:val="14"/>
              </w:rPr>
            </w:pPr>
            <w:r w:rsidRPr="006653EB">
              <w:rPr>
                <w:color w:val="000000"/>
                <w:sz w:val="16"/>
                <w:szCs w:val="14"/>
              </w:rPr>
              <w:t>2000</w:t>
            </w:r>
          </w:p>
        </w:tc>
        <w:tc>
          <w:tcPr>
            <w:tcW w:w="465" w:type="dxa"/>
            <w:shd w:val="clear" w:color="auto" w:fill="E7E6E6"/>
            <w:noWrap/>
            <w:vAlign w:val="center"/>
            <w:hideMark/>
          </w:tcPr>
          <w:p w14:paraId="434141E0" w14:textId="77777777" w:rsidR="006C10D2" w:rsidRPr="006653EB" w:rsidRDefault="006C10D2" w:rsidP="00E66302">
            <w:pPr>
              <w:pStyle w:val="tablazat"/>
              <w:jc w:val="center"/>
              <w:rPr>
                <w:color w:val="000000"/>
                <w:sz w:val="16"/>
                <w:szCs w:val="14"/>
              </w:rPr>
            </w:pPr>
            <w:r w:rsidRPr="006653EB">
              <w:rPr>
                <w:color w:val="000000"/>
                <w:sz w:val="16"/>
                <w:szCs w:val="14"/>
              </w:rPr>
              <w:t>2001</w:t>
            </w:r>
          </w:p>
        </w:tc>
        <w:tc>
          <w:tcPr>
            <w:tcW w:w="505" w:type="dxa"/>
            <w:shd w:val="clear" w:color="auto" w:fill="E7E6E6"/>
            <w:noWrap/>
            <w:vAlign w:val="center"/>
            <w:hideMark/>
          </w:tcPr>
          <w:p w14:paraId="39890D76" w14:textId="77777777" w:rsidR="006C10D2" w:rsidRPr="006653EB" w:rsidRDefault="006C10D2" w:rsidP="00E66302">
            <w:pPr>
              <w:pStyle w:val="tablazat"/>
              <w:jc w:val="center"/>
              <w:rPr>
                <w:color w:val="000000"/>
                <w:sz w:val="16"/>
                <w:szCs w:val="14"/>
              </w:rPr>
            </w:pPr>
            <w:r w:rsidRPr="006653EB">
              <w:rPr>
                <w:color w:val="000000"/>
                <w:sz w:val="16"/>
                <w:szCs w:val="14"/>
              </w:rPr>
              <w:t>2002</w:t>
            </w:r>
          </w:p>
        </w:tc>
        <w:tc>
          <w:tcPr>
            <w:tcW w:w="505" w:type="dxa"/>
            <w:shd w:val="clear" w:color="auto" w:fill="E7E6E6"/>
            <w:noWrap/>
            <w:vAlign w:val="center"/>
            <w:hideMark/>
          </w:tcPr>
          <w:p w14:paraId="59D62E99" w14:textId="77777777" w:rsidR="006C10D2" w:rsidRPr="006653EB" w:rsidRDefault="006C10D2" w:rsidP="00E66302">
            <w:pPr>
              <w:pStyle w:val="tablazat"/>
              <w:jc w:val="center"/>
              <w:rPr>
                <w:color w:val="000000"/>
                <w:sz w:val="16"/>
                <w:szCs w:val="14"/>
              </w:rPr>
            </w:pPr>
            <w:r w:rsidRPr="006653EB">
              <w:rPr>
                <w:color w:val="000000"/>
                <w:sz w:val="16"/>
                <w:szCs w:val="14"/>
              </w:rPr>
              <w:t>2003</w:t>
            </w:r>
          </w:p>
        </w:tc>
        <w:tc>
          <w:tcPr>
            <w:tcW w:w="505" w:type="dxa"/>
            <w:shd w:val="clear" w:color="auto" w:fill="E7E6E6"/>
            <w:noWrap/>
            <w:vAlign w:val="center"/>
            <w:hideMark/>
          </w:tcPr>
          <w:p w14:paraId="08C68F68" w14:textId="77777777" w:rsidR="006C10D2" w:rsidRPr="006653EB" w:rsidRDefault="006C10D2" w:rsidP="00E66302">
            <w:pPr>
              <w:pStyle w:val="tablazat"/>
              <w:jc w:val="center"/>
              <w:rPr>
                <w:color w:val="000000"/>
                <w:sz w:val="16"/>
                <w:szCs w:val="14"/>
              </w:rPr>
            </w:pPr>
            <w:r w:rsidRPr="006653EB">
              <w:rPr>
                <w:color w:val="000000"/>
                <w:sz w:val="16"/>
                <w:szCs w:val="14"/>
              </w:rPr>
              <w:t>2004</w:t>
            </w:r>
          </w:p>
        </w:tc>
        <w:tc>
          <w:tcPr>
            <w:tcW w:w="505" w:type="dxa"/>
            <w:shd w:val="clear" w:color="auto" w:fill="E7E6E6"/>
            <w:noWrap/>
            <w:vAlign w:val="center"/>
            <w:hideMark/>
          </w:tcPr>
          <w:p w14:paraId="44784ADE" w14:textId="77777777" w:rsidR="006C10D2" w:rsidRPr="006653EB" w:rsidRDefault="006C10D2" w:rsidP="00E66302">
            <w:pPr>
              <w:pStyle w:val="tablazat"/>
              <w:jc w:val="center"/>
              <w:rPr>
                <w:color w:val="000000"/>
                <w:sz w:val="16"/>
                <w:szCs w:val="14"/>
              </w:rPr>
            </w:pPr>
            <w:r w:rsidRPr="006653EB">
              <w:rPr>
                <w:color w:val="000000"/>
                <w:sz w:val="16"/>
                <w:szCs w:val="14"/>
              </w:rPr>
              <w:t>2005</w:t>
            </w:r>
          </w:p>
        </w:tc>
        <w:tc>
          <w:tcPr>
            <w:tcW w:w="505" w:type="dxa"/>
            <w:shd w:val="clear" w:color="auto" w:fill="E7E6E6"/>
            <w:noWrap/>
            <w:vAlign w:val="center"/>
            <w:hideMark/>
          </w:tcPr>
          <w:p w14:paraId="55DD086E" w14:textId="77777777" w:rsidR="006C10D2" w:rsidRPr="006653EB" w:rsidRDefault="006C10D2" w:rsidP="00E66302">
            <w:pPr>
              <w:pStyle w:val="tablazat"/>
              <w:jc w:val="center"/>
              <w:rPr>
                <w:color w:val="000000"/>
                <w:sz w:val="16"/>
                <w:szCs w:val="14"/>
              </w:rPr>
            </w:pPr>
            <w:r w:rsidRPr="006653EB">
              <w:rPr>
                <w:color w:val="000000"/>
                <w:sz w:val="16"/>
                <w:szCs w:val="14"/>
              </w:rPr>
              <w:t>2006</w:t>
            </w:r>
          </w:p>
        </w:tc>
        <w:tc>
          <w:tcPr>
            <w:tcW w:w="465" w:type="dxa"/>
            <w:shd w:val="clear" w:color="auto" w:fill="E7E6E6"/>
            <w:noWrap/>
            <w:vAlign w:val="center"/>
            <w:hideMark/>
          </w:tcPr>
          <w:p w14:paraId="1B993F60" w14:textId="77777777" w:rsidR="006C10D2" w:rsidRPr="006653EB" w:rsidRDefault="006C10D2" w:rsidP="00E66302">
            <w:pPr>
              <w:pStyle w:val="tablazat"/>
              <w:jc w:val="center"/>
              <w:rPr>
                <w:color w:val="000000"/>
                <w:sz w:val="16"/>
                <w:szCs w:val="14"/>
              </w:rPr>
            </w:pPr>
            <w:r w:rsidRPr="006653EB">
              <w:rPr>
                <w:color w:val="000000"/>
                <w:sz w:val="16"/>
                <w:szCs w:val="14"/>
              </w:rPr>
              <w:t>2007</w:t>
            </w:r>
          </w:p>
        </w:tc>
        <w:tc>
          <w:tcPr>
            <w:tcW w:w="505" w:type="dxa"/>
            <w:shd w:val="clear" w:color="auto" w:fill="E7E6E6"/>
            <w:noWrap/>
            <w:vAlign w:val="center"/>
            <w:hideMark/>
          </w:tcPr>
          <w:p w14:paraId="6121106D" w14:textId="77777777" w:rsidR="006C10D2" w:rsidRPr="006653EB" w:rsidRDefault="006C10D2" w:rsidP="00E66302">
            <w:pPr>
              <w:pStyle w:val="tablazat"/>
              <w:jc w:val="center"/>
              <w:rPr>
                <w:color w:val="000000"/>
                <w:sz w:val="16"/>
                <w:szCs w:val="14"/>
              </w:rPr>
            </w:pPr>
            <w:r w:rsidRPr="006653EB">
              <w:rPr>
                <w:color w:val="000000"/>
                <w:sz w:val="16"/>
                <w:szCs w:val="14"/>
              </w:rPr>
              <w:t>2008</w:t>
            </w:r>
          </w:p>
        </w:tc>
        <w:tc>
          <w:tcPr>
            <w:tcW w:w="597" w:type="dxa"/>
            <w:shd w:val="clear" w:color="auto" w:fill="E7E6E6"/>
            <w:noWrap/>
            <w:vAlign w:val="center"/>
            <w:hideMark/>
          </w:tcPr>
          <w:p w14:paraId="4C801B89" w14:textId="77777777" w:rsidR="006C10D2" w:rsidRPr="006653EB" w:rsidRDefault="006C10D2" w:rsidP="00E66302">
            <w:pPr>
              <w:pStyle w:val="tablazat"/>
              <w:jc w:val="center"/>
              <w:rPr>
                <w:b/>
                <w:bCs/>
                <w:color w:val="000000"/>
                <w:sz w:val="16"/>
                <w:szCs w:val="14"/>
              </w:rPr>
            </w:pPr>
            <w:proofErr w:type="spellStart"/>
            <w:r w:rsidRPr="006653EB">
              <w:rPr>
                <w:b/>
                <w:bCs/>
                <w:color w:val="000000"/>
                <w:sz w:val="16"/>
                <w:szCs w:val="14"/>
              </w:rPr>
              <w:t>Össz</w:t>
            </w:r>
            <w:proofErr w:type="spellEnd"/>
          </w:p>
        </w:tc>
      </w:tr>
      <w:tr w:rsidR="006C10D2" w:rsidRPr="006653EB" w14:paraId="06ABE72B" w14:textId="77777777" w:rsidTr="00D57C71">
        <w:trPr>
          <w:trHeight w:val="255"/>
        </w:trPr>
        <w:tc>
          <w:tcPr>
            <w:tcW w:w="1418" w:type="dxa"/>
            <w:shd w:val="clear" w:color="auto" w:fill="auto"/>
            <w:noWrap/>
            <w:vAlign w:val="center"/>
            <w:hideMark/>
          </w:tcPr>
          <w:p w14:paraId="339EE8D0" w14:textId="77777777" w:rsidR="006C10D2" w:rsidRPr="006653EB" w:rsidRDefault="006C10D2" w:rsidP="00E66302">
            <w:pPr>
              <w:pStyle w:val="tablazat"/>
              <w:rPr>
                <w:color w:val="000000"/>
                <w:sz w:val="16"/>
                <w:szCs w:val="14"/>
              </w:rPr>
            </w:pPr>
            <w:r w:rsidRPr="006653EB">
              <w:rPr>
                <w:color w:val="000000"/>
                <w:sz w:val="16"/>
                <w:szCs w:val="14"/>
              </w:rPr>
              <w:t>Értékesített ingatlanok</w:t>
            </w:r>
          </w:p>
        </w:tc>
        <w:tc>
          <w:tcPr>
            <w:tcW w:w="465" w:type="dxa"/>
            <w:shd w:val="clear" w:color="auto" w:fill="auto"/>
            <w:noWrap/>
            <w:vAlign w:val="center"/>
            <w:hideMark/>
          </w:tcPr>
          <w:p w14:paraId="725634D3" w14:textId="77777777" w:rsidR="006C10D2" w:rsidRPr="006653EB" w:rsidRDefault="006C10D2" w:rsidP="00E66302">
            <w:pPr>
              <w:pStyle w:val="tablazat"/>
              <w:jc w:val="center"/>
              <w:rPr>
                <w:color w:val="000000"/>
                <w:sz w:val="16"/>
                <w:szCs w:val="14"/>
              </w:rPr>
            </w:pPr>
          </w:p>
        </w:tc>
        <w:tc>
          <w:tcPr>
            <w:tcW w:w="465" w:type="dxa"/>
            <w:shd w:val="clear" w:color="auto" w:fill="auto"/>
            <w:noWrap/>
            <w:vAlign w:val="center"/>
            <w:hideMark/>
          </w:tcPr>
          <w:p w14:paraId="70356482" w14:textId="77777777" w:rsidR="006C10D2" w:rsidRPr="006653EB" w:rsidRDefault="006C10D2" w:rsidP="00E66302">
            <w:pPr>
              <w:pStyle w:val="tablazat"/>
              <w:jc w:val="center"/>
              <w:rPr>
                <w:color w:val="000000"/>
                <w:sz w:val="16"/>
                <w:szCs w:val="14"/>
              </w:rPr>
            </w:pPr>
          </w:p>
        </w:tc>
        <w:tc>
          <w:tcPr>
            <w:tcW w:w="505" w:type="dxa"/>
            <w:shd w:val="clear" w:color="auto" w:fill="auto"/>
            <w:noWrap/>
            <w:vAlign w:val="center"/>
            <w:hideMark/>
          </w:tcPr>
          <w:p w14:paraId="4B5DB1C2" w14:textId="77777777" w:rsidR="006C10D2" w:rsidRPr="006653EB" w:rsidRDefault="006C10D2" w:rsidP="00E66302">
            <w:pPr>
              <w:pStyle w:val="tablazat"/>
              <w:jc w:val="center"/>
              <w:rPr>
                <w:color w:val="000000"/>
                <w:sz w:val="16"/>
                <w:szCs w:val="14"/>
              </w:rPr>
            </w:pPr>
            <w:r w:rsidRPr="006653EB">
              <w:rPr>
                <w:color w:val="000000"/>
                <w:sz w:val="16"/>
                <w:szCs w:val="14"/>
              </w:rPr>
              <w:t>8</w:t>
            </w:r>
          </w:p>
        </w:tc>
        <w:tc>
          <w:tcPr>
            <w:tcW w:w="505" w:type="dxa"/>
            <w:shd w:val="clear" w:color="auto" w:fill="auto"/>
            <w:noWrap/>
            <w:vAlign w:val="center"/>
            <w:hideMark/>
          </w:tcPr>
          <w:p w14:paraId="647933EB" w14:textId="77777777" w:rsidR="006C10D2" w:rsidRPr="006653EB" w:rsidRDefault="006C10D2" w:rsidP="00E66302">
            <w:pPr>
              <w:pStyle w:val="tablazat"/>
              <w:jc w:val="center"/>
              <w:rPr>
                <w:color w:val="000000"/>
                <w:sz w:val="16"/>
                <w:szCs w:val="14"/>
              </w:rPr>
            </w:pPr>
            <w:r w:rsidRPr="006653EB">
              <w:rPr>
                <w:color w:val="000000"/>
                <w:sz w:val="16"/>
                <w:szCs w:val="14"/>
              </w:rPr>
              <w:t>20</w:t>
            </w:r>
          </w:p>
        </w:tc>
        <w:tc>
          <w:tcPr>
            <w:tcW w:w="505" w:type="dxa"/>
            <w:shd w:val="clear" w:color="auto" w:fill="auto"/>
            <w:noWrap/>
            <w:vAlign w:val="center"/>
            <w:hideMark/>
          </w:tcPr>
          <w:p w14:paraId="18C9B369" w14:textId="77777777" w:rsidR="006C10D2" w:rsidRPr="006653EB" w:rsidRDefault="006C10D2" w:rsidP="00E66302">
            <w:pPr>
              <w:pStyle w:val="tablazat"/>
              <w:jc w:val="center"/>
              <w:rPr>
                <w:color w:val="000000"/>
                <w:sz w:val="16"/>
                <w:szCs w:val="14"/>
              </w:rPr>
            </w:pPr>
            <w:r w:rsidRPr="006653EB">
              <w:rPr>
                <w:color w:val="000000"/>
                <w:sz w:val="16"/>
                <w:szCs w:val="14"/>
              </w:rPr>
              <w:t>17</w:t>
            </w:r>
          </w:p>
        </w:tc>
        <w:tc>
          <w:tcPr>
            <w:tcW w:w="465" w:type="dxa"/>
            <w:shd w:val="clear" w:color="auto" w:fill="auto"/>
            <w:noWrap/>
            <w:vAlign w:val="center"/>
            <w:hideMark/>
          </w:tcPr>
          <w:p w14:paraId="0CF49259" w14:textId="77777777" w:rsidR="006C10D2" w:rsidRPr="006653EB" w:rsidRDefault="006C10D2" w:rsidP="00E66302">
            <w:pPr>
              <w:pStyle w:val="tablazat"/>
              <w:jc w:val="center"/>
              <w:rPr>
                <w:color w:val="000000"/>
                <w:sz w:val="16"/>
                <w:szCs w:val="14"/>
              </w:rPr>
            </w:pPr>
            <w:r w:rsidRPr="006653EB">
              <w:rPr>
                <w:color w:val="000000"/>
                <w:sz w:val="16"/>
                <w:szCs w:val="14"/>
              </w:rPr>
              <w:t>7</w:t>
            </w:r>
          </w:p>
        </w:tc>
        <w:tc>
          <w:tcPr>
            <w:tcW w:w="505" w:type="dxa"/>
            <w:shd w:val="clear" w:color="auto" w:fill="auto"/>
            <w:noWrap/>
            <w:vAlign w:val="center"/>
            <w:hideMark/>
          </w:tcPr>
          <w:p w14:paraId="1D9F1396" w14:textId="77777777" w:rsidR="006C10D2" w:rsidRPr="006653EB" w:rsidRDefault="006C10D2" w:rsidP="00E66302">
            <w:pPr>
              <w:pStyle w:val="tablazat"/>
              <w:jc w:val="center"/>
              <w:rPr>
                <w:color w:val="000000"/>
                <w:sz w:val="16"/>
                <w:szCs w:val="14"/>
              </w:rPr>
            </w:pPr>
            <w:r w:rsidRPr="006653EB">
              <w:rPr>
                <w:color w:val="000000"/>
                <w:sz w:val="16"/>
                <w:szCs w:val="14"/>
              </w:rPr>
              <w:t>7</w:t>
            </w:r>
          </w:p>
        </w:tc>
        <w:tc>
          <w:tcPr>
            <w:tcW w:w="465" w:type="dxa"/>
            <w:shd w:val="clear" w:color="auto" w:fill="auto"/>
            <w:noWrap/>
            <w:vAlign w:val="center"/>
            <w:hideMark/>
          </w:tcPr>
          <w:p w14:paraId="7ABF1E41" w14:textId="77777777" w:rsidR="006C10D2" w:rsidRPr="006653EB" w:rsidRDefault="006C10D2" w:rsidP="00E66302">
            <w:pPr>
              <w:pStyle w:val="tablazat"/>
              <w:jc w:val="center"/>
              <w:rPr>
                <w:color w:val="000000"/>
                <w:sz w:val="16"/>
                <w:szCs w:val="14"/>
              </w:rPr>
            </w:pPr>
            <w:r w:rsidRPr="006653EB">
              <w:rPr>
                <w:color w:val="000000"/>
                <w:sz w:val="16"/>
                <w:szCs w:val="14"/>
              </w:rPr>
              <w:t>7</w:t>
            </w:r>
          </w:p>
        </w:tc>
        <w:tc>
          <w:tcPr>
            <w:tcW w:w="465" w:type="dxa"/>
            <w:shd w:val="clear" w:color="auto" w:fill="auto"/>
            <w:noWrap/>
            <w:vAlign w:val="center"/>
            <w:hideMark/>
          </w:tcPr>
          <w:p w14:paraId="10F8AFBB" w14:textId="77777777" w:rsidR="006C10D2" w:rsidRPr="006653EB" w:rsidRDefault="006C10D2" w:rsidP="00E66302">
            <w:pPr>
              <w:pStyle w:val="tablazat"/>
              <w:jc w:val="center"/>
              <w:rPr>
                <w:color w:val="000000"/>
                <w:sz w:val="16"/>
                <w:szCs w:val="14"/>
              </w:rPr>
            </w:pPr>
            <w:r w:rsidRPr="006653EB">
              <w:rPr>
                <w:color w:val="000000"/>
                <w:sz w:val="16"/>
                <w:szCs w:val="14"/>
              </w:rPr>
              <w:t>4</w:t>
            </w:r>
          </w:p>
        </w:tc>
        <w:tc>
          <w:tcPr>
            <w:tcW w:w="465" w:type="dxa"/>
            <w:shd w:val="clear" w:color="auto" w:fill="auto"/>
            <w:noWrap/>
            <w:vAlign w:val="center"/>
            <w:hideMark/>
          </w:tcPr>
          <w:p w14:paraId="2F7A6630" w14:textId="77777777" w:rsidR="006C10D2" w:rsidRPr="006653EB" w:rsidRDefault="006C10D2" w:rsidP="00E66302">
            <w:pPr>
              <w:pStyle w:val="tablazat"/>
              <w:jc w:val="center"/>
              <w:rPr>
                <w:color w:val="000000"/>
                <w:sz w:val="16"/>
                <w:szCs w:val="14"/>
              </w:rPr>
            </w:pPr>
            <w:r w:rsidRPr="006653EB">
              <w:rPr>
                <w:color w:val="000000"/>
                <w:sz w:val="16"/>
                <w:szCs w:val="14"/>
              </w:rPr>
              <w:t>15</w:t>
            </w:r>
          </w:p>
        </w:tc>
        <w:tc>
          <w:tcPr>
            <w:tcW w:w="465" w:type="dxa"/>
            <w:shd w:val="clear" w:color="auto" w:fill="auto"/>
            <w:noWrap/>
            <w:vAlign w:val="center"/>
            <w:hideMark/>
          </w:tcPr>
          <w:p w14:paraId="05AEFD55" w14:textId="77777777" w:rsidR="006C10D2" w:rsidRPr="006653EB" w:rsidRDefault="006C10D2" w:rsidP="00E66302">
            <w:pPr>
              <w:pStyle w:val="tablazat"/>
              <w:jc w:val="center"/>
              <w:rPr>
                <w:color w:val="000000"/>
                <w:sz w:val="16"/>
                <w:szCs w:val="14"/>
              </w:rPr>
            </w:pPr>
            <w:r w:rsidRPr="006653EB">
              <w:rPr>
                <w:color w:val="000000"/>
                <w:sz w:val="16"/>
                <w:szCs w:val="14"/>
              </w:rPr>
              <w:t>33</w:t>
            </w:r>
          </w:p>
        </w:tc>
        <w:tc>
          <w:tcPr>
            <w:tcW w:w="505" w:type="dxa"/>
            <w:shd w:val="clear" w:color="auto" w:fill="auto"/>
            <w:noWrap/>
            <w:vAlign w:val="center"/>
            <w:hideMark/>
          </w:tcPr>
          <w:p w14:paraId="25395AB5" w14:textId="77777777" w:rsidR="006C10D2" w:rsidRPr="006653EB" w:rsidRDefault="006C10D2" w:rsidP="00E66302">
            <w:pPr>
              <w:pStyle w:val="tablazat"/>
              <w:jc w:val="center"/>
              <w:rPr>
                <w:color w:val="000000"/>
                <w:sz w:val="16"/>
                <w:szCs w:val="14"/>
              </w:rPr>
            </w:pPr>
            <w:r w:rsidRPr="006653EB">
              <w:rPr>
                <w:color w:val="000000"/>
                <w:sz w:val="16"/>
                <w:szCs w:val="14"/>
              </w:rPr>
              <w:t>22</w:t>
            </w:r>
          </w:p>
        </w:tc>
        <w:tc>
          <w:tcPr>
            <w:tcW w:w="505" w:type="dxa"/>
            <w:shd w:val="clear" w:color="auto" w:fill="auto"/>
            <w:noWrap/>
            <w:vAlign w:val="center"/>
            <w:hideMark/>
          </w:tcPr>
          <w:p w14:paraId="24598768" w14:textId="77777777" w:rsidR="006C10D2" w:rsidRPr="006653EB" w:rsidRDefault="006C10D2" w:rsidP="00E66302">
            <w:pPr>
              <w:pStyle w:val="tablazat"/>
              <w:jc w:val="center"/>
              <w:rPr>
                <w:color w:val="000000"/>
                <w:sz w:val="16"/>
                <w:szCs w:val="14"/>
              </w:rPr>
            </w:pPr>
            <w:r w:rsidRPr="006653EB">
              <w:rPr>
                <w:color w:val="000000"/>
                <w:sz w:val="16"/>
                <w:szCs w:val="14"/>
              </w:rPr>
              <w:t>9</w:t>
            </w:r>
          </w:p>
        </w:tc>
        <w:tc>
          <w:tcPr>
            <w:tcW w:w="505" w:type="dxa"/>
            <w:shd w:val="clear" w:color="auto" w:fill="auto"/>
            <w:noWrap/>
            <w:vAlign w:val="center"/>
            <w:hideMark/>
          </w:tcPr>
          <w:p w14:paraId="19AC565C" w14:textId="77777777" w:rsidR="006C10D2" w:rsidRPr="006653EB" w:rsidRDefault="006C10D2" w:rsidP="00E66302">
            <w:pPr>
              <w:pStyle w:val="tablazat"/>
              <w:jc w:val="center"/>
              <w:rPr>
                <w:color w:val="000000"/>
                <w:sz w:val="16"/>
                <w:szCs w:val="14"/>
              </w:rPr>
            </w:pPr>
            <w:r w:rsidRPr="006653EB">
              <w:rPr>
                <w:color w:val="000000"/>
                <w:sz w:val="16"/>
                <w:szCs w:val="14"/>
              </w:rPr>
              <w:t>2</w:t>
            </w:r>
          </w:p>
        </w:tc>
        <w:tc>
          <w:tcPr>
            <w:tcW w:w="505" w:type="dxa"/>
            <w:shd w:val="clear" w:color="auto" w:fill="auto"/>
            <w:noWrap/>
            <w:vAlign w:val="center"/>
            <w:hideMark/>
          </w:tcPr>
          <w:p w14:paraId="0379B608" w14:textId="77777777" w:rsidR="006C10D2" w:rsidRPr="006653EB" w:rsidRDefault="006C10D2" w:rsidP="00E66302">
            <w:pPr>
              <w:pStyle w:val="tablazat"/>
              <w:jc w:val="center"/>
              <w:rPr>
                <w:color w:val="000000"/>
                <w:sz w:val="16"/>
                <w:szCs w:val="14"/>
              </w:rPr>
            </w:pPr>
            <w:r w:rsidRPr="006653EB">
              <w:rPr>
                <w:color w:val="000000"/>
                <w:sz w:val="16"/>
                <w:szCs w:val="14"/>
              </w:rPr>
              <w:t>4</w:t>
            </w:r>
          </w:p>
        </w:tc>
        <w:tc>
          <w:tcPr>
            <w:tcW w:w="505" w:type="dxa"/>
            <w:shd w:val="clear" w:color="auto" w:fill="auto"/>
            <w:noWrap/>
            <w:vAlign w:val="center"/>
            <w:hideMark/>
          </w:tcPr>
          <w:p w14:paraId="6F4903A1" w14:textId="77777777" w:rsidR="006C10D2" w:rsidRPr="006653EB" w:rsidRDefault="006C10D2" w:rsidP="00E66302">
            <w:pPr>
              <w:pStyle w:val="tablazat"/>
              <w:jc w:val="center"/>
              <w:rPr>
                <w:color w:val="000000"/>
                <w:sz w:val="16"/>
                <w:szCs w:val="14"/>
              </w:rPr>
            </w:pPr>
            <w:r w:rsidRPr="006653EB">
              <w:rPr>
                <w:color w:val="000000"/>
                <w:sz w:val="16"/>
                <w:szCs w:val="14"/>
              </w:rPr>
              <w:t>7</w:t>
            </w:r>
          </w:p>
        </w:tc>
        <w:tc>
          <w:tcPr>
            <w:tcW w:w="465" w:type="dxa"/>
            <w:shd w:val="clear" w:color="auto" w:fill="auto"/>
            <w:noWrap/>
            <w:vAlign w:val="center"/>
            <w:hideMark/>
          </w:tcPr>
          <w:p w14:paraId="5F1D3691" w14:textId="77777777" w:rsidR="006C10D2" w:rsidRPr="006653EB" w:rsidRDefault="006C10D2" w:rsidP="00E66302">
            <w:pPr>
              <w:pStyle w:val="tablazat"/>
              <w:jc w:val="center"/>
              <w:rPr>
                <w:color w:val="000000"/>
                <w:sz w:val="16"/>
                <w:szCs w:val="14"/>
              </w:rPr>
            </w:pPr>
            <w:r w:rsidRPr="006653EB">
              <w:rPr>
                <w:color w:val="000000"/>
                <w:sz w:val="16"/>
                <w:szCs w:val="14"/>
              </w:rPr>
              <w:t>3</w:t>
            </w:r>
          </w:p>
        </w:tc>
        <w:tc>
          <w:tcPr>
            <w:tcW w:w="505" w:type="dxa"/>
            <w:shd w:val="clear" w:color="auto" w:fill="auto"/>
            <w:noWrap/>
            <w:vAlign w:val="center"/>
            <w:hideMark/>
          </w:tcPr>
          <w:p w14:paraId="7EC334E9" w14:textId="77777777" w:rsidR="006C10D2" w:rsidRPr="006653EB" w:rsidRDefault="006C10D2" w:rsidP="00E66302">
            <w:pPr>
              <w:pStyle w:val="tablazat"/>
              <w:jc w:val="center"/>
              <w:rPr>
                <w:color w:val="000000"/>
                <w:sz w:val="16"/>
                <w:szCs w:val="14"/>
              </w:rPr>
            </w:pPr>
            <w:r w:rsidRPr="006653EB">
              <w:rPr>
                <w:color w:val="000000"/>
                <w:sz w:val="16"/>
                <w:szCs w:val="14"/>
              </w:rPr>
              <w:t>10</w:t>
            </w:r>
          </w:p>
        </w:tc>
        <w:tc>
          <w:tcPr>
            <w:tcW w:w="597" w:type="dxa"/>
            <w:shd w:val="clear" w:color="auto" w:fill="auto"/>
            <w:noWrap/>
            <w:vAlign w:val="center"/>
            <w:hideMark/>
          </w:tcPr>
          <w:p w14:paraId="21D1BF7D" w14:textId="77777777" w:rsidR="006C10D2" w:rsidRPr="006653EB" w:rsidRDefault="006C10D2" w:rsidP="00E66302">
            <w:pPr>
              <w:pStyle w:val="tablazat"/>
              <w:jc w:val="center"/>
              <w:rPr>
                <w:b/>
                <w:bCs/>
                <w:color w:val="000000"/>
                <w:sz w:val="16"/>
                <w:szCs w:val="14"/>
              </w:rPr>
            </w:pPr>
            <w:r w:rsidRPr="006653EB">
              <w:rPr>
                <w:b/>
                <w:bCs/>
                <w:color w:val="000000"/>
                <w:sz w:val="16"/>
                <w:szCs w:val="14"/>
              </w:rPr>
              <w:t>175</w:t>
            </w:r>
          </w:p>
        </w:tc>
      </w:tr>
      <w:tr w:rsidR="006C10D2" w:rsidRPr="006653EB" w14:paraId="00788AB5" w14:textId="77777777" w:rsidTr="00D57C71">
        <w:trPr>
          <w:trHeight w:val="255"/>
        </w:trPr>
        <w:tc>
          <w:tcPr>
            <w:tcW w:w="1418" w:type="dxa"/>
            <w:shd w:val="clear" w:color="auto" w:fill="auto"/>
            <w:noWrap/>
            <w:vAlign w:val="center"/>
            <w:hideMark/>
          </w:tcPr>
          <w:p w14:paraId="0BD01E69" w14:textId="77777777" w:rsidR="006C10D2" w:rsidRPr="006653EB" w:rsidRDefault="006C10D2" w:rsidP="00E66302">
            <w:pPr>
              <w:pStyle w:val="tablazat"/>
              <w:rPr>
                <w:color w:val="000000"/>
                <w:sz w:val="16"/>
                <w:szCs w:val="14"/>
              </w:rPr>
            </w:pPr>
            <w:r w:rsidRPr="006653EB">
              <w:rPr>
                <w:color w:val="000000"/>
                <w:sz w:val="16"/>
                <w:szCs w:val="14"/>
              </w:rPr>
              <w:t>Új épületek</w:t>
            </w:r>
          </w:p>
        </w:tc>
        <w:tc>
          <w:tcPr>
            <w:tcW w:w="465" w:type="dxa"/>
            <w:shd w:val="clear" w:color="auto" w:fill="auto"/>
            <w:noWrap/>
            <w:vAlign w:val="center"/>
            <w:hideMark/>
          </w:tcPr>
          <w:p w14:paraId="4A2B680D" w14:textId="77777777" w:rsidR="006C10D2" w:rsidRPr="006653EB" w:rsidRDefault="006C10D2" w:rsidP="00E66302">
            <w:pPr>
              <w:pStyle w:val="tablazat"/>
              <w:jc w:val="center"/>
              <w:rPr>
                <w:color w:val="000000"/>
                <w:sz w:val="16"/>
                <w:szCs w:val="14"/>
              </w:rPr>
            </w:pPr>
            <w:r w:rsidRPr="006653EB">
              <w:rPr>
                <w:color w:val="000000"/>
                <w:sz w:val="16"/>
                <w:szCs w:val="14"/>
              </w:rPr>
              <w:t>11</w:t>
            </w:r>
          </w:p>
        </w:tc>
        <w:tc>
          <w:tcPr>
            <w:tcW w:w="465" w:type="dxa"/>
            <w:shd w:val="clear" w:color="auto" w:fill="auto"/>
            <w:noWrap/>
            <w:vAlign w:val="center"/>
            <w:hideMark/>
          </w:tcPr>
          <w:p w14:paraId="7E43A69E" w14:textId="77777777" w:rsidR="006C10D2" w:rsidRPr="006653EB" w:rsidRDefault="006C10D2" w:rsidP="00E66302">
            <w:pPr>
              <w:pStyle w:val="tablazat"/>
              <w:jc w:val="center"/>
              <w:rPr>
                <w:color w:val="000000"/>
                <w:sz w:val="16"/>
                <w:szCs w:val="14"/>
              </w:rPr>
            </w:pPr>
            <w:r w:rsidRPr="006653EB">
              <w:rPr>
                <w:color w:val="000000"/>
                <w:sz w:val="16"/>
                <w:szCs w:val="14"/>
              </w:rPr>
              <w:t>1</w:t>
            </w:r>
          </w:p>
        </w:tc>
        <w:tc>
          <w:tcPr>
            <w:tcW w:w="505" w:type="dxa"/>
            <w:shd w:val="clear" w:color="auto" w:fill="auto"/>
            <w:noWrap/>
            <w:vAlign w:val="center"/>
            <w:hideMark/>
          </w:tcPr>
          <w:p w14:paraId="045BEAD2" w14:textId="77777777" w:rsidR="006C10D2" w:rsidRPr="006653EB" w:rsidRDefault="006C10D2" w:rsidP="00E66302">
            <w:pPr>
              <w:pStyle w:val="tablazat"/>
              <w:jc w:val="center"/>
              <w:rPr>
                <w:color w:val="000000"/>
                <w:sz w:val="16"/>
                <w:szCs w:val="14"/>
              </w:rPr>
            </w:pPr>
            <w:r w:rsidRPr="006653EB">
              <w:rPr>
                <w:color w:val="000000"/>
                <w:sz w:val="16"/>
                <w:szCs w:val="14"/>
              </w:rPr>
              <w:t>1</w:t>
            </w:r>
          </w:p>
        </w:tc>
        <w:tc>
          <w:tcPr>
            <w:tcW w:w="505" w:type="dxa"/>
            <w:shd w:val="clear" w:color="auto" w:fill="auto"/>
            <w:noWrap/>
            <w:vAlign w:val="center"/>
            <w:hideMark/>
          </w:tcPr>
          <w:p w14:paraId="554C31A9" w14:textId="77777777" w:rsidR="006C10D2" w:rsidRPr="006653EB" w:rsidRDefault="006C10D2" w:rsidP="00E66302">
            <w:pPr>
              <w:pStyle w:val="tablazat"/>
              <w:jc w:val="center"/>
              <w:rPr>
                <w:color w:val="000000"/>
                <w:sz w:val="16"/>
                <w:szCs w:val="14"/>
              </w:rPr>
            </w:pPr>
            <w:r w:rsidRPr="006653EB">
              <w:rPr>
                <w:color w:val="000000"/>
                <w:sz w:val="16"/>
                <w:szCs w:val="14"/>
              </w:rPr>
              <w:t>3</w:t>
            </w:r>
          </w:p>
        </w:tc>
        <w:tc>
          <w:tcPr>
            <w:tcW w:w="505" w:type="dxa"/>
            <w:shd w:val="clear" w:color="auto" w:fill="auto"/>
            <w:noWrap/>
            <w:vAlign w:val="center"/>
            <w:hideMark/>
          </w:tcPr>
          <w:p w14:paraId="671A0326" w14:textId="77777777" w:rsidR="006C10D2" w:rsidRPr="006653EB" w:rsidRDefault="006C10D2" w:rsidP="00E66302">
            <w:pPr>
              <w:pStyle w:val="tablazat"/>
              <w:jc w:val="center"/>
              <w:rPr>
                <w:color w:val="000000"/>
                <w:sz w:val="16"/>
                <w:szCs w:val="14"/>
              </w:rPr>
            </w:pPr>
            <w:r w:rsidRPr="006653EB">
              <w:rPr>
                <w:color w:val="000000"/>
                <w:sz w:val="16"/>
                <w:szCs w:val="14"/>
              </w:rPr>
              <w:t>0</w:t>
            </w:r>
          </w:p>
        </w:tc>
        <w:tc>
          <w:tcPr>
            <w:tcW w:w="465" w:type="dxa"/>
            <w:shd w:val="clear" w:color="auto" w:fill="auto"/>
            <w:noWrap/>
            <w:vAlign w:val="center"/>
            <w:hideMark/>
          </w:tcPr>
          <w:p w14:paraId="6BF7B214" w14:textId="77777777" w:rsidR="006C10D2" w:rsidRPr="006653EB" w:rsidRDefault="006C10D2" w:rsidP="00E66302">
            <w:pPr>
              <w:pStyle w:val="tablazat"/>
              <w:jc w:val="center"/>
              <w:rPr>
                <w:color w:val="000000"/>
                <w:sz w:val="16"/>
                <w:szCs w:val="14"/>
              </w:rPr>
            </w:pPr>
            <w:r w:rsidRPr="006653EB">
              <w:rPr>
                <w:color w:val="000000"/>
                <w:sz w:val="16"/>
                <w:szCs w:val="14"/>
              </w:rPr>
              <w:t>6</w:t>
            </w:r>
          </w:p>
        </w:tc>
        <w:tc>
          <w:tcPr>
            <w:tcW w:w="505" w:type="dxa"/>
            <w:shd w:val="clear" w:color="auto" w:fill="auto"/>
            <w:noWrap/>
            <w:vAlign w:val="center"/>
            <w:hideMark/>
          </w:tcPr>
          <w:p w14:paraId="18778AFA" w14:textId="77777777" w:rsidR="006C10D2" w:rsidRPr="006653EB" w:rsidRDefault="006C10D2" w:rsidP="00E66302">
            <w:pPr>
              <w:pStyle w:val="tablazat"/>
              <w:jc w:val="center"/>
              <w:rPr>
                <w:color w:val="000000"/>
                <w:sz w:val="16"/>
                <w:szCs w:val="14"/>
              </w:rPr>
            </w:pPr>
            <w:r w:rsidRPr="006653EB">
              <w:rPr>
                <w:color w:val="000000"/>
                <w:sz w:val="16"/>
                <w:szCs w:val="14"/>
              </w:rPr>
              <w:t>7</w:t>
            </w:r>
          </w:p>
        </w:tc>
        <w:tc>
          <w:tcPr>
            <w:tcW w:w="465" w:type="dxa"/>
            <w:shd w:val="clear" w:color="auto" w:fill="auto"/>
            <w:noWrap/>
            <w:vAlign w:val="center"/>
            <w:hideMark/>
          </w:tcPr>
          <w:p w14:paraId="3D1B46E7" w14:textId="77777777" w:rsidR="006C10D2" w:rsidRPr="006653EB" w:rsidRDefault="006C10D2" w:rsidP="00E66302">
            <w:pPr>
              <w:pStyle w:val="tablazat"/>
              <w:jc w:val="center"/>
              <w:rPr>
                <w:color w:val="000000"/>
                <w:sz w:val="16"/>
                <w:szCs w:val="14"/>
              </w:rPr>
            </w:pPr>
            <w:r w:rsidRPr="006653EB">
              <w:rPr>
                <w:color w:val="000000"/>
                <w:sz w:val="16"/>
                <w:szCs w:val="14"/>
              </w:rPr>
              <w:t>6</w:t>
            </w:r>
          </w:p>
        </w:tc>
        <w:tc>
          <w:tcPr>
            <w:tcW w:w="465" w:type="dxa"/>
            <w:shd w:val="clear" w:color="auto" w:fill="auto"/>
            <w:noWrap/>
            <w:vAlign w:val="center"/>
            <w:hideMark/>
          </w:tcPr>
          <w:p w14:paraId="5A7BDA97" w14:textId="77777777" w:rsidR="006C10D2" w:rsidRPr="006653EB" w:rsidRDefault="006C10D2" w:rsidP="00E66302">
            <w:pPr>
              <w:pStyle w:val="tablazat"/>
              <w:jc w:val="center"/>
              <w:rPr>
                <w:color w:val="000000"/>
                <w:sz w:val="16"/>
                <w:szCs w:val="14"/>
              </w:rPr>
            </w:pPr>
            <w:r w:rsidRPr="006653EB">
              <w:rPr>
                <w:color w:val="000000"/>
                <w:sz w:val="16"/>
                <w:szCs w:val="14"/>
              </w:rPr>
              <w:t>3</w:t>
            </w:r>
          </w:p>
        </w:tc>
        <w:tc>
          <w:tcPr>
            <w:tcW w:w="465" w:type="dxa"/>
            <w:shd w:val="clear" w:color="auto" w:fill="auto"/>
            <w:noWrap/>
            <w:vAlign w:val="center"/>
            <w:hideMark/>
          </w:tcPr>
          <w:p w14:paraId="5C7DC86B" w14:textId="77777777" w:rsidR="006C10D2" w:rsidRPr="006653EB" w:rsidRDefault="006C10D2" w:rsidP="00E66302">
            <w:pPr>
              <w:pStyle w:val="tablazat"/>
              <w:jc w:val="center"/>
              <w:rPr>
                <w:color w:val="000000"/>
                <w:sz w:val="16"/>
                <w:szCs w:val="14"/>
              </w:rPr>
            </w:pPr>
            <w:r w:rsidRPr="006653EB">
              <w:rPr>
                <w:color w:val="000000"/>
                <w:sz w:val="16"/>
                <w:szCs w:val="14"/>
              </w:rPr>
              <w:t>4</w:t>
            </w:r>
          </w:p>
        </w:tc>
        <w:tc>
          <w:tcPr>
            <w:tcW w:w="465" w:type="dxa"/>
            <w:shd w:val="clear" w:color="auto" w:fill="auto"/>
            <w:noWrap/>
            <w:vAlign w:val="center"/>
            <w:hideMark/>
          </w:tcPr>
          <w:p w14:paraId="607E8A7C" w14:textId="77777777" w:rsidR="006C10D2" w:rsidRPr="006653EB" w:rsidRDefault="006C10D2" w:rsidP="00E66302">
            <w:pPr>
              <w:pStyle w:val="tablazat"/>
              <w:jc w:val="center"/>
              <w:rPr>
                <w:color w:val="000000"/>
                <w:sz w:val="16"/>
                <w:szCs w:val="14"/>
              </w:rPr>
            </w:pPr>
            <w:r w:rsidRPr="006653EB">
              <w:rPr>
                <w:color w:val="000000"/>
                <w:sz w:val="16"/>
                <w:szCs w:val="14"/>
              </w:rPr>
              <w:t>13</w:t>
            </w:r>
          </w:p>
        </w:tc>
        <w:tc>
          <w:tcPr>
            <w:tcW w:w="505" w:type="dxa"/>
            <w:shd w:val="clear" w:color="auto" w:fill="auto"/>
            <w:noWrap/>
            <w:vAlign w:val="center"/>
            <w:hideMark/>
          </w:tcPr>
          <w:p w14:paraId="71939A2D" w14:textId="77777777" w:rsidR="006C10D2" w:rsidRPr="006653EB" w:rsidRDefault="006C10D2" w:rsidP="00E66302">
            <w:pPr>
              <w:pStyle w:val="tablazat"/>
              <w:jc w:val="center"/>
              <w:rPr>
                <w:color w:val="000000"/>
                <w:sz w:val="16"/>
                <w:szCs w:val="14"/>
              </w:rPr>
            </w:pPr>
            <w:r w:rsidRPr="006653EB">
              <w:rPr>
                <w:color w:val="000000"/>
                <w:sz w:val="16"/>
                <w:szCs w:val="14"/>
              </w:rPr>
              <w:t>12</w:t>
            </w:r>
          </w:p>
        </w:tc>
        <w:tc>
          <w:tcPr>
            <w:tcW w:w="505" w:type="dxa"/>
            <w:shd w:val="clear" w:color="auto" w:fill="auto"/>
            <w:noWrap/>
            <w:vAlign w:val="center"/>
            <w:hideMark/>
          </w:tcPr>
          <w:p w14:paraId="468E961A" w14:textId="77777777" w:rsidR="006C10D2" w:rsidRPr="006653EB" w:rsidRDefault="006C10D2" w:rsidP="00E66302">
            <w:pPr>
              <w:pStyle w:val="tablazat"/>
              <w:jc w:val="center"/>
              <w:rPr>
                <w:color w:val="000000"/>
                <w:sz w:val="16"/>
                <w:szCs w:val="14"/>
              </w:rPr>
            </w:pPr>
            <w:r w:rsidRPr="006653EB">
              <w:rPr>
                <w:color w:val="000000"/>
                <w:sz w:val="16"/>
                <w:szCs w:val="14"/>
              </w:rPr>
              <w:t>16</w:t>
            </w:r>
          </w:p>
        </w:tc>
        <w:tc>
          <w:tcPr>
            <w:tcW w:w="505" w:type="dxa"/>
            <w:shd w:val="clear" w:color="auto" w:fill="auto"/>
            <w:noWrap/>
            <w:vAlign w:val="center"/>
            <w:hideMark/>
          </w:tcPr>
          <w:p w14:paraId="672130B2" w14:textId="77777777" w:rsidR="006C10D2" w:rsidRPr="006653EB" w:rsidRDefault="006C10D2" w:rsidP="00E66302">
            <w:pPr>
              <w:pStyle w:val="tablazat"/>
              <w:jc w:val="center"/>
              <w:rPr>
                <w:color w:val="000000"/>
                <w:sz w:val="16"/>
                <w:szCs w:val="14"/>
              </w:rPr>
            </w:pPr>
            <w:r w:rsidRPr="006653EB">
              <w:rPr>
                <w:color w:val="000000"/>
                <w:sz w:val="16"/>
                <w:szCs w:val="14"/>
              </w:rPr>
              <w:t>19</w:t>
            </w:r>
          </w:p>
        </w:tc>
        <w:tc>
          <w:tcPr>
            <w:tcW w:w="505" w:type="dxa"/>
            <w:shd w:val="clear" w:color="auto" w:fill="auto"/>
            <w:noWrap/>
            <w:vAlign w:val="center"/>
            <w:hideMark/>
          </w:tcPr>
          <w:p w14:paraId="7F5600EA" w14:textId="77777777" w:rsidR="006C10D2" w:rsidRPr="006653EB" w:rsidRDefault="006C10D2" w:rsidP="00E66302">
            <w:pPr>
              <w:pStyle w:val="tablazat"/>
              <w:jc w:val="center"/>
              <w:rPr>
                <w:color w:val="000000"/>
                <w:sz w:val="16"/>
                <w:szCs w:val="14"/>
              </w:rPr>
            </w:pPr>
            <w:r w:rsidRPr="006653EB">
              <w:rPr>
                <w:color w:val="000000"/>
                <w:sz w:val="16"/>
                <w:szCs w:val="14"/>
              </w:rPr>
              <w:t>19</w:t>
            </w:r>
          </w:p>
        </w:tc>
        <w:tc>
          <w:tcPr>
            <w:tcW w:w="505" w:type="dxa"/>
            <w:shd w:val="clear" w:color="auto" w:fill="auto"/>
            <w:noWrap/>
            <w:vAlign w:val="center"/>
            <w:hideMark/>
          </w:tcPr>
          <w:p w14:paraId="216E1290" w14:textId="77777777" w:rsidR="006C10D2" w:rsidRPr="006653EB" w:rsidRDefault="006C10D2" w:rsidP="00E66302">
            <w:pPr>
              <w:pStyle w:val="tablazat"/>
              <w:jc w:val="center"/>
              <w:rPr>
                <w:color w:val="000000"/>
                <w:sz w:val="16"/>
                <w:szCs w:val="14"/>
              </w:rPr>
            </w:pPr>
            <w:r w:rsidRPr="006653EB">
              <w:rPr>
                <w:color w:val="000000"/>
                <w:sz w:val="16"/>
                <w:szCs w:val="14"/>
              </w:rPr>
              <w:t>11</w:t>
            </w:r>
          </w:p>
        </w:tc>
        <w:tc>
          <w:tcPr>
            <w:tcW w:w="465" w:type="dxa"/>
            <w:shd w:val="clear" w:color="auto" w:fill="auto"/>
            <w:noWrap/>
            <w:vAlign w:val="center"/>
            <w:hideMark/>
          </w:tcPr>
          <w:p w14:paraId="16CAD40A" w14:textId="77777777" w:rsidR="006C10D2" w:rsidRPr="006653EB" w:rsidRDefault="006C10D2" w:rsidP="00E66302">
            <w:pPr>
              <w:pStyle w:val="tablazat"/>
              <w:jc w:val="center"/>
              <w:rPr>
                <w:color w:val="000000"/>
                <w:sz w:val="16"/>
                <w:szCs w:val="14"/>
              </w:rPr>
            </w:pPr>
            <w:r w:rsidRPr="006653EB">
              <w:rPr>
                <w:color w:val="000000"/>
                <w:sz w:val="16"/>
                <w:szCs w:val="14"/>
              </w:rPr>
              <w:t>8</w:t>
            </w:r>
          </w:p>
        </w:tc>
        <w:tc>
          <w:tcPr>
            <w:tcW w:w="505" w:type="dxa"/>
            <w:shd w:val="clear" w:color="auto" w:fill="auto"/>
            <w:noWrap/>
            <w:vAlign w:val="center"/>
            <w:hideMark/>
          </w:tcPr>
          <w:p w14:paraId="7E35402C" w14:textId="77777777" w:rsidR="006C10D2" w:rsidRPr="006653EB" w:rsidRDefault="006C10D2" w:rsidP="00E66302">
            <w:pPr>
              <w:pStyle w:val="tablazat"/>
              <w:jc w:val="center"/>
              <w:rPr>
                <w:color w:val="000000"/>
                <w:sz w:val="16"/>
                <w:szCs w:val="14"/>
              </w:rPr>
            </w:pPr>
            <w:r w:rsidRPr="006653EB">
              <w:rPr>
                <w:color w:val="000000"/>
                <w:sz w:val="16"/>
                <w:szCs w:val="14"/>
              </w:rPr>
              <w:t>11</w:t>
            </w:r>
          </w:p>
        </w:tc>
        <w:tc>
          <w:tcPr>
            <w:tcW w:w="597" w:type="dxa"/>
            <w:shd w:val="clear" w:color="auto" w:fill="auto"/>
            <w:noWrap/>
            <w:vAlign w:val="center"/>
            <w:hideMark/>
          </w:tcPr>
          <w:p w14:paraId="5BEBCF32" w14:textId="77777777" w:rsidR="006C10D2" w:rsidRPr="006653EB" w:rsidRDefault="006C10D2" w:rsidP="00E66302">
            <w:pPr>
              <w:pStyle w:val="tablazat"/>
              <w:jc w:val="center"/>
              <w:rPr>
                <w:b/>
                <w:bCs/>
                <w:color w:val="000000"/>
                <w:sz w:val="16"/>
                <w:szCs w:val="14"/>
              </w:rPr>
            </w:pPr>
            <w:r w:rsidRPr="006653EB">
              <w:rPr>
                <w:b/>
                <w:bCs/>
                <w:color w:val="000000"/>
                <w:sz w:val="16"/>
                <w:szCs w:val="14"/>
              </w:rPr>
              <w:t>151</w:t>
            </w:r>
          </w:p>
        </w:tc>
      </w:tr>
      <w:tr w:rsidR="006C10D2" w:rsidRPr="006653EB" w14:paraId="2DEF34BA" w14:textId="77777777" w:rsidTr="00D57C71">
        <w:trPr>
          <w:trHeight w:val="255"/>
        </w:trPr>
        <w:tc>
          <w:tcPr>
            <w:tcW w:w="1418" w:type="dxa"/>
            <w:shd w:val="clear" w:color="auto" w:fill="auto"/>
            <w:noWrap/>
            <w:vAlign w:val="center"/>
            <w:hideMark/>
          </w:tcPr>
          <w:p w14:paraId="2B6DF78E" w14:textId="77777777" w:rsidR="006C10D2" w:rsidRPr="006653EB" w:rsidRDefault="006C10D2" w:rsidP="00E66302">
            <w:pPr>
              <w:pStyle w:val="tablazat"/>
              <w:rPr>
                <w:color w:val="000000"/>
                <w:sz w:val="16"/>
                <w:szCs w:val="14"/>
              </w:rPr>
            </w:pPr>
            <w:r w:rsidRPr="006653EB">
              <w:rPr>
                <w:color w:val="000000"/>
                <w:sz w:val="16"/>
                <w:szCs w:val="14"/>
              </w:rPr>
              <w:t xml:space="preserve">Új lakások </w:t>
            </w:r>
          </w:p>
        </w:tc>
        <w:tc>
          <w:tcPr>
            <w:tcW w:w="465" w:type="dxa"/>
            <w:shd w:val="clear" w:color="auto" w:fill="auto"/>
            <w:noWrap/>
            <w:vAlign w:val="center"/>
            <w:hideMark/>
          </w:tcPr>
          <w:p w14:paraId="34BEC619" w14:textId="77777777" w:rsidR="006C10D2" w:rsidRPr="006653EB" w:rsidRDefault="006C10D2" w:rsidP="00E66302">
            <w:pPr>
              <w:pStyle w:val="tablazat"/>
              <w:jc w:val="center"/>
              <w:rPr>
                <w:color w:val="000000"/>
                <w:sz w:val="16"/>
                <w:szCs w:val="14"/>
              </w:rPr>
            </w:pPr>
            <w:r w:rsidRPr="006653EB">
              <w:rPr>
                <w:color w:val="000000"/>
                <w:sz w:val="16"/>
                <w:szCs w:val="14"/>
              </w:rPr>
              <w:t>269</w:t>
            </w:r>
          </w:p>
        </w:tc>
        <w:tc>
          <w:tcPr>
            <w:tcW w:w="465" w:type="dxa"/>
            <w:shd w:val="clear" w:color="auto" w:fill="auto"/>
            <w:noWrap/>
            <w:vAlign w:val="center"/>
            <w:hideMark/>
          </w:tcPr>
          <w:p w14:paraId="15C28550" w14:textId="77777777" w:rsidR="006C10D2" w:rsidRPr="006653EB" w:rsidRDefault="006C10D2" w:rsidP="00E66302">
            <w:pPr>
              <w:pStyle w:val="tablazat"/>
              <w:jc w:val="center"/>
              <w:rPr>
                <w:color w:val="000000"/>
                <w:sz w:val="16"/>
                <w:szCs w:val="14"/>
              </w:rPr>
            </w:pPr>
            <w:r w:rsidRPr="006653EB">
              <w:rPr>
                <w:color w:val="000000"/>
                <w:sz w:val="16"/>
                <w:szCs w:val="14"/>
              </w:rPr>
              <w:t>15</w:t>
            </w:r>
          </w:p>
        </w:tc>
        <w:tc>
          <w:tcPr>
            <w:tcW w:w="505" w:type="dxa"/>
            <w:shd w:val="clear" w:color="auto" w:fill="auto"/>
            <w:noWrap/>
            <w:vAlign w:val="center"/>
            <w:hideMark/>
          </w:tcPr>
          <w:p w14:paraId="6281102F" w14:textId="77777777" w:rsidR="006C10D2" w:rsidRPr="006653EB" w:rsidRDefault="006C10D2" w:rsidP="00E66302">
            <w:pPr>
              <w:pStyle w:val="tablazat"/>
              <w:jc w:val="center"/>
              <w:rPr>
                <w:color w:val="000000"/>
                <w:sz w:val="16"/>
                <w:szCs w:val="14"/>
              </w:rPr>
            </w:pPr>
            <w:r w:rsidRPr="006653EB">
              <w:rPr>
                <w:color w:val="000000"/>
                <w:sz w:val="16"/>
                <w:szCs w:val="14"/>
              </w:rPr>
              <w:t>23</w:t>
            </w:r>
          </w:p>
        </w:tc>
        <w:tc>
          <w:tcPr>
            <w:tcW w:w="505" w:type="dxa"/>
            <w:shd w:val="clear" w:color="auto" w:fill="auto"/>
            <w:noWrap/>
            <w:vAlign w:val="center"/>
            <w:hideMark/>
          </w:tcPr>
          <w:p w14:paraId="0C56D386" w14:textId="77777777" w:rsidR="006C10D2" w:rsidRPr="006653EB" w:rsidRDefault="006C10D2" w:rsidP="00E66302">
            <w:pPr>
              <w:pStyle w:val="tablazat"/>
              <w:jc w:val="center"/>
              <w:rPr>
                <w:color w:val="000000"/>
                <w:sz w:val="16"/>
                <w:szCs w:val="14"/>
              </w:rPr>
            </w:pPr>
            <w:r w:rsidRPr="006653EB">
              <w:rPr>
                <w:color w:val="000000"/>
                <w:sz w:val="16"/>
                <w:szCs w:val="14"/>
              </w:rPr>
              <w:t>81</w:t>
            </w:r>
          </w:p>
        </w:tc>
        <w:tc>
          <w:tcPr>
            <w:tcW w:w="505" w:type="dxa"/>
            <w:shd w:val="clear" w:color="auto" w:fill="auto"/>
            <w:noWrap/>
            <w:vAlign w:val="center"/>
            <w:hideMark/>
          </w:tcPr>
          <w:p w14:paraId="79FD81CF" w14:textId="77777777" w:rsidR="006C10D2" w:rsidRPr="006653EB" w:rsidRDefault="006C10D2" w:rsidP="00E66302">
            <w:pPr>
              <w:pStyle w:val="tablazat"/>
              <w:jc w:val="center"/>
              <w:rPr>
                <w:color w:val="000000"/>
                <w:sz w:val="16"/>
                <w:szCs w:val="14"/>
              </w:rPr>
            </w:pPr>
            <w:r w:rsidRPr="006653EB">
              <w:rPr>
                <w:color w:val="000000"/>
                <w:sz w:val="16"/>
                <w:szCs w:val="14"/>
              </w:rPr>
              <w:t>0</w:t>
            </w:r>
          </w:p>
        </w:tc>
        <w:tc>
          <w:tcPr>
            <w:tcW w:w="465" w:type="dxa"/>
            <w:shd w:val="clear" w:color="auto" w:fill="auto"/>
            <w:noWrap/>
            <w:vAlign w:val="center"/>
            <w:hideMark/>
          </w:tcPr>
          <w:p w14:paraId="0D69E301" w14:textId="77777777" w:rsidR="006C10D2" w:rsidRPr="006653EB" w:rsidRDefault="006C10D2" w:rsidP="00E66302">
            <w:pPr>
              <w:pStyle w:val="tablazat"/>
              <w:jc w:val="center"/>
              <w:rPr>
                <w:color w:val="000000"/>
                <w:sz w:val="16"/>
                <w:szCs w:val="14"/>
              </w:rPr>
            </w:pPr>
            <w:r w:rsidRPr="006653EB">
              <w:rPr>
                <w:color w:val="000000"/>
                <w:sz w:val="16"/>
                <w:szCs w:val="14"/>
              </w:rPr>
              <w:t>114</w:t>
            </w:r>
          </w:p>
        </w:tc>
        <w:tc>
          <w:tcPr>
            <w:tcW w:w="505" w:type="dxa"/>
            <w:shd w:val="clear" w:color="auto" w:fill="auto"/>
            <w:noWrap/>
            <w:vAlign w:val="center"/>
            <w:hideMark/>
          </w:tcPr>
          <w:p w14:paraId="32365A22" w14:textId="77777777" w:rsidR="006C10D2" w:rsidRPr="006653EB" w:rsidRDefault="006C10D2" w:rsidP="00E66302">
            <w:pPr>
              <w:pStyle w:val="tablazat"/>
              <w:jc w:val="center"/>
              <w:rPr>
                <w:color w:val="000000"/>
                <w:sz w:val="16"/>
                <w:szCs w:val="14"/>
              </w:rPr>
            </w:pPr>
            <w:r w:rsidRPr="006653EB">
              <w:rPr>
                <w:color w:val="000000"/>
                <w:sz w:val="16"/>
                <w:szCs w:val="14"/>
              </w:rPr>
              <w:t>184</w:t>
            </w:r>
          </w:p>
        </w:tc>
        <w:tc>
          <w:tcPr>
            <w:tcW w:w="465" w:type="dxa"/>
            <w:shd w:val="clear" w:color="auto" w:fill="auto"/>
            <w:noWrap/>
            <w:vAlign w:val="center"/>
            <w:hideMark/>
          </w:tcPr>
          <w:p w14:paraId="6A2C89BD" w14:textId="77777777" w:rsidR="006C10D2" w:rsidRPr="006653EB" w:rsidRDefault="006C10D2" w:rsidP="00E66302">
            <w:pPr>
              <w:pStyle w:val="tablazat"/>
              <w:jc w:val="center"/>
              <w:rPr>
                <w:color w:val="000000"/>
                <w:sz w:val="16"/>
                <w:szCs w:val="14"/>
              </w:rPr>
            </w:pPr>
            <w:r w:rsidRPr="006653EB">
              <w:rPr>
                <w:color w:val="000000"/>
                <w:sz w:val="16"/>
                <w:szCs w:val="14"/>
              </w:rPr>
              <w:t>178</w:t>
            </w:r>
          </w:p>
        </w:tc>
        <w:tc>
          <w:tcPr>
            <w:tcW w:w="465" w:type="dxa"/>
            <w:shd w:val="clear" w:color="auto" w:fill="auto"/>
            <w:noWrap/>
            <w:vAlign w:val="center"/>
            <w:hideMark/>
          </w:tcPr>
          <w:p w14:paraId="49AD0B20" w14:textId="77777777" w:rsidR="006C10D2" w:rsidRPr="006653EB" w:rsidRDefault="006C10D2" w:rsidP="00E66302">
            <w:pPr>
              <w:pStyle w:val="tablazat"/>
              <w:jc w:val="center"/>
              <w:rPr>
                <w:color w:val="000000"/>
                <w:sz w:val="16"/>
                <w:szCs w:val="14"/>
              </w:rPr>
            </w:pPr>
            <w:r w:rsidRPr="006653EB">
              <w:rPr>
                <w:color w:val="000000"/>
                <w:sz w:val="16"/>
                <w:szCs w:val="14"/>
              </w:rPr>
              <w:t>104</w:t>
            </w:r>
          </w:p>
        </w:tc>
        <w:tc>
          <w:tcPr>
            <w:tcW w:w="465" w:type="dxa"/>
            <w:shd w:val="clear" w:color="auto" w:fill="auto"/>
            <w:noWrap/>
            <w:vAlign w:val="center"/>
            <w:hideMark/>
          </w:tcPr>
          <w:p w14:paraId="0E90A0F2" w14:textId="77777777" w:rsidR="006C10D2" w:rsidRPr="006653EB" w:rsidRDefault="006C10D2" w:rsidP="00E66302">
            <w:pPr>
              <w:pStyle w:val="tablazat"/>
              <w:jc w:val="center"/>
              <w:rPr>
                <w:color w:val="000000"/>
                <w:sz w:val="16"/>
                <w:szCs w:val="14"/>
              </w:rPr>
            </w:pPr>
            <w:r w:rsidRPr="006653EB">
              <w:rPr>
                <w:color w:val="000000"/>
                <w:sz w:val="16"/>
                <w:szCs w:val="14"/>
              </w:rPr>
              <w:t>97</w:t>
            </w:r>
          </w:p>
        </w:tc>
        <w:tc>
          <w:tcPr>
            <w:tcW w:w="465" w:type="dxa"/>
            <w:shd w:val="clear" w:color="auto" w:fill="auto"/>
            <w:noWrap/>
            <w:vAlign w:val="center"/>
            <w:hideMark/>
          </w:tcPr>
          <w:p w14:paraId="5D7B20FB" w14:textId="77777777" w:rsidR="006C10D2" w:rsidRPr="006653EB" w:rsidRDefault="006C10D2" w:rsidP="00E66302">
            <w:pPr>
              <w:pStyle w:val="tablazat"/>
              <w:jc w:val="center"/>
              <w:rPr>
                <w:color w:val="000000"/>
                <w:sz w:val="16"/>
                <w:szCs w:val="14"/>
              </w:rPr>
            </w:pPr>
            <w:r w:rsidRPr="006653EB">
              <w:rPr>
                <w:color w:val="000000"/>
                <w:sz w:val="16"/>
                <w:szCs w:val="14"/>
              </w:rPr>
              <w:t>591</w:t>
            </w:r>
          </w:p>
        </w:tc>
        <w:tc>
          <w:tcPr>
            <w:tcW w:w="505" w:type="dxa"/>
            <w:shd w:val="clear" w:color="auto" w:fill="auto"/>
            <w:noWrap/>
            <w:vAlign w:val="center"/>
            <w:hideMark/>
          </w:tcPr>
          <w:p w14:paraId="57AD1872" w14:textId="77777777" w:rsidR="006C10D2" w:rsidRPr="006653EB" w:rsidRDefault="006C10D2" w:rsidP="00E66302">
            <w:pPr>
              <w:pStyle w:val="tablazat"/>
              <w:jc w:val="center"/>
              <w:rPr>
                <w:color w:val="000000"/>
                <w:sz w:val="16"/>
                <w:szCs w:val="14"/>
              </w:rPr>
            </w:pPr>
            <w:r w:rsidRPr="006653EB">
              <w:rPr>
                <w:color w:val="000000"/>
                <w:sz w:val="16"/>
                <w:szCs w:val="14"/>
              </w:rPr>
              <w:t>504</w:t>
            </w:r>
          </w:p>
        </w:tc>
        <w:tc>
          <w:tcPr>
            <w:tcW w:w="505" w:type="dxa"/>
            <w:shd w:val="clear" w:color="auto" w:fill="auto"/>
            <w:noWrap/>
            <w:vAlign w:val="center"/>
            <w:hideMark/>
          </w:tcPr>
          <w:p w14:paraId="268FB065" w14:textId="77777777" w:rsidR="006C10D2" w:rsidRPr="006653EB" w:rsidRDefault="006C10D2" w:rsidP="00E66302">
            <w:pPr>
              <w:pStyle w:val="tablazat"/>
              <w:jc w:val="center"/>
              <w:rPr>
                <w:color w:val="000000"/>
                <w:sz w:val="16"/>
                <w:szCs w:val="14"/>
              </w:rPr>
            </w:pPr>
            <w:r w:rsidRPr="006653EB">
              <w:rPr>
                <w:color w:val="000000"/>
                <w:sz w:val="16"/>
                <w:szCs w:val="14"/>
              </w:rPr>
              <w:t>625</w:t>
            </w:r>
          </w:p>
        </w:tc>
        <w:tc>
          <w:tcPr>
            <w:tcW w:w="505" w:type="dxa"/>
            <w:shd w:val="clear" w:color="auto" w:fill="auto"/>
            <w:noWrap/>
            <w:vAlign w:val="center"/>
            <w:hideMark/>
          </w:tcPr>
          <w:p w14:paraId="716EEA81" w14:textId="77777777" w:rsidR="006C10D2" w:rsidRPr="006653EB" w:rsidRDefault="006C10D2" w:rsidP="00E66302">
            <w:pPr>
              <w:pStyle w:val="tablazat"/>
              <w:jc w:val="center"/>
              <w:rPr>
                <w:color w:val="000000"/>
                <w:sz w:val="16"/>
                <w:szCs w:val="14"/>
              </w:rPr>
            </w:pPr>
            <w:r w:rsidRPr="006653EB">
              <w:rPr>
                <w:color w:val="000000"/>
                <w:sz w:val="16"/>
                <w:szCs w:val="14"/>
              </w:rPr>
              <w:t>685</w:t>
            </w:r>
          </w:p>
        </w:tc>
        <w:tc>
          <w:tcPr>
            <w:tcW w:w="505" w:type="dxa"/>
            <w:shd w:val="clear" w:color="auto" w:fill="auto"/>
            <w:noWrap/>
            <w:vAlign w:val="center"/>
            <w:hideMark/>
          </w:tcPr>
          <w:p w14:paraId="47275292" w14:textId="77777777" w:rsidR="006C10D2" w:rsidRPr="006653EB" w:rsidRDefault="006C10D2" w:rsidP="00E66302">
            <w:pPr>
              <w:pStyle w:val="tablazat"/>
              <w:jc w:val="center"/>
              <w:rPr>
                <w:color w:val="000000"/>
                <w:sz w:val="16"/>
                <w:szCs w:val="14"/>
              </w:rPr>
            </w:pPr>
            <w:r w:rsidRPr="006653EB">
              <w:rPr>
                <w:color w:val="000000"/>
                <w:sz w:val="16"/>
                <w:szCs w:val="14"/>
              </w:rPr>
              <w:t>1270</w:t>
            </w:r>
          </w:p>
        </w:tc>
        <w:tc>
          <w:tcPr>
            <w:tcW w:w="505" w:type="dxa"/>
            <w:shd w:val="clear" w:color="auto" w:fill="auto"/>
            <w:noWrap/>
            <w:vAlign w:val="center"/>
            <w:hideMark/>
          </w:tcPr>
          <w:p w14:paraId="4A9780AF" w14:textId="77777777" w:rsidR="006C10D2" w:rsidRPr="006653EB" w:rsidRDefault="006C10D2" w:rsidP="00E66302">
            <w:pPr>
              <w:pStyle w:val="tablazat"/>
              <w:jc w:val="center"/>
              <w:rPr>
                <w:color w:val="000000"/>
                <w:sz w:val="16"/>
                <w:szCs w:val="14"/>
              </w:rPr>
            </w:pPr>
            <w:r w:rsidRPr="006653EB">
              <w:rPr>
                <w:color w:val="000000"/>
                <w:sz w:val="16"/>
                <w:szCs w:val="14"/>
              </w:rPr>
              <w:t>530</w:t>
            </w:r>
          </w:p>
        </w:tc>
        <w:tc>
          <w:tcPr>
            <w:tcW w:w="465" w:type="dxa"/>
            <w:shd w:val="clear" w:color="auto" w:fill="auto"/>
            <w:noWrap/>
            <w:vAlign w:val="center"/>
            <w:hideMark/>
          </w:tcPr>
          <w:p w14:paraId="313084A7" w14:textId="77777777" w:rsidR="006C10D2" w:rsidRPr="006653EB" w:rsidRDefault="006C10D2" w:rsidP="00E66302">
            <w:pPr>
              <w:pStyle w:val="tablazat"/>
              <w:jc w:val="center"/>
              <w:rPr>
                <w:color w:val="000000"/>
                <w:sz w:val="16"/>
                <w:szCs w:val="14"/>
              </w:rPr>
            </w:pPr>
            <w:r w:rsidRPr="006653EB">
              <w:rPr>
                <w:color w:val="000000"/>
                <w:sz w:val="16"/>
                <w:szCs w:val="14"/>
              </w:rPr>
              <w:t>619</w:t>
            </w:r>
          </w:p>
        </w:tc>
        <w:tc>
          <w:tcPr>
            <w:tcW w:w="505" w:type="dxa"/>
            <w:shd w:val="clear" w:color="auto" w:fill="auto"/>
            <w:noWrap/>
            <w:vAlign w:val="center"/>
            <w:hideMark/>
          </w:tcPr>
          <w:p w14:paraId="2D5DD4A9" w14:textId="77777777" w:rsidR="006C10D2" w:rsidRPr="006653EB" w:rsidRDefault="006C10D2" w:rsidP="00E66302">
            <w:pPr>
              <w:pStyle w:val="tablazat"/>
              <w:jc w:val="center"/>
              <w:rPr>
                <w:color w:val="000000"/>
                <w:sz w:val="16"/>
                <w:szCs w:val="14"/>
              </w:rPr>
            </w:pPr>
            <w:r w:rsidRPr="006653EB">
              <w:rPr>
                <w:color w:val="000000"/>
                <w:sz w:val="16"/>
                <w:szCs w:val="14"/>
              </w:rPr>
              <w:t>531</w:t>
            </w:r>
          </w:p>
        </w:tc>
        <w:tc>
          <w:tcPr>
            <w:tcW w:w="597" w:type="dxa"/>
            <w:shd w:val="clear" w:color="auto" w:fill="auto"/>
            <w:noWrap/>
            <w:vAlign w:val="center"/>
            <w:hideMark/>
          </w:tcPr>
          <w:p w14:paraId="03B410A5" w14:textId="77777777" w:rsidR="006C10D2" w:rsidRPr="006653EB" w:rsidRDefault="006C10D2" w:rsidP="00E66302">
            <w:pPr>
              <w:pStyle w:val="tablazat"/>
              <w:jc w:val="center"/>
              <w:rPr>
                <w:b/>
                <w:bCs/>
                <w:color w:val="000000"/>
                <w:sz w:val="16"/>
                <w:szCs w:val="14"/>
              </w:rPr>
            </w:pPr>
            <w:r w:rsidRPr="006653EB">
              <w:rPr>
                <w:b/>
                <w:bCs/>
                <w:color w:val="000000"/>
                <w:sz w:val="16"/>
                <w:szCs w:val="14"/>
              </w:rPr>
              <w:t>6420</w:t>
            </w:r>
          </w:p>
        </w:tc>
      </w:tr>
      <w:tr w:rsidR="006C10D2" w:rsidRPr="006653EB" w14:paraId="28CD8C64" w14:textId="77777777" w:rsidTr="00D57C71">
        <w:trPr>
          <w:trHeight w:val="255"/>
        </w:trPr>
        <w:tc>
          <w:tcPr>
            <w:tcW w:w="1418" w:type="dxa"/>
            <w:shd w:val="clear" w:color="auto" w:fill="auto"/>
            <w:noWrap/>
            <w:vAlign w:val="center"/>
            <w:hideMark/>
          </w:tcPr>
          <w:p w14:paraId="4CC6928B" w14:textId="77777777" w:rsidR="006C10D2" w:rsidRPr="006653EB" w:rsidRDefault="006C10D2" w:rsidP="00E66302">
            <w:pPr>
              <w:pStyle w:val="tablazat"/>
              <w:rPr>
                <w:color w:val="000000"/>
                <w:sz w:val="16"/>
                <w:szCs w:val="14"/>
              </w:rPr>
            </w:pPr>
            <w:r w:rsidRPr="006653EB">
              <w:rPr>
                <w:color w:val="000000"/>
                <w:sz w:val="16"/>
                <w:szCs w:val="14"/>
              </w:rPr>
              <w:t>Elbontott épületek</w:t>
            </w:r>
          </w:p>
        </w:tc>
        <w:tc>
          <w:tcPr>
            <w:tcW w:w="465" w:type="dxa"/>
            <w:shd w:val="clear" w:color="auto" w:fill="auto"/>
            <w:noWrap/>
            <w:vAlign w:val="center"/>
            <w:hideMark/>
          </w:tcPr>
          <w:p w14:paraId="78F0C991" w14:textId="77777777" w:rsidR="006C10D2" w:rsidRPr="006653EB" w:rsidRDefault="006C10D2" w:rsidP="00E66302">
            <w:pPr>
              <w:pStyle w:val="tablazat"/>
              <w:jc w:val="center"/>
              <w:rPr>
                <w:color w:val="000000"/>
                <w:sz w:val="16"/>
                <w:szCs w:val="14"/>
              </w:rPr>
            </w:pPr>
            <w:r w:rsidRPr="006653EB">
              <w:rPr>
                <w:color w:val="000000"/>
                <w:sz w:val="16"/>
                <w:szCs w:val="14"/>
              </w:rPr>
              <w:t>7</w:t>
            </w:r>
          </w:p>
        </w:tc>
        <w:tc>
          <w:tcPr>
            <w:tcW w:w="465" w:type="dxa"/>
            <w:shd w:val="clear" w:color="auto" w:fill="auto"/>
            <w:noWrap/>
            <w:vAlign w:val="center"/>
            <w:hideMark/>
          </w:tcPr>
          <w:p w14:paraId="4871AF2B" w14:textId="77777777" w:rsidR="006C10D2" w:rsidRPr="006653EB" w:rsidRDefault="006C10D2" w:rsidP="00E66302">
            <w:pPr>
              <w:pStyle w:val="tablazat"/>
              <w:jc w:val="center"/>
              <w:rPr>
                <w:color w:val="000000"/>
                <w:sz w:val="16"/>
                <w:szCs w:val="14"/>
              </w:rPr>
            </w:pPr>
            <w:r w:rsidRPr="006653EB">
              <w:rPr>
                <w:color w:val="000000"/>
                <w:sz w:val="16"/>
                <w:szCs w:val="14"/>
              </w:rPr>
              <w:t>5</w:t>
            </w:r>
          </w:p>
        </w:tc>
        <w:tc>
          <w:tcPr>
            <w:tcW w:w="505" w:type="dxa"/>
            <w:shd w:val="clear" w:color="auto" w:fill="auto"/>
            <w:noWrap/>
            <w:vAlign w:val="center"/>
            <w:hideMark/>
          </w:tcPr>
          <w:p w14:paraId="4C59E940" w14:textId="77777777" w:rsidR="006C10D2" w:rsidRPr="006653EB" w:rsidRDefault="006C10D2" w:rsidP="00E66302">
            <w:pPr>
              <w:pStyle w:val="tablazat"/>
              <w:jc w:val="center"/>
              <w:rPr>
                <w:color w:val="000000"/>
                <w:sz w:val="16"/>
                <w:szCs w:val="14"/>
              </w:rPr>
            </w:pPr>
            <w:r w:rsidRPr="006653EB">
              <w:rPr>
                <w:color w:val="000000"/>
                <w:sz w:val="16"/>
                <w:szCs w:val="14"/>
              </w:rPr>
              <w:t>6</w:t>
            </w:r>
          </w:p>
        </w:tc>
        <w:tc>
          <w:tcPr>
            <w:tcW w:w="505" w:type="dxa"/>
            <w:shd w:val="clear" w:color="auto" w:fill="auto"/>
            <w:noWrap/>
            <w:vAlign w:val="center"/>
            <w:hideMark/>
          </w:tcPr>
          <w:p w14:paraId="305613EB" w14:textId="77777777" w:rsidR="006C10D2" w:rsidRPr="006653EB" w:rsidRDefault="006C10D2" w:rsidP="00E66302">
            <w:pPr>
              <w:pStyle w:val="tablazat"/>
              <w:jc w:val="center"/>
              <w:rPr>
                <w:color w:val="000000"/>
                <w:sz w:val="16"/>
                <w:szCs w:val="14"/>
              </w:rPr>
            </w:pPr>
            <w:r w:rsidRPr="006653EB">
              <w:rPr>
                <w:color w:val="000000"/>
                <w:sz w:val="16"/>
                <w:szCs w:val="14"/>
              </w:rPr>
              <w:t>14</w:t>
            </w:r>
          </w:p>
        </w:tc>
        <w:tc>
          <w:tcPr>
            <w:tcW w:w="505" w:type="dxa"/>
            <w:shd w:val="clear" w:color="auto" w:fill="auto"/>
            <w:noWrap/>
            <w:vAlign w:val="center"/>
            <w:hideMark/>
          </w:tcPr>
          <w:p w14:paraId="7146E5C6" w14:textId="77777777" w:rsidR="006C10D2" w:rsidRPr="006653EB" w:rsidRDefault="006C10D2" w:rsidP="00E66302">
            <w:pPr>
              <w:pStyle w:val="tablazat"/>
              <w:jc w:val="center"/>
              <w:rPr>
                <w:color w:val="000000"/>
                <w:sz w:val="16"/>
                <w:szCs w:val="14"/>
              </w:rPr>
            </w:pPr>
            <w:r w:rsidRPr="006653EB">
              <w:rPr>
                <w:color w:val="000000"/>
                <w:sz w:val="16"/>
                <w:szCs w:val="14"/>
              </w:rPr>
              <w:t>15</w:t>
            </w:r>
          </w:p>
        </w:tc>
        <w:tc>
          <w:tcPr>
            <w:tcW w:w="465" w:type="dxa"/>
            <w:shd w:val="clear" w:color="auto" w:fill="auto"/>
            <w:noWrap/>
            <w:vAlign w:val="center"/>
            <w:hideMark/>
          </w:tcPr>
          <w:p w14:paraId="47E9E11A" w14:textId="77777777" w:rsidR="006C10D2" w:rsidRPr="006653EB" w:rsidRDefault="006C10D2" w:rsidP="00E66302">
            <w:pPr>
              <w:pStyle w:val="tablazat"/>
              <w:jc w:val="center"/>
              <w:rPr>
                <w:color w:val="000000"/>
                <w:sz w:val="16"/>
                <w:szCs w:val="14"/>
              </w:rPr>
            </w:pPr>
            <w:r w:rsidRPr="006653EB">
              <w:rPr>
                <w:color w:val="000000"/>
                <w:sz w:val="16"/>
                <w:szCs w:val="14"/>
              </w:rPr>
              <w:t>6</w:t>
            </w:r>
          </w:p>
        </w:tc>
        <w:tc>
          <w:tcPr>
            <w:tcW w:w="505" w:type="dxa"/>
            <w:shd w:val="clear" w:color="auto" w:fill="auto"/>
            <w:noWrap/>
            <w:vAlign w:val="center"/>
            <w:hideMark/>
          </w:tcPr>
          <w:p w14:paraId="726D8C2B" w14:textId="77777777" w:rsidR="006C10D2" w:rsidRPr="006653EB" w:rsidRDefault="006C10D2" w:rsidP="00E66302">
            <w:pPr>
              <w:pStyle w:val="tablazat"/>
              <w:jc w:val="center"/>
              <w:rPr>
                <w:color w:val="000000"/>
                <w:sz w:val="16"/>
                <w:szCs w:val="14"/>
              </w:rPr>
            </w:pPr>
            <w:r w:rsidRPr="006653EB">
              <w:rPr>
                <w:color w:val="000000"/>
                <w:sz w:val="16"/>
                <w:szCs w:val="14"/>
              </w:rPr>
              <w:t>2</w:t>
            </w:r>
          </w:p>
        </w:tc>
        <w:tc>
          <w:tcPr>
            <w:tcW w:w="465" w:type="dxa"/>
            <w:shd w:val="clear" w:color="auto" w:fill="auto"/>
            <w:noWrap/>
            <w:vAlign w:val="center"/>
            <w:hideMark/>
          </w:tcPr>
          <w:p w14:paraId="6FA732C6" w14:textId="77777777" w:rsidR="006C10D2" w:rsidRPr="006653EB" w:rsidRDefault="006C10D2" w:rsidP="00E66302">
            <w:pPr>
              <w:pStyle w:val="tablazat"/>
              <w:jc w:val="center"/>
              <w:rPr>
                <w:color w:val="000000"/>
                <w:sz w:val="16"/>
                <w:szCs w:val="14"/>
              </w:rPr>
            </w:pPr>
            <w:r w:rsidRPr="006653EB">
              <w:rPr>
                <w:color w:val="000000"/>
                <w:sz w:val="16"/>
                <w:szCs w:val="14"/>
              </w:rPr>
              <w:t>3</w:t>
            </w:r>
          </w:p>
        </w:tc>
        <w:tc>
          <w:tcPr>
            <w:tcW w:w="465" w:type="dxa"/>
            <w:shd w:val="clear" w:color="auto" w:fill="auto"/>
            <w:noWrap/>
            <w:vAlign w:val="center"/>
            <w:hideMark/>
          </w:tcPr>
          <w:p w14:paraId="7C53B828" w14:textId="77777777" w:rsidR="006C10D2" w:rsidRPr="006653EB" w:rsidRDefault="006C10D2" w:rsidP="00E66302">
            <w:pPr>
              <w:pStyle w:val="tablazat"/>
              <w:jc w:val="center"/>
              <w:rPr>
                <w:color w:val="000000"/>
                <w:sz w:val="16"/>
                <w:szCs w:val="14"/>
              </w:rPr>
            </w:pPr>
            <w:r w:rsidRPr="006653EB">
              <w:rPr>
                <w:color w:val="000000"/>
                <w:sz w:val="16"/>
                <w:szCs w:val="14"/>
              </w:rPr>
              <w:t>4</w:t>
            </w:r>
          </w:p>
        </w:tc>
        <w:tc>
          <w:tcPr>
            <w:tcW w:w="465" w:type="dxa"/>
            <w:shd w:val="clear" w:color="auto" w:fill="auto"/>
            <w:noWrap/>
            <w:vAlign w:val="center"/>
            <w:hideMark/>
          </w:tcPr>
          <w:p w14:paraId="32CCDBD4" w14:textId="77777777" w:rsidR="006C10D2" w:rsidRPr="006653EB" w:rsidRDefault="006C10D2" w:rsidP="00E66302">
            <w:pPr>
              <w:pStyle w:val="tablazat"/>
              <w:jc w:val="center"/>
              <w:rPr>
                <w:color w:val="000000"/>
                <w:sz w:val="16"/>
                <w:szCs w:val="14"/>
              </w:rPr>
            </w:pPr>
            <w:r w:rsidRPr="006653EB">
              <w:rPr>
                <w:color w:val="000000"/>
                <w:sz w:val="16"/>
                <w:szCs w:val="14"/>
              </w:rPr>
              <w:t>4</w:t>
            </w:r>
          </w:p>
        </w:tc>
        <w:tc>
          <w:tcPr>
            <w:tcW w:w="465" w:type="dxa"/>
            <w:shd w:val="clear" w:color="auto" w:fill="auto"/>
            <w:noWrap/>
            <w:vAlign w:val="center"/>
            <w:hideMark/>
          </w:tcPr>
          <w:p w14:paraId="781A333F" w14:textId="77777777" w:rsidR="006C10D2" w:rsidRPr="006653EB" w:rsidRDefault="006C10D2" w:rsidP="00E66302">
            <w:pPr>
              <w:pStyle w:val="tablazat"/>
              <w:jc w:val="center"/>
              <w:rPr>
                <w:color w:val="000000"/>
                <w:sz w:val="16"/>
                <w:szCs w:val="14"/>
              </w:rPr>
            </w:pPr>
            <w:r w:rsidRPr="006653EB">
              <w:rPr>
                <w:color w:val="000000"/>
                <w:sz w:val="16"/>
                <w:szCs w:val="14"/>
              </w:rPr>
              <w:t>14</w:t>
            </w:r>
          </w:p>
        </w:tc>
        <w:tc>
          <w:tcPr>
            <w:tcW w:w="505" w:type="dxa"/>
            <w:shd w:val="clear" w:color="auto" w:fill="auto"/>
            <w:noWrap/>
            <w:vAlign w:val="center"/>
            <w:hideMark/>
          </w:tcPr>
          <w:p w14:paraId="202CF2EC" w14:textId="77777777" w:rsidR="006C10D2" w:rsidRPr="006653EB" w:rsidRDefault="006C10D2" w:rsidP="00E66302">
            <w:pPr>
              <w:pStyle w:val="tablazat"/>
              <w:jc w:val="center"/>
              <w:rPr>
                <w:color w:val="000000"/>
                <w:sz w:val="16"/>
                <w:szCs w:val="14"/>
              </w:rPr>
            </w:pPr>
            <w:r w:rsidRPr="006653EB">
              <w:rPr>
                <w:color w:val="000000"/>
                <w:sz w:val="16"/>
                <w:szCs w:val="14"/>
              </w:rPr>
              <w:t>28</w:t>
            </w:r>
          </w:p>
        </w:tc>
        <w:tc>
          <w:tcPr>
            <w:tcW w:w="505" w:type="dxa"/>
            <w:shd w:val="clear" w:color="auto" w:fill="auto"/>
            <w:noWrap/>
            <w:vAlign w:val="center"/>
            <w:hideMark/>
          </w:tcPr>
          <w:p w14:paraId="77700519" w14:textId="77777777" w:rsidR="006C10D2" w:rsidRPr="006653EB" w:rsidRDefault="006C10D2" w:rsidP="00E66302">
            <w:pPr>
              <w:pStyle w:val="tablazat"/>
              <w:jc w:val="center"/>
              <w:rPr>
                <w:color w:val="000000"/>
                <w:sz w:val="16"/>
                <w:szCs w:val="14"/>
              </w:rPr>
            </w:pPr>
            <w:r w:rsidRPr="006653EB">
              <w:rPr>
                <w:color w:val="000000"/>
                <w:sz w:val="16"/>
                <w:szCs w:val="14"/>
              </w:rPr>
              <w:t>21</w:t>
            </w:r>
          </w:p>
        </w:tc>
        <w:tc>
          <w:tcPr>
            <w:tcW w:w="505" w:type="dxa"/>
            <w:shd w:val="clear" w:color="auto" w:fill="auto"/>
            <w:noWrap/>
            <w:vAlign w:val="center"/>
            <w:hideMark/>
          </w:tcPr>
          <w:p w14:paraId="1F808738" w14:textId="77777777" w:rsidR="006C10D2" w:rsidRPr="006653EB" w:rsidRDefault="006C10D2" w:rsidP="00E66302">
            <w:pPr>
              <w:pStyle w:val="tablazat"/>
              <w:jc w:val="center"/>
              <w:rPr>
                <w:color w:val="000000"/>
                <w:sz w:val="16"/>
                <w:szCs w:val="14"/>
              </w:rPr>
            </w:pPr>
            <w:r w:rsidRPr="006653EB">
              <w:rPr>
                <w:color w:val="000000"/>
                <w:sz w:val="16"/>
                <w:szCs w:val="14"/>
              </w:rPr>
              <w:t>17</w:t>
            </w:r>
          </w:p>
        </w:tc>
        <w:tc>
          <w:tcPr>
            <w:tcW w:w="505" w:type="dxa"/>
            <w:shd w:val="clear" w:color="auto" w:fill="auto"/>
            <w:noWrap/>
            <w:vAlign w:val="center"/>
            <w:hideMark/>
          </w:tcPr>
          <w:p w14:paraId="20D041FE" w14:textId="77777777" w:rsidR="006C10D2" w:rsidRPr="006653EB" w:rsidRDefault="006C10D2" w:rsidP="00E66302">
            <w:pPr>
              <w:pStyle w:val="tablazat"/>
              <w:jc w:val="center"/>
              <w:rPr>
                <w:color w:val="000000"/>
                <w:sz w:val="16"/>
                <w:szCs w:val="14"/>
              </w:rPr>
            </w:pPr>
            <w:r w:rsidRPr="006653EB">
              <w:rPr>
                <w:color w:val="000000"/>
                <w:sz w:val="16"/>
                <w:szCs w:val="14"/>
              </w:rPr>
              <w:t>9</w:t>
            </w:r>
          </w:p>
        </w:tc>
        <w:tc>
          <w:tcPr>
            <w:tcW w:w="505" w:type="dxa"/>
            <w:shd w:val="clear" w:color="auto" w:fill="auto"/>
            <w:noWrap/>
            <w:vAlign w:val="center"/>
            <w:hideMark/>
          </w:tcPr>
          <w:p w14:paraId="70806E29" w14:textId="77777777" w:rsidR="006C10D2" w:rsidRPr="006653EB" w:rsidRDefault="006C10D2" w:rsidP="00E66302">
            <w:pPr>
              <w:pStyle w:val="tablazat"/>
              <w:jc w:val="center"/>
              <w:rPr>
                <w:color w:val="000000"/>
                <w:sz w:val="16"/>
                <w:szCs w:val="14"/>
              </w:rPr>
            </w:pPr>
            <w:r w:rsidRPr="006653EB">
              <w:rPr>
                <w:color w:val="000000"/>
                <w:sz w:val="16"/>
                <w:szCs w:val="14"/>
              </w:rPr>
              <w:t>15</w:t>
            </w:r>
          </w:p>
        </w:tc>
        <w:tc>
          <w:tcPr>
            <w:tcW w:w="465" w:type="dxa"/>
            <w:shd w:val="clear" w:color="auto" w:fill="auto"/>
            <w:noWrap/>
            <w:vAlign w:val="center"/>
            <w:hideMark/>
          </w:tcPr>
          <w:p w14:paraId="0A0F0047" w14:textId="77777777" w:rsidR="006C10D2" w:rsidRPr="006653EB" w:rsidRDefault="006C10D2" w:rsidP="00E66302">
            <w:pPr>
              <w:pStyle w:val="tablazat"/>
              <w:jc w:val="center"/>
              <w:rPr>
                <w:color w:val="000000"/>
                <w:sz w:val="16"/>
                <w:szCs w:val="14"/>
              </w:rPr>
            </w:pPr>
            <w:r w:rsidRPr="006653EB">
              <w:rPr>
                <w:color w:val="000000"/>
                <w:sz w:val="16"/>
                <w:szCs w:val="14"/>
              </w:rPr>
              <w:t>3</w:t>
            </w:r>
          </w:p>
        </w:tc>
        <w:tc>
          <w:tcPr>
            <w:tcW w:w="505" w:type="dxa"/>
            <w:shd w:val="clear" w:color="auto" w:fill="auto"/>
            <w:noWrap/>
            <w:vAlign w:val="center"/>
            <w:hideMark/>
          </w:tcPr>
          <w:p w14:paraId="7C8A4E20" w14:textId="77777777" w:rsidR="006C10D2" w:rsidRPr="006653EB" w:rsidRDefault="006C10D2" w:rsidP="00E66302">
            <w:pPr>
              <w:pStyle w:val="tablazat"/>
              <w:jc w:val="center"/>
              <w:rPr>
                <w:color w:val="000000"/>
                <w:sz w:val="16"/>
                <w:szCs w:val="14"/>
              </w:rPr>
            </w:pPr>
            <w:r w:rsidRPr="006653EB">
              <w:rPr>
                <w:color w:val="000000"/>
                <w:sz w:val="16"/>
                <w:szCs w:val="14"/>
              </w:rPr>
              <w:t>6</w:t>
            </w:r>
          </w:p>
        </w:tc>
        <w:tc>
          <w:tcPr>
            <w:tcW w:w="597" w:type="dxa"/>
            <w:shd w:val="clear" w:color="auto" w:fill="auto"/>
            <w:noWrap/>
            <w:vAlign w:val="center"/>
            <w:hideMark/>
          </w:tcPr>
          <w:p w14:paraId="60E41384" w14:textId="77777777" w:rsidR="006C10D2" w:rsidRPr="006653EB" w:rsidRDefault="006C10D2" w:rsidP="00E66302">
            <w:pPr>
              <w:pStyle w:val="tablazat"/>
              <w:jc w:val="center"/>
              <w:rPr>
                <w:b/>
                <w:bCs/>
                <w:color w:val="000000"/>
                <w:sz w:val="16"/>
                <w:szCs w:val="14"/>
              </w:rPr>
            </w:pPr>
            <w:r w:rsidRPr="006653EB">
              <w:rPr>
                <w:b/>
                <w:bCs/>
                <w:color w:val="000000"/>
                <w:sz w:val="16"/>
                <w:szCs w:val="14"/>
              </w:rPr>
              <w:t>179</w:t>
            </w:r>
          </w:p>
        </w:tc>
      </w:tr>
      <w:tr w:rsidR="006C10D2" w:rsidRPr="006653EB" w14:paraId="4BDAEF05" w14:textId="77777777" w:rsidTr="00D57C71">
        <w:trPr>
          <w:trHeight w:val="255"/>
        </w:trPr>
        <w:tc>
          <w:tcPr>
            <w:tcW w:w="1418" w:type="dxa"/>
            <w:shd w:val="clear" w:color="auto" w:fill="auto"/>
            <w:noWrap/>
            <w:vAlign w:val="center"/>
            <w:hideMark/>
          </w:tcPr>
          <w:p w14:paraId="708F9F35" w14:textId="77777777" w:rsidR="006C10D2" w:rsidRPr="006653EB" w:rsidRDefault="006C10D2" w:rsidP="00E66302">
            <w:pPr>
              <w:pStyle w:val="tablazat"/>
              <w:rPr>
                <w:color w:val="000000"/>
                <w:sz w:val="16"/>
                <w:szCs w:val="14"/>
              </w:rPr>
            </w:pPr>
            <w:r w:rsidRPr="006653EB">
              <w:rPr>
                <w:color w:val="000000"/>
                <w:sz w:val="16"/>
                <w:szCs w:val="14"/>
              </w:rPr>
              <w:t>Elbontott lakások</w:t>
            </w:r>
          </w:p>
        </w:tc>
        <w:tc>
          <w:tcPr>
            <w:tcW w:w="465" w:type="dxa"/>
            <w:shd w:val="clear" w:color="auto" w:fill="auto"/>
            <w:noWrap/>
            <w:vAlign w:val="center"/>
            <w:hideMark/>
          </w:tcPr>
          <w:p w14:paraId="50DBAE03" w14:textId="77777777" w:rsidR="006C10D2" w:rsidRPr="006653EB" w:rsidRDefault="006C10D2" w:rsidP="00E66302">
            <w:pPr>
              <w:pStyle w:val="tablazat"/>
              <w:jc w:val="center"/>
              <w:rPr>
                <w:color w:val="000000"/>
                <w:sz w:val="16"/>
                <w:szCs w:val="14"/>
              </w:rPr>
            </w:pPr>
            <w:r w:rsidRPr="006653EB">
              <w:rPr>
                <w:color w:val="000000"/>
                <w:sz w:val="16"/>
                <w:szCs w:val="14"/>
              </w:rPr>
              <w:t>31</w:t>
            </w:r>
          </w:p>
        </w:tc>
        <w:tc>
          <w:tcPr>
            <w:tcW w:w="465" w:type="dxa"/>
            <w:shd w:val="clear" w:color="auto" w:fill="auto"/>
            <w:noWrap/>
            <w:vAlign w:val="center"/>
            <w:hideMark/>
          </w:tcPr>
          <w:p w14:paraId="16AF8960" w14:textId="77777777" w:rsidR="006C10D2" w:rsidRPr="006653EB" w:rsidRDefault="006C10D2" w:rsidP="00E66302">
            <w:pPr>
              <w:pStyle w:val="tablazat"/>
              <w:jc w:val="center"/>
              <w:rPr>
                <w:color w:val="000000"/>
                <w:sz w:val="16"/>
                <w:szCs w:val="14"/>
              </w:rPr>
            </w:pPr>
            <w:r w:rsidRPr="006653EB">
              <w:rPr>
                <w:color w:val="000000"/>
                <w:sz w:val="16"/>
                <w:szCs w:val="14"/>
              </w:rPr>
              <w:t>54</w:t>
            </w:r>
          </w:p>
        </w:tc>
        <w:tc>
          <w:tcPr>
            <w:tcW w:w="505" w:type="dxa"/>
            <w:shd w:val="clear" w:color="auto" w:fill="auto"/>
            <w:noWrap/>
            <w:vAlign w:val="center"/>
            <w:hideMark/>
          </w:tcPr>
          <w:p w14:paraId="6735EB02" w14:textId="77777777" w:rsidR="006C10D2" w:rsidRPr="006653EB" w:rsidRDefault="006C10D2" w:rsidP="00E66302">
            <w:pPr>
              <w:pStyle w:val="tablazat"/>
              <w:jc w:val="center"/>
              <w:rPr>
                <w:color w:val="000000"/>
                <w:sz w:val="16"/>
                <w:szCs w:val="14"/>
              </w:rPr>
            </w:pPr>
            <w:r w:rsidRPr="006653EB">
              <w:rPr>
                <w:color w:val="000000"/>
                <w:sz w:val="16"/>
                <w:szCs w:val="14"/>
              </w:rPr>
              <w:t>52</w:t>
            </w:r>
          </w:p>
        </w:tc>
        <w:tc>
          <w:tcPr>
            <w:tcW w:w="505" w:type="dxa"/>
            <w:shd w:val="clear" w:color="auto" w:fill="auto"/>
            <w:noWrap/>
            <w:vAlign w:val="center"/>
            <w:hideMark/>
          </w:tcPr>
          <w:p w14:paraId="1A85A257" w14:textId="77777777" w:rsidR="006C10D2" w:rsidRPr="006653EB" w:rsidRDefault="006C10D2" w:rsidP="00E66302">
            <w:pPr>
              <w:pStyle w:val="tablazat"/>
              <w:jc w:val="center"/>
              <w:rPr>
                <w:color w:val="000000"/>
                <w:sz w:val="16"/>
                <w:szCs w:val="14"/>
              </w:rPr>
            </w:pPr>
            <w:r w:rsidRPr="006653EB">
              <w:rPr>
                <w:color w:val="000000"/>
                <w:sz w:val="16"/>
                <w:szCs w:val="14"/>
              </w:rPr>
              <w:t>95</w:t>
            </w:r>
          </w:p>
        </w:tc>
        <w:tc>
          <w:tcPr>
            <w:tcW w:w="505" w:type="dxa"/>
            <w:shd w:val="clear" w:color="auto" w:fill="auto"/>
            <w:noWrap/>
            <w:vAlign w:val="center"/>
            <w:hideMark/>
          </w:tcPr>
          <w:p w14:paraId="13B1ABB1" w14:textId="77777777" w:rsidR="006C10D2" w:rsidRPr="006653EB" w:rsidRDefault="006C10D2" w:rsidP="00E66302">
            <w:pPr>
              <w:pStyle w:val="tablazat"/>
              <w:jc w:val="center"/>
              <w:rPr>
                <w:color w:val="000000"/>
                <w:sz w:val="16"/>
                <w:szCs w:val="14"/>
              </w:rPr>
            </w:pPr>
            <w:r w:rsidRPr="006653EB">
              <w:rPr>
                <w:color w:val="000000"/>
                <w:sz w:val="16"/>
                <w:szCs w:val="14"/>
              </w:rPr>
              <w:t>109</w:t>
            </w:r>
          </w:p>
        </w:tc>
        <w:tc>
          <w:tcPr>
            <w:tcW w:w="465" w:type="dxa"/>
            <w:shd w:val="clear" w:color="auto" w:fill="auto"/>
            <w:noWrap/>
            <w:vAlign w:val="center"/>
            <w:hideMark/>
          </w:tcPr>
          <w:p w14:paraId="22144EBD" w14:textId="77777777" w:rsidR="006C10D2" w:rsidRPr="006653EB" w:rsidRDefault="006C10D2" w:rsidP="00E66302">
            <w:pPr>
              <w:pStyle w:val="tablazat"/>
              <w:jc w:val="center"/>
              <w:rPr>
                <w:color w:val="000000"/>
                <w:sz w:val="16"/>
                <w:szCs w:val="14"/>
              </w:rPr>
            </w:pPr>
            <w:r w:rsidRPr="006653EB">
              <w:rPr>
                <w:color w:val="000000"/>
                <w:sz w:val="16"/>
                <w:szCs w:val="14"/>
              </w:rPr>
              <w:t>50</w:t>
            </w:r>
          </w:p>
        </w:tc>
        <w:tc>
          <w:tcPr>
            <w:tcW w:w="505" w:type="dxa"/>
            <w:shd w:val="clear" w:color="auto" w:fill="auto"/>
            <w:noWrap/>
            <w:vAlign w:val="center"/>
            <w:hideMark/>
          </w:tcPr>
          <w:p w14:paraId="001D6D4C" w14:textId="77777777" w:rsidR="006C10D2" w:rsidRPr="006653EB" w:rsidRDefault="006C10D2" w:rsidP="00E66302">
            <w:pPr>
              <w:pStyle w:val="tablazat"/>
              <w:jc w:val="center"/>
              <w:rPr>
                <w:color w:val="000000"/>
                <w:sz w:val="16"/>
                <w:szCs w:val="14"/>
              </w:rPr>
            </w:pPr>
            <w:r w:rsidRPr="006653EB">
              <w:rPr>
                <w:color w:val="000000"/>
                <w:sz w:val="16"/>
                <w:szCs w:val="14"/>
              </w:rPr>
              <w:t>27</w:t>
            </w:r>
          </w:p>
        </w:tc>
        <w:tc>
          <w:tcPr>
            <w:tcW w:w="465" w:type="dxa"/>
            <w:shd w:val="clear" w:color="auto" w:fill="auto"/>
            <w:noWrap/>
            <w:vAlign w:val="center"/>
            <w:hideMark/>
          </w:tcPr>
          <w:p w14:paraId="03F6BEC6" w14:textId="77777777" w:rsidR="006C10D2" w:rsidRPr="006653EB" w:rsidRDefault="006C10D2" w:rsidP="00E66302">
            <w:pPr>
              <w:pStyle w:val="tablazat"/>
              <w:jc w:val="center"/>
              <w:rPr>
                <w:color w:val="000000"/>
                <w:sz w:val="16"/>
                <w:szCs w:val="14"/>
              </w:rPr>
            </w:pPr>
            <w:r w:rsidRPr="006653EB">
              <w:rPr>
                <w:color w:val="000000"/>
                <w:sz w:val="16"/>
                <w:szCs w:val="14"/>
              </w:rPr>
              <w:t>15</w:t>
            </w:r>
          </w:p>
        </w:tc>
        <w:tc>
          <w:tcPr>
            <w:tcW w:w="465" w:type="dxa"/>
            <w:shd w:val="clear" w:color="auto" w:fill="auto"/>
            <w:noWrap/>
            <w:vAlign w:val="center"/>
            <w:hideMark/>
          </w:tcPr>
          <w:p w14:paraId="2C017452" w14:textId="77777777" w:rsidR="006C10D2" w:rsidRPr="006653EB" w:rsidRDefault="006C10D2" w:rsidP="00E66302">
            <w:pPr>
              <w:pStyle w:val="tablazat"/>
              <w:jc w:val="center"/>
              <w:rPr>
                <w:color w:val="000000"/>
                <w:sz w:val="16"/>
                <w:szCs w:val="14"/>
              </w:rPr>
            </w:pPr>
            <w:r w:rsidRPr="006653EB">
              <w:rPr>
                <w:color w:val="000000"/>
                <w:sz w:val="16"/>
                <w:szCs w:val="14"/>
              </w:rPr>
              <w:t>20</w:t>
            </w:r>
          </w:p>
        </w:tc>
        <w:tc>
          <w:tcPr>
            <w:tcW w:w="465" w:type="dxa"/>
            <w:shd w:val="clear" w:color="auto" w:fill="auto"/>
            <w:noWrap/>
            <w:vAlign w:val="center"/>
            <w:hideMark/>
          </w:tcPr>
          <w:p w14:paraId="4ED82D17" w14:textId="77777777" w:rsidR="006C10D2" w:rsidRPr="006653EB" w:rsidRDefault="006C10D2" w:rsidP="00E66302">
            <w:pPr>
              <w:pStyle w:val="tablazat"/>
              <w:jc w:val="center"/>
              <w:rPr>
                <w:color w:val="000000"/>
                <w:sz w:val="16"/>
                <w:szCs w:val="14"/>
              </w:rPr>
            </w:pPr>
            <w:r w:rsidRPr="006653EB">
              <w:rPr>
                <w:color w:val="000000"/>
                <w:sz w:val="16"/>
                <w:szCs w:val="14"/>
              </w:rPr>
              <w:t>17</w:t>
            </w:r>
          </w:p>
        </w:tc>
        <w:tc>
          <w:tcPr>
            <w:tcW w:w="465" w:type="dxa"/>
            <w:shd w:val="clear" w:color="auto" w:fill="auto"/>
            <w:noWrap/>
            <w:vAlign w:val="center"/>
            <w:hideMark/>
          </w:tcPr>
          <w:p w14:paraId="5646A0F6" w14:textId="77777777" w:rsidR="006C10D2" w:rsidRPr="006653EB" w:rsidRDefault="006C10D2" w:rsidP="00E66302">
            <w:pPr>
              <w:pStyle w:val="tablazat"/>
              <w:jc w:val="center"/>
              <w:rPr>
                <w:color w:val="000000"/>
                <w:sz w:val="16"/>
                <w:szCs w:val="14"/>
              </w:rPr>
            </w:pPr>
            <w:r w:rsidRPr="006653EB">
              <w:rPr>
                <w:color w:val="000000"/>
                <w:sz w:val="16"/>
                <w:szCs w:val="14"/>
              </w:rPr>
              <w:t>81</w:t>
            </w:r>
          </w:p>
        </w:tc>
        <w:tc>
          <w:tcPr>
            <w:tcW w:w="505" w:type="dxa"/>
            <w:shd w:val="clear" w:color="auto" w:fill="auto"/>
            <w:noWrap/>
            <w:vAlign w:val="center"/>
            <w:hideMark/>
          </w:tcPr>
          <w:p w14:paraId="6E99D82E" w14:textId="77777777" w:rsidR="006C10D2" w:rsidRPr="006653EB" w:rsidRDefault="006C10D2" w:rsidP="00E66302">
            <w:pPr>
              <w:pStyle w:val="tablazat"/>
              <w:jc w:val="center"/>
              <w:rPr>
                <w:color w:val="000000"/>
                <w:sz w:val="16"/>
                <w:szCs w:val="14"/>
              </w:rPr>
            </w:pPr>
            <w:r w:rsidRPr="006653EB">
              <w:rPr>
                <w:color w:val="000000"/>
                <w:sz w:val="16"/>
                <w:szCs w:val="14"/>
              </w:rPr>
              <w:t>78</w:t>
            </w:r>
          </w:p>
        </w:tc>
        <w:tc>
          <w:tcPr>
            <w:tcW w:w="505" w:type="dxa"/>
            <w:shd w:val="clear" w:color="auto" w:fill="auto"/>
            <w:noWrap/>
            <w:vAlign w:val="center"/>
            <w:hideMark/>
          </w:tcPr>
          <w:p w14:paraId="1F073C3F" w14:textId="77777777" w:rsidR="006C10D2" w:rsidRPr="006653EB" w:rsidRDefault="006C10D2" w:rsidP="00E66302">
            <w:pPr>
              <w:pStyle w:val="tablazat"/>
              <w:jc w:val="center"/>
              <w:rPr>
                <w:color w:val="000000"/>
                <w:sz w:val="16"/>
                <w:szCs w:val="14"/>
              </w:rPr>
            </w:pPr>
            <w:r w:rsidRPr="006653EB">
              <w:rPr>
                <w:color w:val="000000"/>
                <w:sz w:val="16"/>
                <w:szCs w:val="14"/>
              </w:rPr>
              <w:t>114</w:t>
            </w:r>
          </w:p>
        </w:tc>
        <w:tc>
          <w:tcPr>
            <w:tcW w:w="505" w:type="dxa"/>
            <w:shd w:val="clear" w:color="auto" w:fill="auto"/>
            <w:noWrap/>
            <w:vAlign w:val="center"/>
            <w:hideMark/>
          </w:tcPr>
          <w:p w14:paraId="739F0723" w14:textId="77777777" w:rsidR="006C10D2" w:rsidRPr="006653EB" w:rsidRDefault="006C10D2" w:rsidP="00E66302">
            <w:pPr>
              <w:pStyle w:val="tablazat"/>
              <w:jc w:val="center"/>
              <w:rPr>
                <w:color w:val="000000"/>
                <w:sz w:val="16"/>
                <w:szCs w:val="14"/>
              </w:rPr>
            </w:pPr>
            <w:r w:rsidRPr="006653EB">
              <w:rPr>
                <w:color w:val="000000"/>
                <w:sz w:val="16"/>
                <w:szCs w:val="14"/>
              </w:rPr>
              <w:t>89</w:t>
            </w:r>
          </w:p>
        </w:tc>
        <w:tc>
          <w:tcPr>
            <w:tcW w:w="505" w:type="dxa"/>
            <w:shd w:val="clear" w:color="auto" w:fill="auto"/>
            <w:noWrap/>
            <w:vAlign w:val="center"/>
            <w:hideMark/>
          </w:tcPr>
          <w:p w14:paraId="36E1CA25" w14:textId="77777777" w:rsidR="006C10D2" w:rsidRPr="006653EB" w:rsidRDefault="006C10D2" w:rsidP="00E66302">
            <w:pPr>
              <w:pStyle w:val="tablazat"/>
              <w:jc w:val="center"/>
              <w:rPr>
                <w:color w:val="000000"/>
                <w:sz w:val="16"/>
                <w:szCs w:val="14"/>
              </w:rPr>
            </w:pPr>
            <w:r w:rsidRPr="006653EB">
              <w:rPr>
                <w:color w:val="000000"/>
                <w:sz w:val="16"/>
                <w:szCs w:val="14"/>
              </w:rPr>
              <w:t>65</w:t>
            </w:r>
          </w:p>
        </w:tc>
        <w:tc>
          <w:tcPr>
            <w:tcW w:w="505" w:type="dxa"/>
            <w:shd w:val="clear" w:color="auto" w:fill="auto"/>
            <w:noWrap/>
            <w:vAlign w:val="center"/>
            <w:hideMark/>
          </w:tcPr>
          <w:p w14:paraId="0F14ADCF" w14:textId="77777777" w:rsidR="006C10D2" w:rsidRPr="006653EB" w:rsidRDefault="006C10D2" w:rsidP="00E66302">
            <w:pPr>
              <w:pStyle w:val="tablazat"/>
              <w:jc w:val="center"/>
              <w:rPr>
                <w:color w:val="000000"/>
                <w:sz w:val="16"/>
                <w:szCs w:val="14"/>
              </w:rPr>
            </w:pPr>
            <w:r w:rsidRPr="006653EB">
              <w:rPr>
                <w:color w:val="000000"/>
                <w:sz w:val="16"/>
                <w:szCs w:val="14"/>
              </w:rPr>
              <w:t>110</w:t>
            </w:r>
          </w:p>
        </w:tc>
        <w:tc>
          <w:tcPr>
            <w:tcW w:w="465" w:type="dxa"/>
            <w:shd w:val="clear" w:color="auto" w:fill="auto"/>
            <w:noWrap/>
            <w:vAlign w:val="center"/>
            <w:hideMark/>
          </w:tcPr>
          <w:p w14:paraId="275C92CD" w14:textId="77777777" w:rsidR="006C10D2" w:rsidRPr="006653EB" w:rsidRDefault="006C10D2" w:rsidP="00E66302">
            <w:pPr>
              <w:pStyle w:val="tablazat"/>
              <w:jc w:val="center"/>
              <w:rPr>
                <w:color w:val="000000"/>
                <w:sz w:val="16"/>
                <w:szCs w:val="14"/>
              </w:rPr>
            </w:pPr>
            <w:r w:rsidRPr="006653EB">
              <w:rPr>
                <w:color w:val="000000"/>
                <w:sz w:val="16"/>
                <w:szCs w:val="14"/>
              </w:rPr>
              <w:t>61</w:t>
            </w:r>
          </w:p>
        </w:tc>
        <w:tc>
          <w:tcPr>
            <w:tcW w:w="505" w:type="dxa"/>
            <w:shd w:val="clear" w:color="auto" w:fill="auto"/>
            <w:noWrap/>
            <w:vAlign w:val="center"/>
            <w:hideMark/>
          </w:tcPr>
          <w:p w14:paraId="25788995" w14:textId="77777777" w:rsidR="006C10D2" w:rsidRPr="006653EB" w:rsidRDefault="006C10D2" w:rsidP="00E66302">
            <w:pPr>
              <w:pStyle w:val="tablazat"/>
              <w:jc w:val="center"/>
              <w:rPr>
                <w:color w:val="000000"/>
                <w:sz w:val="16"/>
                <w:szCs w:val="14"/>
              </w:rPr>
            </w:pPr>
            <w:r w:rsidRPr="006653EB">
              <w:rPr>
                <w:color w:val="000000"/>
                <w:sz w:val="16"/>
                <w:szCs w:val="14"/>
              </w:rPr>
              <w:t>78</w:t>
            </w:r>
          </w:p>
        </w:tc>
        <w:tc>
          <w:tcPr>
            <w:tcW w:w="597" w:type="dxa"/>
            <w:shd w:val="clear" w:color="auto" w:fill="auto"/>
            <w:noWrap/>
            <w:vAlign w:val="center"/>
            <w:hideMark/>
          </w:tcPr>
          <w:p w14:paraId="1C42DB11" w14:textId="77777777" w:rsidR="006C10D2" w:rsidRPr="006653EB" w:rsidRDefault="006C10D2" w:rsidP="00E66302">
            <w:pPr>
              <w:pStyle w:val="tablazat"/>
              <w:jc w:val="center"/>
              <w:rPr>
                <w:b/>
                <w:bCs/>
                <w:color w:val="000000"/>
                <w:sz w:val="16"/>
                <w:szCs w:val="14"/>
              </w:rPr>
            </w:pPr>
            <w:r w:rsidRPr="006653EB">
              <w:rPr>
                <w:b/>
                <w:bCs/>
                <w:color w:val="000000"/>
                <w:sz w:val="16"/>
                <w:szCs w:val="14"/>
              </w:rPr>
              <w:t>1146</w:t>
            </w:r>
          </w:p>
        </w:tc>
      </w:tr>
      <w:tr w:rsidR="006C10D2" w:rsidRPr="006653EB" w14:paraId="2BE039FE" w14:textId="77777777" w:rsidTr="00D57C71">
        <w:trPr>
          <w:trHeight w:val="255"/>
        </w:trPr>
        <w:tc>
          <w:tcPr>
            <w:tcW w:w="1418" w:type="dxa"/>
            <w:shd w:val="clear" w:color="auto" w:fill="auto"/>
            <w:noWrap/>
            <w:vAlign w:val="center"/>
            <w:hideMark/>
          </w:tcPr>
          <w:p w14:paraId="29107679" w14:textId="77777777" w:rsidR="006C10D2" w:rsidRPr="006C10D2" w:rsidRDefault="006C10D2" w:rsidP="00E66302">
            <w:pPr>
              <w:pStyle w:val="tablazat"/>
              <w:rPr>
                <w:b/>
                <w:bCs/>
                <w:color w:val="000000"/>
                <w:sz w:val="16"/>
                <w:szCs w:val="14"/>
              </w:rPr>
            </w:pPr>
            <w:r w:rsidRPr="006C10D2">
              <w:rPr>
                <w:b/>
                <w:bCs/>
                <w:color w:val="000000"/>
                <w:sz w:val="16"/>
                <w:szCs w:val="14"/>
              </w:rPr>
              <w:t>Felújított épületek</w:t>
            </w:r>
          </w:p>
        </w:tc>
        <w:tc>
          <w:tcPr>
            <w:tcW w:w="465" w:type="dxa"/>
            <w:shd w:val="clear" w:color="auto" w:fill="auto"/>
            <w:noWrap/>
            <w:vAlign w:val="center"/>
            <w:hideMark/>
          </w:tcPr>
          <w:p w14:paraId="779DC9C2" w14:textId="77777777" w:rsidR="006C10D2" w:rsidRPr="006C10D2" w:rsidRDefault="006C10D2" w:rsidP="00E66302">
            <w:pPr>
              <w:pStyle w:val="tablazat"/>
              <w:jc w:val="center"/>
              <w:rPr>
                <w:b/>
                <w:bCs/>
                <w:color w:val="000000"/>
                <w:sz w:val="16"/>
                <w:szCs w:val="14"/>
              </w:rPr>
            </w:pPr>
            <w:r w:rsidRPr="006C10D2">
              <w:rPr>
                <w:b/>
                <w:bCs/>
                <w:color w:val="000000"/>
                <w:sz w:val="16"/>
                <w:szCs w:val="14"/>
              </w:rPr>
              <w:t>3</w:t>
            </w:r>
          </w:p>
        </w:tc>
        <w:tc>
          <w:tcPr>
            <w:tcW w:w="465" w:type="dxa"/>
            <w:shd w:val="clear" w:color="auto" w:fill="auto"/>
            <w:noWrap/>
            <w:vAlign w:val="center"/>
            <w:hideMark/>
          </w:tcPr>
          <w:p w14:paraId="7B521474" w14:textId="77777777" w:rsidR="006C10D2" w:rsidRPr="006C10D2" w:rsidRDefault="006C10D2" w:rsidP="00E66302">
            <w:pPr>
              <w:pStyle w:val="tablazat"/>
              <w:jc w:val="center"/>
              <w:rPr>
                <w:b/>
                <w:bCs/>
                <w:color w:val="000000"/>
                <w:sz w:val="16"/>
                <w:szCs w:val="14"/>
              </w:rPr>
            </w:pPr>
            <w:r w:rsidRPr="006C10D2">
              <w:rPr>
                <w:b/>
                <w:bCs/>
                <w:color w:val="000000"/>
                <w:sz w:val="16"/>
                <w:szCs w:val="14"/>
              </w:rPr>
              <w:t>2</w:t>
            </w:r>
          </w:p>
        </w:tc>
        <w:tc>
          <w:tcPr>
            <w:tcW w:w="505" w:type="dxa"/>
            <w:shd w:val="clear" w:color="auto" w:fill="auto"/>
            <w:noWrap/>
            <w:vAlign w:val="center"/>
            <w:hideMark/>
          </w:tcPr>
          <w:p w14:paraId="16E7A572" w14:textId="77777777" w:rsidR="006C10D2" w:rsidRPr="006C10D2" w:rsidRDefault="006C10D2" w:rsidP="00E66302">
            <w:pPr>
              <w:pStyle w:val="tablazat"/>
              <w:jc w:val="center"/>
              <w:rPr>
                <w:b/>
                <w:bCs/>
                <w:color w:val="000000"/>
                <w:sz w:val="16"/>
                <w:szCs w:val="14"/>
              </w:rPr>
            </w:pPr>
            <w:r w:rsidRPr="006C10D2">
              <w:rPr>
                <w:b/>
                <w:bCs/>
                <w:color w:val="000000"/>
                <w:sz w:val="16"/>
                <w:szCs w:val="14"/>
              </w:rPr>
              <w:t>0</w:t>
            </w:r>
          </w:p>
        </w:tc>
        <w:tc>
          <w:tcPr>
            <w:tcW w:w="505" w:type="dxa"/>
            <w:shd w:val="clear" w:color="auto" w:fill="auto"/>
            <w:noWrap/>
            <w:vAlign w:val="center"/>
            <w:hideMark/>
          </w:tcPr>
          <w:p w14:paraId="4FC2D144" w14:textId="77777777" w:rsidR="006C10D2" w:rsidRPr="006C10D2" w:rsidRDefault="006C10D2" w:rsidP="00E66302">
            <w:pPr>
              <w:pStyle w:val="tablazat"/>
              <w:jc w:val="center"/>
              <w:rPr>
                <w:b/>
                <w:bCs/>
                <w:color w:val="000000"/>
                <w:sz w:val="16"/>
                <w:szCs w:val="14"/>
              </w:rPr>
            </w:pPr>
            <w:r w:rsidRPr="006C10D2">
              <w:rPr>
                <w:b/>
                <w:bCs/>
                <w:color w:val="000000"/>
                <w:sz w:val="16"/>
                <w:szCs w:val="14"/>
              </w:rPr>
              <w:t>4</w:t>
            </w:r>
          </w:p>
        </w:tc>
        <w:tc>
          <w:tcPr>
            <w:tcW w:w="505" w:type="dxa"/>
            <w:shd w:val="clear" w:color="auto" w:fill="auto"/>
            <w:noWrap/>
            <w:vAlign w:val="center"/>
            <w:hideMark/>
          </w:tcPr>
          <w:p w14:paraId="7FE30926" w14:textId="77777777" w:rsidR="006C10D2" w:rsidRPr="006C10D2" w:rsidRDefault="006C10D2" w:rsidP="00E66302">
            <w:pPr>
              <w:pStyle w:val="tablazat"/>
              <w:jc w:val="center"/>
              <w:rPr>
                <w:b/>
                <w:bCs/>
                <w:color w:val="000000"/>
                <w:sz w:val="16"/>
                <w:szCs w:val="14"/>
              </w:rPr>
            </w:pPr>
            <w:r w:rsidRPr="006C10D2">
              <w:rPr>
                <w:b/>
                <w:bCs/>
                <w:color w:val="000000"/>
                <w:sz w:val="16"/>
                <w:szCs w:val="14"/>
              </w:rPr>
              <w:t>1</w:t>
            </w:r>
          </w:p>
        </w:tc>
        <w:tc>
          <w:tcPr>
            <w:tcW w:w="465" w:type="dxa"/>
            <w:shd w:val="clear" w:color="auto" w:fill="auto"/>
            <w:noWrap/>
            <w:vAlign w:val="center"/>
            <w:hideMark/>
          </w:tcPr>
          <w:p w14:paraId="43E2E2C7" w14:textId="77777777" w:rsidR="006C10D2" w:rsidRPr="006C10D2" w:rsidRDefault="006C10D2" w:rsidP="00E66302">
            <w:pPr>
              <w:pStyle w:val="tablazat"/>
              <w:jc w:val="center"/>
              <w:rPr>
                <w:b/>
                <w:bCs/>
                <w:color w:val="000000"/>
                <w:sz w:val="16"/>
                <w:szCs w:val="14"/>
              </w:rPr>
            </w:pPr>
            <w:r w:rsidRPr="006C10D2">
              <w:rPr>
                <w:b/>
                <w:bCs/>
                <w:color w:val="000000"/>
                <w:sz w:val="16"/>
                <w:szCs w:val="14"/>
              </w:rPr>
              <w:t>1</w:t>
            </w:r>
          </w:p>
        </w:tc>
        <w:tc>
          <w:tcPr>
            <w:tcW w:w="505" w:type="dxa"/>
            <w:shd w:val="clear" w:color="auto" w:fill="auto"/>
            <w:noWrap/>
            <w:vAlign w:val="center"/>
            <w:hideMark/>
          </w:tcPr>
          <w:p w14:paraId="7222BC63" w14:textId="77777777" w:rsidR="006C10D2" w:rsidRPr="006C10D2" w:rsidRDefault="006C10D2" w:rsidP="00E66302">
            <w:pPr>
              <w:pStyle w:val="tablazat"/>
              <w:jc w:val="center"/>
              <w:rPr>
                <w:b/>
                <w:bCs/>
                <w:color w:val="000000"/>
                <w:sz w:val="16"/>
                <w:szCs w:val="14"/>
              </w:rPr>
            </w:pPr>
            <w:r w:rsidRPr="006C10D2">
              <w:rPr>
                <w:b/>
                <w:bCs/>
                <w:color w:val="000000"/>
                <w:sz w:val="16"/>
                <w:szCs w:val="14"/>
              </w:rPr>
              <w:t>3</w:t>
            </w:r>
          </w:p>
        </w:tc>
        <w:tc>
          <w:tcPr>
            <w:tcW w:w="465" w:type="dxa"/>
            <w:shd w:val="clear" w:color="auto" w:fill="auto"/>
            <w:noWrap/>
            <w:vAlign w:val="center"/>
            <w:hideMark/>
          </w:tcPr>
          <w:p w14:paraId="39A228D6" w14:textId="77777777" w:rsidR="006C10D2" w:rsidRPr="006C10D2" w:rsidRDefault="006C10D2" w:rsidP="00E66302">
            <w:pPr>
              <w:pStyle w:val="tablazat"/>
              <w:jc w:val="center"/>
              <w:rPr>
                <w:b/>
                <w:bCs/>
                <w:color w:val="000000"/>
                <w:sz w:val="16"/>
                <w:szCs w:val="14"/>
              </w:rPr>
            </w:pPr>
            <w:r w:rsidRPr="006C10D2">
              <w:rPr>
                <w:b/>
                <w:bCs/>
                <w:color w:val="000000"/>
                <w:sz w:val="16"/>
                <w:szCs w:val="14"/>
              </w:rPr>
              <w:t>5</w:t>
            </w:r>
          </w:p>
        </w:tc>
        <w:tc>
          <w:tcPr>
            <w:tcW w:w="465" w:type="dxa"/>
            <w:shd w:val="clear" w:color="auto" w:fill="auto"/>
            <w:noWrap/>
            <w:vAlign w:val="center"/>
            <w:hideMark/>
          </w:tcPr>
          <w:p w14:paraId="1D0571C9" w14:textId="77777777" w:rsidR="006C10D2" w:rsidRPr="006C10D2" w:rsidRDefault="006C10D2" w:rsidP="00E66302">
            <w:pPr>
              <w:pStyle w:val="tablazat"/>
              <w:jc w:val="center"/>
              <w:rPr>
                <w:b/>
                <w:bCs/>
                <w:color w:val="000000"/>
                <w:sz w:val="16"/>
                <w:szCs w:val="14"/>
              </w:rPr>
            </w:pPr>
            <w:r w:rsidRPr="006C10D2">
              <w:rPr>
                <w:b/>
                <w:bCs/>
                <w:color w:val="000000"/>
                <w:sz w:val="16"/>
                <w:szCs w:val="14"/>
              </w:rPr>
              <w:t>3</w:t>
            </w:r>
          </w:p>
        </w:tc>
        <w:tc>
          <w:tcPr>
            <w:tcW w:w="465" w:type="dxa"/>
            <w:shd w:val="clear" w:color="auto" w:fill="auto"/>
            <w:noWrap/>
            <w:vAlign w:val="center"/>
            <w:hideMark/>
          </w:tcPr>
          <w:p w14:paraId="74EAEFE7" w14:textId="77777777" w:rsidR="006C10D2" w:rsidRPr="006C10D2" w:rsidRDefault="006C10D2" w:rsidP="00E66302">
            <w:pPr>
              <w:pStyle w:val="tablazat"/>
              <w:jc w:val="center"/>
              <w:rPr>
                <w:b/>
                <w:bCs/>
                <w:color w:val="000000"/>
                <w:sz w:val="16"/>
                <w:szCs w:val="14"/>
              </w:rPr>
            </w:pPr>
            <w:r w:rsidRPr="006C10D2">
              <w:rPr>
                <w:b/>
                <w:bCs/>
                <w:color w:val="000000"/>
                <w:sz w:val="16"/>
                <w:szCs w:val="14"/>
              </w:rPr>
              <w:t>1</w:t>
            </w:r>
          </w:p>
        </w:tc>
        <w:tc>
          <w:tcPr>
            <w:tcW w:w="465" w:type="dxa"/>
            <w:shd w:val="clear" w:color="auto" w:fill="auto"/>
            <w:noWrap/>
            <w:vAlign w:val="center"/>
            <w:hideMark/>
          </w:tcPr>
          <w:p w14:paraId="7402607C" w14:textId="77777777" w:rsidR="006C10D2" w:rsidRPr="006C10D2" w:rsidRDefault="006C10D2" w:rsidP="00E66302">
            <w:pPr>
              <w:pStyle w:val="tablazat"/>
              <w:jc w:val="center"/>
              <w:rPr>
                <w:b/>
                <w:bCs/>
                <w:color w:val="000000"/>
                <w:sz w:val="16"/>
                <w:szCs w:val="14"/>
              </w:rPr>
            </w:pPr>
            <w:r w:rsidRPr="006C10D2">
              <w:rPr>
                <w:b/>
                <w:bCs/>
                <w:color w:val="000000"/>
                <w:sz w:val="16"/>
                <w:szCs w:val="14"/>
              </w:rPr>
              <w:t>1</w:t>
            </w:r>
          </w:p>
        </w:tc>
        <w:tc>
          <w:tcPr>
            <w:tcW w:w="505" w:type="dxa"/>
            <w:shd w:val="clear" w:color="auto" w:fill="auto"/>
            <w:noWrap/>
            <w:vAlign w:val="center"/>
            <w:hideMark/>
          </w:tcPr>
          <w:p w14:paraId="1A3C60B9" w14:textId="77777777" w:rsidR="006C10D2" w:rsidRPr="006C10D2" w:rsidRDefault="006C10D2" w:rsidP="00E66302">
            <w:pPr>
              <w:pStyle w:val="tablazat"/>
              <w:jc w:val="center"/>
              <w:rPr>
                <w:b/>
                <w:bCs/>
                <w:color w:val="000000"/>
                <w:sz w:val="16"/>
                <w:szCs w:val="14"/>
              </w:rPr>
            </w:pPr>
            <w:r w:rsidRPr="006C10D2">
              <w:rPr>
                <w:b/>
                <w:bCs/>
                <w:color w:val="000000"/>
                <w:sz w:val="16"/>
                <w:szCs w:val="14"/>
              </w:rPr>
              <w:t>1</w:t>
            </w:r>
          </w:p>
        </w:tc>
        <w:tc>
          <w:tcPr>
            <w:tcW w:w="505" w:type="dxa"/>
            <w:shd w:val="clear" w:color="auto" w:fill="auto"/>
            <w:noWrap/>
            <w:vAlign w:val="center"/>
            <w:hideMark/>
          </w:tcPr>
          <w:p w14:paraId="19574D6F" w14:textId="77777777" w:rsidR="006C10D2" w:rsidRPr="006C10D2" w:rsidRDefault="006C10D2" w:rsidP="00E66302">
            <w:pPr>
              <w:pStyle w:val="tablazat"/>
              <w:jc w:val="center"/>
              <w:rPr>
                <w:b/>
                <w:bCs/>
                <w:color w:val="000000"/>
                <w:sz w:val="16"/>
                <w:szCs w:val="14"/>
              </w:rPr>
            </w:pPr>
            <w:r w:rsidRPr="006C10D2">
              <w:rPr>
                <w:b/>
                <w:bCs/>
                <w:color w:val="000000"/>
                <w:sz w:val="16"/>
                <w:szCs w:val="14"/>
              </w:rPr>
              <w:t>1</w:t>
            </w:r>
          </w:p>
        </w:tc>
        <w:tc>
          <w:tcPr>
            <w:tcW w:w="505" w:type="dxa"/>
            <w:shd w:val="clear" w:color="auto" w:fill="auto"/>
            <w:noWrap/>
            <w:vAlign w:val="center"/>
            <w:hideMark/>
          </w:tcPr>
          <w:p w14:paraId="454265F4" w14:textId="77777777" w:rsidR="006C10D2" w:rsidRPr="006C10D2" w:rsidRDefault="006C10D2" w:rsidP="00E66302">
            <w:pPr>
              <w:pStyle w:val="tablazat"/>
              <w:jc w:val="center"/>
              <w:rPr>
                <w:b/>
                <w:bCs/>
                <w:color w:val="000000"/>
                <w:sz w:val="16"/>
                <w:szCs w:val="14"/>
              </w:rPr>
            </w:pPr>
            <w:r w:rsidRPr="006C10D2">
              <w:rPr>
                <w:b/>
                <w:bCs/>
                <w:color w:val="000000"/>
                <w:sz w:val="16"/>
                <w:szCs w:val="14"/>
              </w:rPr>
              <w:t>2</w:t>
            </w:r>
          </w:p>
        </w:tc>
        <w:tc>
          <w:tcPr>
            <w:tcW w:w="505" w:type="dxa"/>
            <w:shd w:val="clear" w:color="auto" w:fill="auto"/>
            <w:noWrap/>
            <w:vAlign w:val="center"/>
            <w:hideMark/>
          </w:tcPr>
          <w:p w14:paraId="1F4E182F" w14:textId="77777777" w:rsidR="006C10D2" w:rsidRPr="006C10D2" w:rsidRDefault="006C10D2" w:rsidP="00E66302">
            <w:pPr>
              <w:pStyle w:val="tablazat"/>
              <w:jc w:val="center"/>
              <w:rPr>
                <w:b/>
                <w:bCs/>
                <w:color w:val="000000"/>
                <w:sz w:val="16"/>
                <w:szCs w:val="14"/>
              </w:rPr>
            </w:pPr>
            <w:r w:rsidRPr="006C10D2">
              <w:rPr>
                <w:b/>
                <w:bCs/>
                <w:color w:val="000000"/>
                <w:sz w:val="16"/>
                <w:szCs w:val="14"/>
              </w:rPr>
              <w:t>2</w:t>
            </w:r>
          </w:p>
        </w:tc>
        <w:tc>
          <w:tcPr>
            <w:tcW w:w="505" w:type="dxa"/>
            <w:shd w:val="clear" w:color="auto" w:fill="auto"/>
            <w:noWrap/>
            <w:vAlign w:val="center"/>
            <w:hideMark/>
          </w:tcPr>
          <w:p w14:paraId="1202950D" w14:textId="77777777" w:rsidR="006C10D2" w:rsidRPr="006C10D2" w:rsidRDefault="006C10D2" w:rsidP="00E66302">
            <w:pPr>
              <w:pStyle w:val="tablazat"/>
              <w:jc w:val="center"/>
              <w:rPr>
                <w:b/>
                <w:bCs/>
                <w:color w:val="000000"/>
                <w:sz w:val="16"/>
                <w:szCs w:val="14"/>
              </w:rPr>
            </w:pPr>
            <w:r w:rsidRPr="006C10D2">
              <w:rPr>
                <w:b/>
                <w:bCs/>
                <w:color w:val="000000"/>
                <w:sz w:val="16"/>
                <w:szCs w:val="14"/>
              </w:rPr>
              <w:t>5</w:t>
            </w:r>
          </w:p>
        </w:tc>
        <w:tc>
          <w:tcPr>
            <w:tcW w:w="465" w:type="dxa"/>
            <w:shd w:val="clear" w:color="auto" w:fill="auto"/>
            <w:noWrap/>
            <w:vAlign w:val="center"/>
            <w:hideMark/>
          </w:tcPr>
          <w:p w14:paraId="081CBC43" w14:textId="77777777" w:rsidR="006C10D2" w:rsidRPr="006C10D2" w:rsidRDefault="006C10D2" w:rsidP="00E66302">
            <w:pPr>
              <w:pStyle w:val="tablazat"/>
              <w:jc w:val="center"/>
              <w:rPr>
                <w:b/>
                <w:bCs/>
                <w:color w:val="000000"/>
                <w:sz w:val="16"/>
                <w:szCs w:val="14"/>
              </w:rPr>
            </w:pPr>
            <w:r w:rsidRPr="006C10D2">
              <w:rPr>
                <w:b/>
                <w:bCs/>
                <w:color w:val="000000"/>
                <w:sz w:val="16"/>
                <w:szCs w:val="14"/>
              </w:rPr>
              <w:t>3</w:t>
            </w:r>
          </w:p>
        </w:tc>
        <w:tc>
          <w:tcPr>
            <w:tcW w:w="505" w:type="dxa"/>
            <w:shd w:val="clear" w:color="auto" w:fill="auto"/>
            <w:noWrap/>
            <w:vAlign w:val="center"/>
            <w:hideMark/>
          </w:tcPr>
          <w:p w14:paraId="516F1414" w14:textId="77777777" w:rsidR="006C10D2" w:rsidRPr="006C10D2" w:rsidRDefault="006C10D2" w:rsidP="00E66302">
            <w:pPr>
              <w:pStyle w:val="tablazat"/>
              <w:jc w:val="center"/>
              <w:rPr>
                <w:b/>
                <w:bCs/>
                <w:color w:val="000000"/>
                <w:sz w:val="16"/>
                <w:szCs w:val="14"/>
              </w:rPr>
            </w:pPr>
            <w:r w:rsidRPr="006C10D2">
              <w:rPr>
                <w:b/>
                <w:bCs/>
                <w:color w:val="000000"/>
                <w:sz w:val="16"/>
                <w:szCs w:val="14"/>
              </w:rPr>
              <w:t>4</w:t>
            </w:r>
          </w:p>
        </w:tc>
        <w:tc>
          <w:tcPr>
            <w:tcW w:w="597" w:type="dxa"/>
            <w:shd w:val="clear" w:color="auto" w:fill="auto"/>
            <w:noWrap/>
            <w:vAlign w:val="center"/>
            <w:hideMark/>
          </w:tcPr>
          <w:p w14:paraId="2D6236E2" w14:textId="77777777" w:rsidR="006C10D2" w:rsidRPr="006C10D2" w:rsidRDefault="006C10D2" w:rsidP="00E66302">
            <w:pPr>
              <w:pStyle w:val="tablazat"/>
              <w:jc w:val="center"/>
              <w:rPr>
                <w:b/>
                <w:bCs/>
                <w:color w:val="000000"/>
                <w:sz w:val="16"/>
                <w:szCs w:val="14"/>
              </w:rPr>
            </w:pPr>
            <w:r w:rsidRPr="006C10D2">
              <w:rPr>
                <w:b/>
                <w:bCs/>
                <w:color w:val="000000"/>
                <w:sz w:val="16"/>
                <w:szCs w:val="14"/>
              </w:rPr>
              <w:t>42</w:t>
            </w:r>
          </w:p>
        </w:tc>
      </w:tr>
      <w:tr w:rsidR="006C10D2" w:rsidRPr="006653EB" w14:paraId="121758F0" w14:textId="77777777" w:rsidTr="00D57C71">
        <w:trPr>
          <w:trHeight w:val="255"/>
        </w:trPr>
        <w:tc>
          <w:tcPr>
            <w:tcW w:w="1418" w:type="dxa"/>
            <w:shd w:val="clear" w:color="auto" w:fill="auto"/>
            <w:noWrap/>
            <w:vAlign w:val="center"/>
          </w:tcPr>
          <w:p w14:paraId="541DA076" w14:textId="77777777" w:rsidR="006C10D2" w:rsidRPr="006653EB" w:rsidRDefault="006C10D2" w:rsidP="00E66302">
            <w:pPr>
              <w:spacing w:before="0" w:after="0"/>
              <w:rPr>
                <w:color w:val="000000"/>
                <w:sz w:val="16"/>
                <w:szCs w:val="16"/>
              </w:rPr>
            </w:pPr>
            <w:r w:rsidRPr="006653EB">
              <w:rPr>
                <w:color w:val="000000"/>
                <w:sz w:val="16"/>
                <w:szCs w:val="16"/>
              </w:rPr>
              <w:t>Kiépített közös zöldterület a tömb</w:t>
            </w:r>
            <w:r>
              <w:rPr>
                <w:color w:val="000000"/>
                <w:sz w:val="16"/>
                <w:szCs w:val="16"/>
              </w:rPr>
              <w:t>-</w:t>
            </w:r>
            <w:r w:rsidRPr="006653EB">
              <w:rPr>
                <w:color w:val="000000"/>
                <w:sz w:val="16"/>
                <w:szCs w:val="16"/>
              </w:rPr>
              <w:t xml:space="preserve">belsőkben </w:t>
            </w:r>
            <w:r>
              <w:rPr>
                <w:rStyle w:val="Jegyzethivatkozs"/>
                <w:rFonts w:eastAsia="SimSun"/>
              </w:rPr>
              <w:t>(m</w:t>
            </w:r>
            <w:r w:rsidRPr="000A2D66">
              <w:rPr>
                <w:rStyle w:val="Jegyzethivatkozs"/>
                <w:rFonts w:eastAsia="SimSun"/>
                <w:vertAlign w:val="superscript"/>
              </w:rPr>
              <w:t>2</w:t>
            </w:r>
            <w:r>
              <w:rPr>
                <w:rStyle w:val="Jegyzethivatkozs"/>
                <w:rFonts w:eastAsia="SimSun"/>
              </w:rPr>
              <w:t>)</w:t>
            </w:r>
          </w:p>
        </w:tc>
        <w:tc>
          <w:tcPr>
            <w:tcW w:w="465" w:type="dxa"/>
            <w:shd w:val="clear" w:color="auto" w:fill="auto"/>
            <w:noWrap/>
            <w:vAlign w:val="center"/>
          </w:tcPr>
          <w:p w14:paraId="0FA1AAE2" w14:textId="77777777" w:rsidR="006C10D2" w:rsidRPr="006653EB" w:rsidRDefault="006C10D2" w:rsidP="00E66302">
            <w:pPr>
              <w:jc w:val="center"/>
              <w:rPr>
                <w:color w:val="000000"/>
                <w:sz w:val="16"/>
                <w:szCs w:val="16"/>
              </w:rPr>
            </w:pPr>
          </w:p>
        </w:tc>
        <w:tc>
          <w:tcPr>
            <w:tcW w:w="465" w:type="dxa"/>
            <w:shd w:val="clear" w:color="auto" w:fill="auto"/>
            <w:noWrap/>
            <w:vAlign w:val="center"/>
          </w:tcPr>
          <w:p w14:paraId="482555AD" w14:textId="77777777" w:rsidR="006C10D2" w:rsidRPr="006653EB" w:rsidRDefault="006C10D2" w:rsidP="00E66302">
            <w:pPr>
              <w:jc w:val="center"/>
              <w:rPr>
                <w:color w:val="000000"/>
                <w:sz w:val="16"/>
                <w:szCs w:val="16"/>
              </w:rPr>
            </w:pPr>
          </w:p>
        </w:tc>
        <w:tc>
          <w:tcPr>
            <w:tcW w:w="505" w:type="dxa"/>
            <w:shd w:val="clear" w:color="auto" w:fill="auto"/>
            <w:noWrap/>
            <w:vAlign w:val="center"/>
          </w:tcPr>
          <w:p w14:paraId="5B54A2D1" w14:textId="77777777" w:rsidR="006C10D2" w:rsidRPr="006653EB" w:rsidRDefault="006C10D2" w:rsidP="00E66302">
            <w:pPr>
              <w:jc w:val="center"/>
              <w:rPr>
                <w:color w:val="000000"/>
                <w:sz w:val="16"/>
                <w:szCs w:val="16"/>
              </w:rPr>
            </w:pPr>
            <w:r w:rsidRPr="006653EB">
              <w:rPr>
                <w:color w:val="000000"/>
                <w:sz w:val="16"/>
                <w:szCs w:val="16"/>
              </w:rPr>
              <w:t>4179</w:t>
            </w:r>
          </w:p>
        </w:tc>
        <w:tc>
          <w:tcPr>
            <w:tcW w:w="505" w:type="dxa"/>
            <w:shd w:val="clear" w:color="auto" w:fill="auto"/>
            <w:noWrap/>
            <w:vAlign w:val="center"/>
          </w:tcPr>
          <w:p w14:paraId="58F70504" w14:textId="77777777" w:rsidR="006C10D2" w:rsidRPr="006653EB" w:rsidRDefault="006C10D2" w:rsidP="00E66302">
            <w:pPr>
              <w:jc w:val="center"/>
              <w:rPr>
                <w:color w:val="000000"/>
                <w:sz w:val="16"/>
                <w:szCs w:val="16"/>
              </w:rPr>
            </w:pPr>
            <w:r w:rsidRPr="006653EB">
              <w:rPr>
                <w:color w:val="000000"/>
                <w:sz w:val="16"/>
                <w:szCs w:val="16"/>
              </w:rPr>
              <w:t>2601</w:t>
            </w:r>
          </w:p>
        </w:tc>
        <w:tc>
          <w:tcPr>
            <w:tcW w:w="505" w:type="dxa"/>
            <w:shd w:val="clear" w:color="auto" w:fill="auto"/>
            <w:noWrap/>
            <w:vAlign w:val="center"/>
          </w:tcPr>
          <w:p w14:paraId="1788432C" w14:textId="77777777" w:rsidR="006C10D2" w:rsidRPr="006653EB" w:rsidRDefault="006C10D2" w:rsidP="00E66302">
            <w:pPr>
              <w:jc w:val="center"/>
              <w:rPr>
                <w:color w:val="000000"/>
                <w:sz w:val="16"/>
                <w:szCs w:val="16"/>
              </w:rPr>
            </w:pPr>
            <w:r w:rsidRPr="006653EB">
              <w:rPr>
                <w:color w:val="000000"/>
                <w:sz w:val="16"/>
                <w:szCs w:val="16"/>
              </w:rPr>
              <w:t>3212</w:t>
            </w:r>
          </w:p>
        </w:tc>
        <w:tc>
          <w:tcPr>
            <w:tcW w:w="465" w:type="dxa"/>
            <w:shd w:val="clear" w:color="auto" w:fill="auto"/>
            <w:noWrap/>
            <w:vAlign w:val="center"/>
          </w:tcPr>
          <w:p w14:paraId="6185A4DB" w14:textId="77777777" w:rsidR="006C10D2" w:rsidRPr="006653EB" w:rsidRDefault="006C10D2" w:rsidP="00E66302">
            <w:pPr>
              <w:jc w:val="center"/>
              <w:rPr>
                <w:color w:val="000000"/>
                <w:sz w:val="16"/>
                <w:szCs w:val="16"/>
              </w:rPr>
            </w:pPr>
            <w:r w:rsidRPr="006653EB">
              <w:rPr>
                <w:color w:val="000000"/>
                <w:sz w:val="16"/>
                <w:szCs w:val="16"/>
              </w:rPr>
              <w:t>0</w:t>
            </w:r>
          </w:p>
        </w:tc>
        <w:tc>
          <w:tcPr>
            <w:tcW w:w="505" w:type="dxa"/>
            <w:shd w:val="clear" w:color="auto" w:fill="auto"/>
            <w:noWrap/>
            <w:vAlign w:val="center"/>
          </w:tcPr>
          <w:p w14:paraId="5F125666" w14:textId="77777777" w:rsidR="006C10D2" w:rsidRPr="006653EB" w:rsidRDefault="006C10D2" w:rsidP="00E66302">
            <w:pPr>
              <w:jc w:val="center"/>
              <w:rPr>
                <w:color w:val="000000"/>
                <w:sz w:val="16"/>
                <w:szCs w:val="16"/>
              </w:rPr>
            </w:pPr>
            <w:r w:rsidRPr="006653EB">
              <w:rPr>
                <w:color w:val="000000"/>
                <w:sz w:val="16"/>
                <w:szCs w:val="16"/>
              </w:rPr>
              <w:t>1138</w:t>
            </w:r>
          </w:p>
        </w:tc>
        <w:tc>
          <w:tcPr>
            <w:tcW w:w="465" w:type="dxa"/>
            <w:shd w:val="clear" w:color="auto" w:fill="auto"/>
            <w:noWrap/>
            <w:vAlign w:val="center"/>
          </w:tcPr>
          <w:p w14:paraId="5D897606" w14:textId="77777777" w:rsidR="006C10D2" w:rsidRPr="006653EB" w:rsidRDefault="006C10D2" w:rsidP="00E66302">
            <w:pPr>
              <w:jc w:val="center"/>
              <w:rPr>
                <w:color w:val="000000"/>
                <w:sz w:val="16"/>
                <w:szCs w:val="16"/>
              </w:rPr>
            </w:pPr>
            <w:r w:rsidRPr="006653EB">
              <w:rPr>
                <w:color w:val="000000"/>
                <w:sz w:val="16"/>
                <w:szCs w:val="16"/>
              </w:rPr>
              <w:t>854</w:t>
            </w:r>
          </w:p>
        </w:tc>
        <w:tc>
          <w:tcPr>
            <w:tcW w:w="465" w:type="dxa"/>
            <w:shd w:val="clear" w:color="auto" w:fill="auto"/>
            <w:noWrap/>
            <w:vAlign w:val="center"/>
          </w:tcPr>
          <w:p w14:paraId="7D819E64" w14:textId="77777777" w:rsidR="006C10D2" w:rsidRPr="006653EB" w:rsidRDefault="006C10D2" w:rsidP="00E66302">
            <w:pPr>
              <w:jc w:val="center"/>
              <w:rPr>
                <w:color w:val="000000"/>
                <w:sz w:val="16"/>
                <w:szCs w:val="16"/>
              </w:rPr>
            </w:pPr>
            <w:r w:rsidRPr="006653EB">
              <w:rPr>
                <w:color w:val="000000"/>
                <w:sz w:val="16"/>
                <w:szCs w:val="16"/>
              </w:rPr>
              <w:t>995</w:t>
            </w:r>
          </w:p>
        </w:tc>
        <w:tc>
          <w:tcPr>
            <w:tcW w:w="465" w:type="dxa"/>
            <w:shd w:val="clear" w:color="auto" w:fill="auto"/>
            <w:noWrap/>
            <w:vAlign w:val="center"/>
          </w:tcPr>
          <w:p w14:paraId="70A656D7" w14:textId="77777777" w:rsidR="006C10D2" w:rsidRPr="006653EB" w:rsidRDefault="006C10D2" w:rsidP="00E66302">
            <w:pPr>
              <w:jc w:val="center"/>
              <w:rPr>
                <w:color w:val="000000"/>
                <w:sz w:val="16"/>
                <w:szCs w:val="16"/>
              </w:rPr>
            </w:pPr>
            <w:r w:rsidRPr="006653EB">
              <w:rPr>
                <w:color w:val="000000"/>
                <w:sz w:val="16"/>
                <w:szCs w:val="16"/>
              </w:rPr>
              <w:t>955</w:t>
            </w:r>
          </w:p>
        </w:tc>
        <w:tc>
          <w:tcPr>
            <w:tcW w:w="465" w:type="dxa"/>
            <w:shd w:val="clear" w:color="auto" w:fill="auto"/>
            <w:noWrap/>
            <w:vAlign w:val="center"/>
          </w:tcPr>
          <w:p w14:paraId="385E6154" w14:textId="77777777" w:rsidR="006C10D2" w:rsidRPr="006653EB" w:rsidRDefault="006C10D2" w:rsidP="00E66302">
            <w:pPr>
              <w:jc w:val="center"/>
              <w:rPr>
                <w:color w:val="000000"/>
                <w:sz w:val="16"/>
                <w:szCs w:val="16"/>
              </w:rPr>
            </w:pPr>
            <w:r w:rsidRPr="006653EB">
              <w:rPr>
                <w:color w:val="000000"/>
                <w:sz w:val="16"/>
                <w:szCs w:val="16"/>
              </w:rPr>
              <w:t>536</w:t>
            </w:r>
          </w:p>
        </w:tc>
        <w:tc>
          <w:tcPr>
            <w:tcW w:w="505" w:type="dxa"/>
            <w:shd w:val="clear" w:color="auto" w:fill="auto"/>
            <w:noWrap/>
            <w:vAlign w:val="center"/>
          </w:tcPr>
          <w:p w14:paraId="17C8AAA9" w14:textId="77777777" w:rsidR="006C10D2" w:rsidRPr="006653EB" w:rsidRDefault="006C10D2" w:rsidP="00E66302">
            <w:pPr>
              <w:jc w:val="center"/>
              <w:rPr>
                <w:color w:val="000000"/>
                <w:sz w:val="16"/>
                <w:szCs w:val="16"/>
              </w:rPr>
            </w:pPr>
            <w:r w:rsidRPr="006653EB">
              <w:rPr>
                <w:color w:val="000000"/>
                <w:sz w:val="16"/>
                <w:szCs w:val="16"/>
              </w:rPr>
              <w:t>3484</w:t>
            </w:r>
          </w:p>
        </w:tc>
        <w:tc>
          <w:tcPr>
            <w:tcW w:w="505" w:type="dxa"/>
            <w:shd w:val="clear" w:color="auto" w:fill="auto"/>
            <w:noWrap/>
            <w:vAlign w:val="center"/>
          </w:tcPr>
          <w:p w14:paraId="0847D264" w14:textId="77777777" w:rsidR="006C10D2" w:rsidRPr="006653EB" w:rsidRDefault="006C10D2" w:rsidP="00E66302">
            <w:pPr>
              <w:jc w:val="center"/>
              <w:rPr>
                <w:color w:val="000000"/>
                <w:sz w:val="16"/>
                <w:szCs w:val="16"/>
              </w:rPr>
            </w:pPr>
            <w:r w:rsidRPr="006653EB">
              <w:rPr>
                <w:color w:val="000000"/>
                <w:sz w:val="16"/>
                <w:szCs w:val="16"/>
              </w:rPr>
              <w:t>3769</w:t>
            </w:r>
          </w:p>
        </w:tc>
        <w:tc>
          <w:tcPr>
            <w:tcW w:w="505" w:type="dxa"/>
            <w:shd w:val="clear" w:color="auto" w:fill="auto"/>
            <w:noWrap/>
            <w:vAlign w:val="center"/>
          </w:tcPr>
          <w:p w14:paraId="465EF442" w14:textId="77777777" w:rsidR="006C10D2" w:rsidRPr="006653EB" w:rsidRDefault="006C10D2" w:rsidP="00E66302">
            <w:pPr>
              <w:jc w:val="center"/>
              <w:rPr>
                <w:color w:val="000000"/>
                <w:sz w:val="16"/>
                <w:szCs w:val="16"/>
              </w:rPr>
            </w:pPr>
            <w:r w:rsidRPr="006653EB">
              <w:rPr>
                <w:color w:val="000000"/>
                <w:sz w:val="16"/>
                <w:szCs w:val="16"/>
              </w:rPr>
              <w:t>3790</w:t>
            </w:r>
          </w:p>
        </w:tc>
        <w:tc>
          <w:tcPr>
            <w:tcW w:w="505" w:type="dxa"/>
            <w:shd w:val="clear" w:color="auto" w:fill="auto"/>
            <w:noWrap/>
            <w:vAlign w:val="center"/>
          </w:tcPr>
          <w:p w14:paraId="43CD6F14" w14:textId="77777777" w:rsidR="006C10D2" w:rsidRPr="006653EB" w:rsidRDefault="006C10D2" w:rsidP="00E66302">
            <w:pPr>
              <w:jc w:val="center"/>
              <w:rPr>
                <w:color w:val="000000"/>
                <w:sz w:val="16"/>
                <w:szCs w:val="16"/>
              </w:rPr>
            </w:pPr>
            <w:r w:rsidRPr="006653EB">
              <w:rPr>
                <w:color w:val="000000"/>
                <w:sz w:val="16"/>
                <w:szCs w:val="16"/>
              </w:rPr>
              <w:t>9697</w:t>
            </w:r>
          </w:p>
        </w:tc>
        <w:tc>
          <w:tcPr>
            <w:tcW w:w="505" w:type="dxa"/>
            <w:shd w:val="clear" w:color="auto" w:fill="auto"/>
            <w:noWrap/>
            <w:vAlign w:val="center"/>
          </w:tcPr>
          <w:p w14:paraId="3B2B29B5" w14:textId="77777777" w:rsidR="006C10D2" w:rsidRPr="006653EB" w:rsidRDefault="006C10D2" w:rsidP="00E66302">
            <w:pPr>
              <w:jc w:val="center"/>
              <w:rPr>
                <w:color w:val="000000"/>
                <w:sz w:val="16"/>
                <w:szCs w:val="16"/>
              </w:rPr>
            </w:pPr>
            <w:r w:rsidRPr="006653EB">
              <w:rPr>
                <w:color w:val="000000"/>
                <w:sz w:val="16"/>
                <w:szCs w:val="16"/>
              </w:rPr>
              <w:t>4230</w:t>
            </w:r>
          </w:p>
        </w:tc>
        <w:tc>
          <w:tcPr>
            <w:tcW w:w="465" w:type="dxa"/>
            <w:shd w:val="clear" w:color="auto" w:fill="auto"/>
            <w:noWrap/>
            <w:vAlign w:val="center"/>
          </w:tcPr>
          <w:p w14:paraId="01EBDD9F" w14:textId="77777777" w:rsidR="006C10D2" w:rsidRPr="006653EB" w:rsidRDefault="006C10D2" w:rsidP="00E66302">
            <w:pPr>
              <w:jc w:val="center"/>
              <w:rPr>
                <w:color w:val="000000"/>
                <w:sz w:val="16"/>
                <w:szCs w:val="16"/>
              </w:rPr>
            </w:pPr>
            <w:r w:rsidRPr="006653EB">
              <w:rPr>
                <w:color w:val="000000"/>
                <w:sz w:val="16"/>
                <w:szCs w:val="16"/>
              </w:rPr>
              <w:t>660</w:t>
            </w:r>
          </w:p>
        </w:tc>
        <w:tc>
          <w:tcPr>
            <w:tcW w:w="505" w:type="dxa"/>
            <w:shd w:val="clear" w:color="auto" w:fill="auto"/>
            <w:noWrap/>
            <w:vAlign w:val="center"/>
          </w:tcPr>
          <w:p w14:paraId="50A1E092" w14:textId="77777777" w:rsidR="006C10D2" w:rsidRPr="006653EB" w:rsidRDefault="006C10D2" w:rsidP="00E66302">
            <w:pPr>
              <w:jc w:val="center"/>
              <w:rPr>
                <w:color w:val="000000"/>
                <w:sz w:val="16"/>
                <w:szCs w:val="16"/>
              </w:rPr>
            </w:pPr>
            <w:r w:rsidRPr="006653EB">
              <w:rPr>
                <w:color w:val="000000"/>
                <w:sz w:val="16"/>
                <w:szCs w:val="16"/>
              </w:rPr>
              <w:t>2783</w:t>
            </w:r>
          </w:p>
        </w:tc>
        <w:tc>
          <w:tcPr>
            <w:tcW w:w="597" w:type="dxa"/>
            <w:shd w:val="clear" w:color="auto" w:fill="auto"/>
            <w:noWrap/>
            <w:vAlign w:val="center"/>
          </w:tcPr>
          <w:p w14:paraId="6D3129A4" w14:textId="77777777" w:rsidR="006C10D2" w:rsidRPr="006653EB" w:rsidRDefault="006C10D2" w:rsidP="00E66302">
            <w:pPr>
              <w:jc w:val="center"/>
              <w:rPr>
                <w:b/>
                <w:bCs/>
                <w:color w:val="000000"/>
                <w:sz w:val="16"/>
                <w:szCs w:val="16"/>
              </w:rPr>
            </w:pPr>
            <w:r w:rsidRPr="006653EB">
              <w:rPr>
                <w:b/>
                <w:bCs/>
                <w:color w:val="000000"/>
                <w:sz w:val="16"/>
                <w:szCs w:val="16"/>
              </w:rPr>
              <w:t>42883</w:t>
            </w:r>
          </w:p>
        </w:tc>
      </w:tr>
    </w:tbl>
    <w:p w14:paraId="24BBB972" w14:textId="77777777" w:rsidR="006C10D2" w:rsidRPr="006653EB" w:rsidRDefault="006C10D2" w:rsidP="006C10D2"/>
    <w:tbl>
      <w:tblPr>
        <w:tblW w:w="9002" w:type="dxa"/>
        <w:tblInd w:w="70" w:type="dxa"/>
        <w:tblBorders>
          <w:top w:val="single" w:sz="4" w:space="0" w:color="auto"/>
          <w:bottom w:val="single" w:sz="4" w:space="0" w:color="auto"/>
          <w:insideH w:val="single" w:sz="4" w:space="0" w:color="auto"/>
        </w:tblBorders>
        <w:tblCellMar>
          <w:left w:w="70" w:type="dxa"/>
          <w:right w:w="70" w:type="dxa"/>
        </w:tblCellMar>
        <w:tblLook w:val="04A0" w:firstRow="1" w:lastRow="0" w:firstColumn="1" w:lastColumn="0" w:noHBand="0" w:noVBand="1"/>
      </w:tblPr>
      <w:tblGrid>
        <w:gridCol w:w="2940"/>
        <w:gridCol w:w="1952"/>
        <w:gridCol w:w="2206"/>
        <w:gridCol w:w="1904"/>
      </w:tblGrid>
      <w:tr w:rsidR="006C10D2" w:rsidRPr="006653EB" w14:paraId="5D81D7F2" w14:textId="77777777" w:rsidTr="00D57C71">
        <w:trPr>
          <w:trHeight w:val="765"/>
        </w:trPr>
        <w:tc>
          <w:tcPr>
            <w:tcW w:w="2940" w:type="dxa"/>
            <w:shd w:val="clear" w:color="auto" w:fill="E7E6E6"/>
            <w:noWrap/>
            <w:vAlign w:val="center"/>
            <w:hideMark/>
          </w:tcPr>
          <w:p w14:paraId="50C5FE1D" w14:textId="77777777" w:rsidR="006C10D2" w:rsidRPr="006653EB" w:rsidRDefault="006C10D2" w:rsidP="00E66302">
            <w:pPr>
              <w:pStyle w:val="tablazat"/>
            </w:pPr>
          </w:p>
        </w:tc>
        <w:tc>
          <w:tcPr>
            <w:tcW w:w="1952" w:type="dxa"/>
            <w:shd w:val="clear" w:color="auto" w:fill="E7E6E6"/>
            <w:vAlign w:val="center"/>
            <w:hideMark/>
          </w:tcPr>
          <w:p w14:paraId="56B2851C" w14:textId="77777777" w:rsidR="006C10D2" w:rsidRPr="006653EB" w:rsidRDefault="006C10D2" w:rsidP="00E66302">
            <w:pPr>
              <w:pStyle w:val="tablazat"/>
              <w:jc w:val="center"/>
            </w:pPr>
            <w:r w:rsidRPr="006653EB">
              <w:t>Önkormányzati forrás</w:t>
            </w:r>
            <w:r>
              <w:t xml:space="preserve"> (HUF)</w:t>
            </w:r>
          </w:p>
        </w:tc>
        <w:tc>
          <w:tcPr>
            <w:tcW w:w="2206" w:type="dxa"/>
            <w:shd w:val="clear" w:color="auto" w:fill="E7E6E6"/>
            <w:vAlign w:val="center"/>
            <w:hideMark/>
          </w:tcPr>
          <w:p w14:paraId="19A97690" w14:textId="77777777" w:rsidR="006C10D2" w:rsidRPr="006653EB" w:rsidRDefault="006C10D2" w:rsidP="00E66302">
            <w:pPr>
              <w:pStyle w:val="tablazat"/>
              <w:jc w:val="center"/>
            </w:pPr>
            <w:r w:rsidRPr="006653EB">
              <w:t>EU, fővárosi támogatás</w:t>
            </w:r>
            <w:r>
              <w:t xml:space="preserve">, </w:t>
            </w:r>
            <w:r w:rsidRPr="006653EB">
              <w:t>beruházói forrás</w:t>
            </w:r>
            <w:r>
              <w:t xml:space="preserve"> (HUF)</w:t>
            </w:r>
          </w:p>
        </w:tc>
        <w:tc>
          <w:tcPr>
            <w:tcW w:w="1904" w:type="dxa"/>
            <w:shd w:val="clear" w:color="auto" w:fill="E7E6E6"/>
            <w:vAlign w:val="center"/>
            <w:hideMark/>
          </w:tcPr>
          <w:p w14:paraId="153641AA" w14:textId="77777777" w:rsidR="006C10D2" w:rsidRPr="006653EB" w:rsidRDefault="006C10D2" w:rsidP="00E66302">
            <w:pPr>
              <w:pStyle w:val="tablazat"/>
              <w:jc w:val="center"/>
            </w:pPr>
            <w:r w:rsidRPr="006653EB">
              <w:t>Összesen</w:t>
            </w:r>
            <w:r>
              <w:t xml:space="preserve"> </w:t>
            </w:r>
            <w:r>
              <w:br/>
              <w:t>(HUF)</w:t>
            </w:r>
          </w:p>
        </w:tc>
      </w:tr>
      <w:tr w:rsidR="006C10D2" w:rsidRPr="006653EB" w14:paraId="30ECF24D" w14:textId="77777777" w:rsidTr="00D57C71">
        <w:trPr>
          <w:trHeight w:val="255"/>
        </w:trPr>
        <w:tc>
          <w:tcPr>
            <w:tcW w:w="2940" w:type="dxa"/>
            <w:shd w:val="clear" w:color="auto" w:fill="auto"/>
            <w:noWrap/>
            <w:vAlign w:val="center"/>
            <w:hideMark/>
          </w:tcPr>
          <w:p w14:paraId="594639CD" w14:textId="77777777" w:rsidR="006C10D2" w:rsidRPr="006653EB" w:rsidRDefault="006C10D2" w:rsidP="00E66302">
            <w:pPr>
              <w:pStyle w:val="tablazat"/>
            </w:pPr>
            <w:r w:rsidRPr="006653EB">
              <w:t>I/1 Közös zöldterület (tömbbelső)</w:t>
            </w:r>
          </w:p>
        </w:tc>
        <w:tc>
          <w:tcPr>
            <w:tcW w:w="1952" w:type="dxa"/>
            <w:shd w:val="clear" w:color="auto" w:fill="auto"/>
            <w:noWrap/>
            <w:vAlign w:val="center"/>
            <w:hideMark/>
          </w:tcPr>
          <w:p w14:paraId="762453F9" w14:textId="77777777" w:rsidR="006C10D2" w:rsidRPr="006653EB" w:rsidRDefault="006C10D2" w:rsidP="00E66302">
            <w:pPr>
              <w:pStyle w:val="tablazat"/>
              <w:jc w:val="center"/>
            </w:pPr>
            <w:r w:rsidRPr="006653EB">
              <w:t>281 965 648</w:t>
            </w:r>
          </w:p>
        </w:tc>
        <w:tc>
          <w:tcPr>
            <w:tcW w:w="2206" w:type="dxa"/>
            <w:shd w:val="clear" w:color="auto" w:fill="auto"/>
            <w:noWrap/>
            <w:vAlign w:val="center"/>
            <w:hideMark/>
          </w:tcPr>
          <w:p w14:paraId="6AB663E0" w14:textId="77777777" w:rsidR="006C10D2" w:rsidRPr="006653EB" w:rsidRDefault="006C10D2" w:rsidP="00E66302">
            <w:pPr>
              <w:pStyle w:val="tablazat"/>
              <w:jc w:val="center"/>
            </w:pPr>
            <w:r w:rsidRPr="006653EB">
              <w:t>177 368 994</w:t>
            </w:r>
          </w:p>
        </w:tc>
        <w:tc>
          <w:tcPr>
            <w:tcW w:w="1904" w:type="dxa"/>
            <w:shd w:val="clear" w:color="auto" w:fill="auto"/>
            <w:noWrap/>
            <w:vAlign w:val="center"/>
            <w:hideMark/>
          </w:tcPr>
          <w:p w14:paraId="72228248" w14:textId="77777777" w:rsidR="006C10D2" w:rsidRPr="006653EB" w:rsidRDefault="006C10D2" w:rsidP="00E66302">
            <w:pPr>
              <w:pStyle w:val="tablazat"/>
              <w:jc w:val="center"/>
            </w:pPr>
            <w:r w:rsidRPr="006653EB">
              <w:t>459 334 642</w:t>
            </w:r>
          </w:p>
        </w:tc>
      </w:tr>
      <w:tr w:rsidR="006C10D2" w:rsidRPr="006653EB" w14:paraId="6F842055" w14:textId="77777777" w:rsidTr="00D57C71">
        <w:trPr>
          <w:trHeight w:val="255"/>
        </w:trPr>
        <w:tc>
          <w:tcPr>
            <w:tcW w:w="2940" w:type="dxa"/>
            <w:shd w:val="clear" w:color="auto" w:fill="auto"/>
            <w:noWrap/>
            <w:vAlign w:val="center"/>
            <w:hideMark/>
          </w:tcPr>
          <w:p w14:paraId="0D184E6A" w14:textId="77777777" w:rsidR="006C10D2" w:rsidRPr="006653EB" w:rsidRDefault="006C10D2" w:rsidP="00E66302">
            <w:pPr>
              <w:pStyle w:val="tablazat"/>
            </w:pPr>
            <w:r w:rsidRPr="006653EB">
              <w:t>I/2 Közterületi átjáró</w:t>
            </w:r>
          </w:p>
        </w:tc>
        <w:tc>
          <w:tcPr>
            <w:tcW w:w="1952" w:type="dxa"/>
            <w:shd w:val="clear" w:color="auto" w:fill="auto"/>
            <w:noWrap/>
            <w:vAlign w:val="center"/>
            <w:hideMark/>
          </w:tcPr>
          <w:p w14:paraId="7884F532" w14:textId="77777777" w:rsidR="006C10D2" w:rsidRPr="006653EB" w:rsidRDefault="006C10D2" w:rsidP="00E66302">
            <w:pPr>
              <w:pStyle w:val="tablazat"/>
              <w:jc w:val="center"/>
            </w:pPr>
            <w:r w:rsidRPr="006653EB">
              <w:t>60 089 833</w:t>
            </w:r>
          </w:p>
        </w:tc>
        <w:tc>
          <w:tcPr>
            <w:tcW w:w="2206" w:type="dxa"/>
            <w:shd w:val="clear" w:color="auto" w:fill="auto"/>
            <w:noWrap/>
            <w:vAlign w:val="center"/>
            <w:hideMark/>
          </w:tcPr>
          <w:p w14:paraId="1FBF8450" w14:textId="77777777" w:rsidR="006C10D2" w:rsidRPr="006653EB" w:rsidRDefault="006C10D2" w:rsidP="00E66302">
            <w:pPr>
              <w:pStyle w:val="tablazat"/>
              <w:jc w:val="center"/>
            </w:pPr>
            <w:r w:rsidRPr="006653EB">
              <w:t>49 525 520</w:t>
            </w:r>
          </w:p>
        </w:tc>
        <w:tc>
          <w:tcPr>
            <w:tcW w:w="1904" w:type="dxa"/>
            <w:shd w:val="clear" w:color="auto" w:fill="auto"/>
            <w:noWrap/>
            <w:vAlign w:val="center"/>
            <w:hideMark/>
          </w:tcPr>
          <w:p w14:paraId="1143C25D" w14:textId="77777777" w:rsidR="006C10D2" w:rsidRPr="006653EB" w:rsidRDefault="006C10D2" w:rsidP="00E66302">
            <w:pPr>
              <w:pStyle w:val="tablazat"/>
              <w:jc w:val="center"/>
            </w:pPr>
            <w:r w:rsidRPr="006653EB">
              <w:t>109 615 353</w:t>
            </w:r>
          </w:p>
        </w:tc>
      </w:tr>
      <w:tr w:rsidR="006C10D2" w:rsidRPr="006653EB" w14:paraId="225F4767" w14:textId="77777777" w:rsidTr="00D57C71">
        <w:trPr>
          <w:trHeight w:val="255"/>
        </w:trPr>
        <w:tc>
          <w:tcPr>
            <w:tcW w:w="2940" w:type="dxa"/>
            <w:shd w:val="clear" w:color="auto" w:fill="auto"/>
            <w:noWrap/>
            <w:vAlign w:val="center"/>
            <w:hideMark/>
          </w:tcPr>
          <w:p w14:paraId="3AD93FB6" w14:textId="77777777" w:rsidR="006C10D2" w:rsidRPr="006653EB" w:rsidRDefault="006C10D2" w:rsidP="00E66302">
            <w:pPr>
              <w:pStyle w:val="tablazat"/>
            </w:pPr>
            <w:r w:rsidRPr="006653EB">
              <w:t>I/3 Közpark</w:t>
            </w:r>
          </w:p>
        </w:tc>
        <w:tc>
          <w:tcPr>
            <w:tcW w:w="1952" w:type="dxa"/>
            <w:shd w:val="clear" w:color="auto" w:fill="auto"/>
            <w:noWrap/>
            <w:vAlign w:val="center"/>
            <w:hideMark/>
          </w:tcPr>
          <w:p w14:paraId="3B6DF312" w14:textId="77777777" w:rsidR="006C10D2" w:rsidRPr="006653EB" w:rsidRDefault="006C10D2" w:rsidP="00E66302">
            <w:pPr>
              <w:pStyle w:val="tablazat"/>
              <w:jc w:val="center"/>
            </w:pPr>
            <w:r w:rsidRPr="006653EB">
              <w:t>370 998 729</w:t>
            </w:r>
          </w:p>
        </w:tc>
        <w:tc>
          <w:tcPr>
            <w:tcW w:w="2206" w:type="dxa"/>
            <w:shd w:val="clear" w:color="auto" w:fill="auto"/>
            <w:noWrap/>
            <w:vAlign w:val="center"/>
            <w:hideMark/>
          </w:tcPr>
          <w:p w14:paraId="0412DE19" w14:textId="77777777" w:rsidR="006C10D2" w:rsidRPr="006653EB" w:rsidRDefault="006C10D2" w:rsidP="00E66302">
            <w:pPr>
              <w:pStyle w:val="tablazat"/>
              <w:jc w:val="center"/>
            </w:pPr>
            <w:r w:rsidRPr="006653EB">
              <w:t>283 107 746</w:t>
            </w:r>
          </w:p>
        </w:tc>
        <w:tc>
          <w:tcPr>
            <w:tcW w:w="1904" w:type="dxa"/>
            <w:shd w:val="clear" w:color="auto" w:fill="auto"/>
            <w:noWrap/>
            <w:vAlign w:val="center"/>
            <w:hideMark/>
          </w:tcPr>
          <w:p w14:paraId="62DF0F6A" w14:textId="77777777" w:rsidR="006C10D2" w:rsidRPr="006653EB" w:rsidRDefault="006C10D2" w:rsidP="00E66302">
            <w:pPr>
              <w:pStyle w:val="tablazat"/>
              <w:jc w:val="center"/>
            </w:pPr>
            <w:r w:rsidRPr="006653EB">
              <w:t>654 106 475</w:t>
            </w:r>
          </w:p>
        </w:tc>
      </w:tr>
      <w:tr w:rsidR="006C10D2" w:rsidRPr="006653EB" w14:paraId="25FAEB3D" w14:textId="77777777" w:rsidTr="00D57C71">
        <w:trPr>
          <w:trHeight w:val="255"/>
        </w:trPr>
        <w:tc>
          <w:tcPr>
            <w:tcW w:w="2940" w:type="dxa"/>
            <w:shd w:val="clear" w:color="auto" w:fill="auto"/>
            <w:noWrap/>
            <w:vAlign w:val="center"/>
            <w:hideMark/>
          </w:tcPr>
          <w:p w14:paraId="3C42F17E" w14:textId="77777777" w:rsidR="006C10D2" w:rsidRPr="006653EB" w:rsidRDefault="006C10D2" w:rsidP="00E66302">
            <w:pPr>
              <w:pStyle w:val="tablazat"/>
            </w:pPr>
            <w:r w:rsidRPr="006653EB">
              <w:t>I/4 Saját zöldterület</w:t>
            </w:r>
          </w:p>
        </w:tc>
        <w:tc>
          <w:tcPr>
            <w:tcW w:w="1952" w:type="dxa"/>
            <w:shd w:val="clear" w:color="auto" w:fill="auto"/>
            <w:noWrap/>
            <w:vAlign w:val="center"/>
            <w:hideMark/>
          </w:tcPr>
          <w:p w14:paraId="6F3735A7" w14:textId="77777777" w:rsidR="006C10D2" w:rsidRPr="006653EB" w:rsidRDefault="006C10D2" w:rsidP="00E66302">
            <w:pPr>
              <w:pStyle w:val="tablazat"/>
              <w:jc w:val="center"/>
            </w:pPr>
            <w:r w:rsidRPr="006653EB">
              <w:t>16 714 476</w:t>
            </w:r>
          </w:p>
        </w:tc>
        <w:tc>
          <w:tcPr>
            <w:tcW w:w="2206" w:type="dxa"/>
            <w:shd w:val="clear" w:color="auto" w:fill="auto"/>
            <w:noWrap/>
            <w:vAlign w:val="center"/>
            <w:hideMark/>
          </w:tcPr>
          <w:p w14:paraId="3412416D" w14:textId="77777777" w:rsidR="006C10D2" w:rsidRPr="006653EB" w:rsidRDefault="006C10D2" w:rsidP="00E66302">
            <w:pPr>
              <w:pStyle w:val="tablazat"/>
              <w:jc w:val="center"/>
            </w:pPr>
          </w:p>
        </w:tc>
        <w:tc>
          <w:tcPr>
            <w:tcW w:w="1904" w:type="dxa"/>
            <w:shd w:val="clear" w:color="auto" w:fill="auto"/>
            <w:noWrap/>
            <w:vAlign w:val="center"/>
            <w:hideMark/>
          </w:tcPr>
          <w:p w14:paraId="3B64D2E2" w14:textId="77777777" w:rsidR="006C10D2" w:rsidRPr="006653EB" w:rsidRDefault="006C10D2" w:rsidP="00E66302">
            <w:pPr>
              <w:pStyle w:val="tablazat"/>
              <w:jc w:val="center"/>
            </w:pPr>
            <w:r w:rsidRPr="006653EB">
              <w:t>16 714 476</w:t>
            </w:r>
          </w:p>
        </w:tc>
      </w:tr>
      <w:tr w:rsidR="006C10D2" w:rsidRPr="006653EB" w14:paraId="2DEE8C78" w14:textId="77777777" w:rsidTr="00D57C71">
        <w:trPr>
          <w:trHeight w:val="255"/>
        </w:trPr>
        <w:tc>
          <w:tcPr>
            <w:tcW w:w="2940" w:type="dxa"/>
            <w:shd w:val="clear" w:color="auto" w:fill="auto"/>
            <w:noWrap/>
            <w:vAlign w:val="center"/>
            <w:hideMark/>
          </w:tcPr>
          <w:p w14:paraId="261F5369" w14:textId="77777777" w:rsidR="006C10D2" w:rsidRPr="006653EB" w:rsidRDefault="006C10D2" w:rsidP="00E66302">
            <w:pPr>
              <w:pStyle w:val="tablazat"/>
            </w:pPr>
            <w:r w:rsidRPr="006653EB">
              <w:t>II/1 Útépítés</w:t>
            </w:r>
          </w:p>
        </w:tc>
        <w:tc>
          <w:tcPr>
            <w:tcW w:w="1952" w:type="dxa"/>
            <w:shd w:val="clear" w:color="auto" w:fill="auto"/>
            <w:noWrap/>
            <w:vAlign w:val="center"/>
            <w:hideMark/>
          </w:tcPr>
          <w:p w14:paraId="1ACFAB3A" w14:textId="77777777" w:rsidR="006C10D2" w:rsidRPr="006653EB" w:rsidRDefault="006C10D2" w:rsidP="00E66302">
            <w:pPr>
              <w:pStyle w:val="tablazat"/>
              <w:jc w:val="center"/>
            </w:pPr>
            <w:r w:rsidRPr="006653EB">
              <w:t>291 673 979</w:t>
            </w:r>
          </w:p>
        </w:tc>
        <w:tc>
          <w:tcPr>
            <w:tcW w:w="2206" w:type="dxa"/>
            <w:shd w:val="clear" w:color="auto" w:fill="auto"/>
            <w:noWrap/>
            <w:vAlign w:val="center"/>
            <w:hideMark/>
          </w:tcPr>
          <w:p w14:paraId="2BE89FDF" w14:textId="77777777" w:rsidR="006C10D2" w:rsidRPr="006653EB" w:rsidRDefault="006C10D2" w:rsidP="00E66302">
            <w:pPr>
              <w:pStyle w:val="tablazat"/>
              <w:jc w:val="center"/>
            </w:pPr>
            <w:r w:rsidRPr="006653EB">
              <w:t>247 092 536</w:t>
            </w:r>
          </w:p>
        </w:tc>
        <w:tc>
          <w:tcPr>
            <w:tcW w:w="1904" w:type="dxa"/>
            <w:shd w:val="clear" w:color="auto" w:fill="auto"/>
            <w:noWrap/>
            <w:vAlign w:val="center"/>
            <w:hideMark/>
          </w:tcPr>
          <w:p w14:paraId="1649F2A6" w14:textId="77777777" w:rsidR="006C10D2" w:rsidRPr="006653EB" w:rsidRDefault="006C10D2" w:rsidP="00E66302">
            <w:pPr>
              <w:pStyle w:val="tablazat"/>
              <w:jc w:val="center"/>
            </w:pPr>
            <w:r w:rsidRPr="006653EB">
              <w:t>538 766 515</w:t>
            </w:r>
          </w:p>
        </w:tc>
      </w:tr>
      <w:tr w:rsidR="006C10D2" w:rsidRPr="006653EB" w14:paraId="3BC080D3" w14:textId="77777777" w:rsidTr="00D57C71">
        <w:trPr>
          <w:trHeight w:val="255"/>
        </w:trPr>
        <w:tc>
          <w:tcPr>
            <w:tcW w:w="2940" w:type="dxa"/>
            <w:shd w:val="clear" w:color="auto" w:fill="auto"/>
            <w:noWrap/>
            <w:vAlign w:val="center"/>
            <w:hideMark/>
          </w:tcPr>
          <w:p w14:paraId="338F99FB" w14:textId="77777777" w:rsidR="006C10D2" w:rsidRPr="006653EB" w:rsidRDefault="006C10D2" w:rsidP="00E66302">
            <w:pPr>
              <w:pStyle w:val="tablazat"/>
            </w:pPr>
            <w:r w:rsidRPr="006653EB">
              <w:t xml:space="preserve">II/2 Járda felújítás, </w:t>
            </w:r>
            <w:proofErr w:type="spellStart"/>
            <w:r w:rsidRPr="006653EB">
              <w:t>pollerek</w:t>
            </w:r>
            <w:proofErr w:type="spellEnd"/>
          </w:p>
        </w:tc>
        <w:tc>
          <w:tcPr>
            <w:tcW w:w="1952" w:type="dxa"/>
            <w:shd w:val="clear" w:color="auto" w:fill="auto"/>
            <w:noWrap/>
            <w:vAlign w:val="center"/>
            <w:hideMark/>
          </w:tcPr>
          <w:p w14:paraId="2713097A" w14:textId="77777777" w:rsidR="006C10D2" w:rsidRPr="006653EB" w:rsidRDefault="006C10D2" w:rsidP="00E66302">
            <w:pPr>
              <w:pStyle w:val="tablazat"/>
              <w:jc w:val="center"/>
            </w:pPr>
            <w:r w:rsidRPr="006653EB">
              <w:t>79 692 568</w:t>
            </w:r>
          </w:p>
        </w:tc>
        <w:tc>
          <w:tcPr>
            <w:tcW w:w="2206" w:type="dxa"/>
            <w:shd w:val="clear" w:color="auto" w:fill="auto"/>
            <w:noWrap/>
            <w:vAlign w:val="center"/>
            <w:hideMark/>
          </w:tcPr>
          <w:p w14:paraId="205F5840" w14:textId="77777777" w:rsidR="006C10D2" w:rsidRPr="006653EB" w:rsidRDefault="006C10D2" w:rsidP="00E66302">
            <w:pPr>
              <w:pStyle w:val="tablazat"/>
              <w:jc w:val="center"/>
            </w:pPr>
          </w:p>
        </w:tc>
        <w:tc>
          <w:tcPr>
            <w:tcW w:w="1904" w:type="dxa"/>
            <w:shd w:val="clear" w:color="auto" w:fill="auto"/>
            <w:noWrap/>
            <w:vAlign w:val="center"/>
            <w:hideMark/>
          </w:tcPr>
          <w:p w14:paraId="04C95B4E" w14:textId="77777777" w:rsidR="006C10D2" w:rsidRPr="006653EB" w:rsidRDefault="006C10D2" w:rsidP="00E66302">
            <w:pPr>
              <w:pStyle w:val="tablazat"/>
              <w:jc w:val="center"/>
            </w:pPr>
            <w:r w:rsidRPr="006653EB">
              <w:t>79 692 568</w:t>
            </w:r>
          </w:p>
        </w:tc>
      </w:tr>
      <w:tr w:rsidR="006C10D2" w:rsidRPr="006653EB" w14:paraId="3EE9DF12" w14:textId="77777777" w:rsidTr="00D57C71">
        <w:trPr>
          <w:trHeight w:val="255"/>
        </w:trPr>
        <w:tc>
          <w:tcPr>
            <w:tcW w:w="2940" w:type="dxa"/>
            <w:shd w:val="clear" w:color="auto" w:fill="auto"/>
            <w:noWrap/>
            <w:vAlign w:val="center"/>
            <w:hideMark/>
          </w:tcPr>
          <w:p w14:paraId="631AEF0C" w14:textId="77777777" w:rsidR="006C10D2" w:rsidRPr="006653EB" w:rsidRDefault="006C10D2" w:rsidP="00E66302">
            <w:pPr>
              <w:pStyle w:val="tablazat"/>
            </w:pPr>
            <w:r w:rsidRPr="006653EB">
              <w:t>III Közművek felújítása</w:t>
            </w:r>
          </w:p>
        </w:tc>
        <w:tc>
          <w:tcPr>
            <w:tcW w:w="1952" w:type="dxa"/>
            <w:shd w:val="clear" w:color="auto" w:fill="auto"/>
            <w:noWrap/>
            <w:vAlign w:val="center"/>
            <w:hideMark/>
          </w:tcPr>
          <w:p w14:paraId="1B519BBE" w14:textId="77777777" w:rsidR="006C10D2" w:rsidRPr="006653EB" w:rsidRDefault="006C10D2" w:rsidP="00E66302">
            <w:pPr>
              <w:pStyle w:val="tablazat"/>
              <w:jc w:val="center"/>
            </w:pPr>
            <w:r w:rsidRPr="006653EB">
              <w:t>202 770 543</w:t>
            </w:r>
          </w:p>
        </w:tc>
        <w:tc>
          <w:tcPr>
            <w:tcW w:w="2206" w:type="dxa"/>
            <w:shd w:val="clear" w:color="auto" w:fill="auto"/>
            <w:noWrap/>
            <w:vAlign w:val="center"/>
            <w:hideMark/>
          </w:tcPr>
          <w:p w14:paraId="24D08F95" w14:textId="77777777" w:rsidR="006C10D2" w:rsidRPr="006653EB" w:rsidRDefault="006C10D2" w:rsidP="00E66302">
            <w:pPr>
              <w:pStyle w:val="tablazat"/>
              <w:jc w:val="center"/>
            </w:pPr>
          </w:p>
        </w:tc>
        <w:tc>
          <w:tcPr>
            <w:tcW w:w="1904" w:type="dxa"/>
            <w:shd w:val="clear" w:color="auto" w:fill="auto"/>
            <w:noWrap/>
            <w:vAlign w:val="center"/>
            <w:hideMark/>
          </w:tcPr>
          <w:p w14:paraId="70210C83" w14:textId="77777777" w:rsidR="006C10D2" w:rsidRPr="006653EB" w:rsidRDefault="006C10D2" w:rsidP="00E66302">
            <w:pPr>
              <w:pStyle w:val="tablazat"/>
              <w:jc w:val="center"/>
            </w:pPr>
            <w:r w:rsidRPr="006653EB">
              <w:t>202 770 543</w:t>
            </w:r>
          </w:p>
        </w:tc>
      </w:tr>
      <w:tr w:rsidR="006C10D2" w:rsidRPr="006653EB" w14:paraId="1030ADAB" w14:textId="77777777" w:rsidTr="00D57C71">
        <w:trPr>
          <w:trHeight w:val="255"/>
        </w:trPr>
        <w:tc>
          <w:tcPr>
            <w:tcW w:w="2940" w:type="dxa"/>
            <w:shd w:val="clear" w:color="auto" w:fill="auto"/>
            <w:noWrap/>
            <w:vAlign w:val="center"/>
            <w:hideMark/>
          </w:tcPr>
          <w:p w14:paraId="2D1F9B85" w14:textId="77777777" w:rsidR="006C10D2" w:rsidRPr="006653EB" w:rsidRDefault="006C10D2" w:rsidP="00E66302">
            <w:pPr>
              <w:pStyle w:val="tablazat"/>
            </w:pPr>
            <w:r w:rsidRPr="006653EB">
              <w:t>IV Épületbontások</w:t>
            </w:r>
          </w:p>
        </w:tc>
        <w:tc>
          <w:tcPr>
            <w:tcW w:w="1952" w:type="dxa"/>
            <w:shd w:val="clear" w:color="auto" w:fill="auto"/>
            <w:noWrap/>
            <w:vAlign w:val="center"/>
            <w:hideMark/>
          </w:tcPr>
          <w:p w14:paraId="309DF8F6" w14:textId="77777777" w:rsidR="006C10D2" w:rsidRPr="006653EB" w:rsidRDefault="006C10D2" w:rsidP="00E66302">
            <w:pPr>
              <w:pStyle w:val="tablazat"/>
              <w:jc w:val="center"/>
            </w:pPr>
            <w:r w:rsidRPr="006653EB">
              <w:t>234 393 351</w:t>
            </w:r>
          </w:p>
        </w:tc>
        <w:tc>
          <w:tcPr>
            <w:tcW w:w="2206" w:type="dxa"/>
            <w:shd w:val="clear" w:color="auto" w:fill="auto"/>
            <w:noWrap/>
            <w:vAlign w:val="center"/>
            <w:hideMark/>
          </w:tcPr>
          <w:p w14:paraId="3764BF52" w14:textId="77777777" w:rsidR="006C10D2" w:rsidRPr="006653EB" w:rsidRDefault="006C10D2" w:rsidP="00E66302">
            <w:pPr>
              <w:pStyle w:val="tablazat"/>
              <w:jc w:val="center"/>
            </w:pPr>
          </w:p>
        </w:tc>
        <w:tc>
          <w:tcPr>
            <w:tcW w:w="1904" w:type="dxa"/>
            <w:shd w:val="clear" w:color="auto" w:fill="auto"/>
            <w:noWrap/>
            <w:vAlign w:val="center"/>
            <w:hideMark/>
          </w:tcPr>
          <w:p w14:paraId="2F0C9158" w14:textId="77777777" w:rsidR="006C10D2" w:rsidRPr="006653EB" w:rsidRDefault="006C10D2" w:rsidP="00E66302">
            <w:pPr>
              <w:pStyle w:val="tablazat"/>
              <w:jc w:val="center"/>
            </w:pPr>
            <w:r w:rsidRPr="006653EB">
              <w:t>234 393 351</w:t>
            </w:r>
          </w:p>
        </w:tc>
      </w:tr>
      <w:tr w:rsidR="006C10D2" w:rsidRPr="006653EB" w14:paraId="6FAB540E" w14:textId="77777777" w:rsidTr="00D57C71">
        <w:trPr>
          <w:trHeight w:val="255"/>
        </w:trPr>
        <w:tc>
          <w:tcPr>
            <w:tcW w:w="2940" w:type="dxa"/>
            <w:shd w:val="clear" w:color="auto" w:fill="auto"/>
            <w:noWrap/>
            <w:vAlign w:val="center"/>
            <w:hideMark/>
          </w:tcPr>
          <w:p w14:paraId="368344A6" w14:textId="77777777" w:rsidR="006C10D2" w:rsidRPr="006653EB" w:rsidRDefault="006C10D2" w:rsidP="00E66302">
            <w:pPr>
              <w:pStyle w:val="tablazat"/>
            </w:pPr>
            <w:r w:rsidRPr="006653EB">
              <w:t>V Tervezési feladatok</w:t>
            </w:r>
          </w:p>
        </w:tc>
        <w:tc>
          <w:tcPr>
            <w:tcW w:w="1952" w:type="dxa"/>
            <w:shd w:val="clear" w:color="auto" w:fill="auto"/>
            <w:noWrap/>
            <w:vAlign w:val="center"/>
            <w:hideMark/>
          </w:tcPr>
          <w:p w14:paraId="64ED71BD" w14:textId="77777777" w:rsidR="006C10D2" w:rsidRPr="006653EB" w:rsidRDefault="006C10D2" w:rsidP="00E66302">
            <w:pPr>
              <w:pStyle w:val="tablazat"/>
              <w:jc w:val="center"/>
            </w:pPr>
            <w:r w:rsidRPr="006653EB">
              <w:t>346 425 497</w:t>
            </w:r>
          </w:p>
        </w:tc>
        <w:tc>
          <w:tcPr>
            <w:tcW w:w="2206" w:type="dxa"/>
            <w:shd w:val="clear" w:color="auto" w:fill="auto"/>
            <w:noWrap/>
            <w:vAlign w:val="center"/>
            <w:hideMark/>
          </w:tcPr>
          <w:p w14:paraId="04314CE9" w14:textId="77777777" w:rsidR="006C10D2" w:rsidRPr="006653EB" w:rsidRDefault="006C10D2" w:rsidP="00E66302">
            <w:pPr>
              <w:pStyle w:val="tablazat"/>
              <w:jc w:val="center"/>
            </w:pPr>
          </w:p>
        </w:tc>
        <w:tc>
          <w:tcPr>
            <w:tcW w:w="1904" w:type="dxa"/>
            <w:shd w:val="clear" w:color="auto" w:fill="auto"/>
            <w:noWrap/>
            <w:vAlign w:val="center"/>
            <w:hideMark/>
          </w:tcPr>
          <w:p w14:paraId="726033AC" w14:textId="77777777" w:rsidR="006C10D2" w:rsidRPr="006653EB" w:rsidRDefault="006C10D2" w:rsidP="00E66302">
            <w:pPr>
              <w:pStyle w:val="tablazat"/>
              <w:jc w:val="center"/>
            </w:pPr>
            <w:r w:rsidRPr="006653EB">
              <w:t>346 425 497</w:t>
            </w:r>
          </w:p>
        </w:tc>
      </w:tr>
      <w:tr w:rsidR="006C10D2" w:rsidRPr="006653EB" w14:paraId="16E667F0" w14:textId="77777777" w:rsidTr="00D57C71">
        <w:trPr>
          <w:trHeight w:val="255"/>
        </w:trPr>
        <w:tc>
          <w:tcPr>
            <w:tcW w:w="2940" w:type="dxa"/>
            <w:shd w:val="clear" w:color="auto" w:fill="auto"/>
            <w:noWrap/>
            <w:vAlign w:val="center"/>
            <w:hideMark/>
          </w:tcPr>
          <w:p w14:paraId="1AC47F9F" w14:textId="77777777" w:rsidR="006C10D2" w:rsidRPr="006C10D2" w:rsidRDefault="006C10D2" w:rsidP="00E66302">
            <w:pPr>
              <w:pStyle w:val="tablazat"/>
              <w:rPr>
                <w:b/>
                <w:bCs/>
              </w:rPr>
            </w:pPr>
            <w:r w:rsidRPr="006C10D2">
              <w:rPr>
                <w:b/>
                <w:bCs/>
              </w:rPr>
              <w:t>VI Épület felújítások</w:t>
            </w:r>
          </w:p>
        </w:tc>
        <w:tc>
          <w:tcPr>
            <w:tcW w:w="1952" w:type="dxa"/>
            <w:shd w:val="clear" w:color="auto" w:fill="auto"/>
            <w:noWrap/>
            <w:vAlign w:val="center"/>
            <w:hideMark/>
          </w:tcPr>
          <w:p w14:paraId="7F60A4D7" w14:textId="77777777" w:rsidR="006C10D2" w:rsidRPr="006C10D2" w:rsidRDefault="006C10D2" w:rsidP="00E66302">
            <w:pPr>
              <w:pStyle w:val="tablazat"/>
              <w:jc w:val="center"/>
              <w:rPr>
                <w:b/>
                <w:bCs/>
              </w:rPr>
            </w:pPr>
            <w:r w:rsidRPr="006C10D2">
              <w:rPr>
                <w:b/>
                <w:bCs/>
              </w:rPr>
              <w:t>2 878 288 000</w:t>
            </w:r>
          </w:p>
        </w:tc>
        <w:tc>
          <w:tcPr>
            <w:tcW w:w="2206" w:type="dxa"/>
            <w:shd w:val="clear" w:color="auto" w:fill="auto"/>
            <w:noWrap/>
            <w:vAlign w:val="center"/>
            <w:hideMark/>
          </w:tcPr>
          <w:p w14:paraId="39A0C125" w14:textId="77777777" w:rsidR="006C10D2" w:rsidRPr="006C10D2" w:rsidRDefault="006C10D2" w:rsidP="00E66302">
            <w:pPr>
              <w:pStyle w:val="tablazat"/>
              <w:jc w:val="center"/>
              <w:rPr>
                <w:b/>
                <w:bCs/>
              </w:rPr>
            </w:pPr>
            <w:r w:rsidRPr="006C10D2">
              <w:rPr>
                <w:b/>
                <w:bCs/>
              </w:rPr>
              <w:t>3 655 016 000</w:t>
            </w:r>
          </w:p>
        </w:tc>
        <w:tc>
          <w:tcPr>
            <w:tcW w:w="1904" w:type="dxa"/>
            <w:shd w:val="clear" w:color="auto" w:fill="auto"/>
            <w:noWrap/>
            <w:vAlign w:val="center"/>
            <w:hideMark/>
          </w:tcPr>
          <w:p w14:paraId="671E77CA" w14:textId="77777777" w:rsidR="006C10D2" w:rsidRPr="006C10D2" w:rsidRDefault="006C10D2" w:rsidP="00E66302">
            <w:pPr>
              <w:pStyle w:val="tablazat"/>
              <w:jc w:val="center"/>
              <w:rPr>
                <w:b/>
                <w:bCs/>
              </w:rPr>
            </w:pPr>
            <w:r w:rsidRPr="006C10D2">
              <w:rPr>
                <w:b/>
                <w:bCs/>
              </w:rPr>
              <w:t>6 533 304 000</w:t>
            </w:r>
          </w:p>
        </w:tc>
      </w:tr>
      <w:tr w:rsidR="006C10D2" w:rsidRPr="006653EB" w14:paraId="47B72BA7" w14:textId="77777777" w:rsidTr="00D57C71">
        <w:trPr>
          <w:trHeight w:val="255"/>
        </w:trPr>
        <w:tc>
          <w:tcPr>
            <w:tcW w:w="2940" w:type="dxa"/>
            <w:shd w:val="clear" w:color="auto" w:fill="auto"/>
            <w:noWrap/>
            <w:vAlign w:val="center"/>
            <w:hideMark/>
          </w:tcPr>
          <w:p w14:paraId="202E16B7" w14:textId="77777777" w:rsidR="006C10D2" w:rsidRPr="006653EB" w:rsidRDefault="006C10D2" w:rsidP="00E66302">
            <w:pPr>
              <w:pStyle w:val="tablazat"/>
            </w:pPr>
            <w:r w:rsidRPr="006653EB">
              <w:t>VII Ingatlanvásárlás</w:t>
            </w:r>
          </w:p>
        </w:tc>
        <w:tc>
          <w:tcPr>
            <w:tcW w:w="1952" w:type="dxa"/>
            <w:shd w:val="clear" w:color="auto" w:fill="auto"/>
            <w:noWrap/>
            <w:vAlign w:val="center"/>
            <w:hideMark/>
          </w:tcPr>
          <w:p w14:paraId="232A2A9F" w14:textId="77777777" w:rsidR="006C10D2" w:rsidRPr="006653EB" w:rsidRDefault="006C10D2" w:rsidP="00E66302">
            <w:pPr>
              <w:pStyle w:val="tablazat"/>
              <w:jc w:val="center"/>
            </w:pPr>
            <w:r w:rsidRPr="006653EB">
              <w:t>893 131 125</w:t>
            </w:r>
          </w:p>
        </w:tc>
        <w:tc>
          <w:tcPr>
            <w:tcW w:w="2206" w:type="dxa"/>
            <w:shd w:val="clear" w:color="auto" w:fill="auto"/>
            <w:noWrap/>
            <w:vAlign w:val="center"/>
            <w:hideMark/>
          </w:tcPr>
          <w:p w14:paraId="23B1DBD2" w14:textId="77777777" w:rsidR="006C10D2" w:rsidRPr="006653EB" w:rsidRDefault="006C10D2" w:rsidP="00E66302">
            <w:pPr>
              <w:pStyle w:val="tablazat"/>
              <w:jc w:val="center"/>
            </w:pPr>
          </w:p>
        </w:tc>
        <w:tc>
          <w:tcPr>
            <w:tcW w:w="1904" w:type="dxa"/>
            <w:shd w:val="clear" w:color="auto" w:fill="auto"/>
            <w:noWrap/>
            <w:vAlign w:val="center"/>
            <w:hideMark/>
          </w:tcPr>
          <w:p w14:paraId="794ADAC2" w14:textId="77777777" w:rsidR="006C10D2" w:rsidRPr="006653EB" w:rsidRDefault="006C10D2" w:rsidP="00E66302">
            <w:pPr>
              <w:pStyle w:val="tablazat"/>
              <w:jc w:val="center"/>
            </w:pPr>
            <w:r w:rsidRPr="006653EB">
              <w:t>893 131 125</w:t>
            </w:r>
          </w:p>
        </w:tc>
      </w:tr>
      <w:tr w:rsidR="006C10D2" w:rsidRPr="006653EB" w14:paraId="45EFDEB5" w14:textId="77777777" w:rsidTr="00D57C71">
        <w:trPr>
          <w:trHeight w:val="255"/>
        </w:trPr>
        <w:tc>
          <w:tcPr>
            <w:tcW w:w="2940" w:type="dxa"/>
            <w:shd w:val="clear" w:color="auto" w:fill="auto"/>
            <w:noWrap/>
            <w:vAlign w:val="center"/>
            <w:hideMark/>
          </w:tcPr>
          <w:p w14:paraId="59128427" w14:textId="77777777" w:rsidR="006C10D2" w:rsidRPr="006653EB" w:rsidRDefault="006C10D2" w:rsidP="00E66302">
            <w:pPr>
              <w:pStyle w:val="tablazat"/>
              <w:rPr>
                <w:b/>
                <w:bCs/>
              </w:rPr>
            </w:pPr>
            <w:r w:rsidRPr="006653EB">
              <w:rPr>
                <w:b/>
                <w:bCs/>
              </w:rPr>
              <w:t>Összesen</w:t>
            </w:r>
          </w:p>
        </w:tc>
        <w:tc>
          <w:tcPr>
            <w:tcW w:w="1952" w:type="dxa"/>
            <w:shd w:val="clear" w:color="auto" w:fill="auto"/>
            <w:noWrap/>
            <w:vAlign w:val="center"/>
            <w:hideMark/>
          </w:tcPr>
          <w:p w14:paraId="3664A7E2" w14:textId="77777777" w:rsidR="006C10D2" w:rsidRPr="006653EB" w:rsidRDefault="006C10D2" w:rsidP="00E66302">
            <w:pPr>
              <w:pStyle w:val="tablazat"/>
              <w:jc w:val="center"/>
              <w:rPr>
                <w:b/>
                <w:bCs/>
              </w:rPr>
            </w:pPr>
            <w:r w:rsidRPr="006653EB">
              <w:rPr>
                <w:b/>
                <w:bCs/>
              </w:rPr>
              <w:t>5 656 143 749</w:t>
            </w:r>
          </w:p>
        </w:tc>
        <w:tc>
          <w:tcPr>
            <w:tcW w:w="2206" w:type="dxa"/>
            <w:shd w:val="clear" w:color="auto" w:fill="auto"/>
            <w:noWrap/>
            <w:vAlign w:val="center"/>
            <w:hideMark/>
          </w:tcPr>
          <w:p w14:paraId="4E89492A" w14:textId="77777777" w:rsidR="006C10D2" w:rsidRPr="006653EB" w:rsidRDefault="006C10D2" w:rsidP="00E66302">
            <w:pPr>
              <w:pStyle w:val="tablazat"/>
              <w:jc w:val="center"/>
              <w:rPr>
                <w:b/>
                <w:bCs/>
              </w:rPr>
            </w:pPr>
            <w:r w:rsidRPr="006653EB">
              <w:rPr>
                <w:b/>
                <w:bCs/>
              </w:rPr>
              <w:t>4 412 110 796</w:t>
            </w:r>
          </w:p>
        </w:tc>
        <w:tc>
          <w:tcPr>
            <w:tcW w:w="1904" w:type="dxa"/>
            <w:shd w:val="clear" w:color="auto" w:fill="auto"/>
            <w:noWrap/>
            <w:vAlign w:val="center"/>
            <w:hideMark/>
          </w:tcPr>
          <w:p w14:paraId="03C8B5B7" w14:textId="77777777" w:rsidR="006C10D2" w:rsidRPr="006653EB" w:rsidRDefault="006C10D2" w:rsidP="00E66302">
            <w:pPr>
              <w:pStyle w:val="tablazat"/>
              <w:jc w:val="center"/>
              <w:rPr>
                <w:b/>
                <w:bCs/>
              </w:rPr>
            </w:pPr>
            <w:r w:rsidRPr="006653EB">
              <w:rPr>
                <w:b/>
                <w:bCs/>
              </w:rPr>
              <w:t>10 068 254 545</w:t>
            </w:r>
          </w:p>
        </w:tc>
      </w:tr>
    </w:tbl>
    <w:p w14:paraId="407F8961" w14:textId="065FD079" w:rsidR="00C32A57" w:rsidRDefault="006C10D2" w:rsidP="00C32A57">
      <w:r w:rsidRPr="006653EB">
        <w:t>A nem saját forrásokból a fővárosi támogatás 82,84% (3 655 016 000 HUF), EU-s támogatás 10,82% (477 200 282 HUF) és beruházói forrás 6,34% (279 894 514 HUF) volt.</w:t>
      </w:r>
    </w:p>
    <w:p w14:paraId="41EF29DC" w14:textId="4FE84135" w:rsidR="00D139B5" w:rsidRDefault="00D139B5" w:rsidP="00AF48CC">
      <w:pPr>
        <w:pStyle w:val="Cmsor1"/>
      </w:pPr>
      <w:bookmarkStart w:id="12" w:name="_Toc133257982"/>
      <w:r w:rsidRPr="00D139B5">
        <w:t>A felújítási alapokra vonatkozó magyar jogszabályi környezet</w:t>
      </w:r>
      <w:bookmarkEnd w:id="12"/>
      <w:r w:rsidRPr="00D139B5">
        <w:t xml:space="preserve"> </w:t>
      </w:r>
    </w:p>
    <w:p w14:paraId="1C1A6EEA" w14:textId="4229425D" w:rsidR="00EE30DA" w:rsidRPr="00EE30DA" w:rsidRDefault="00EE30DA" w:rsidP="00EE30DA">
      <w:r w:rsidRPr="00EE30DA">
        <w:t>A</w:t>
      </w:r>
      <w:r>
        <w:t xml:space="preserve"> társasházi </w:t>
      </w:r>
      <w:proofErr w:type="spellStart"/>
      <w:r>
        <w:t>épületfelújítások</w:t>
      </w:r>
      <w:proofErr w:type="spellEnd"/>
      <w:r>
        <w:t xml:space="preserve"> </w:t>
      </w:r>
      <w:r w:rsidRPr="00EE30DA">
        <w:t>számos hazai jogszabály keretrendszerében működik, amelyek legfontosabbjait, vonatkozó rendelkezéseit röviden bemutatjuk.</w:t>
      </w:r>
    </w:p>
    <w:p w14:paraId="15807EFE" w14:textId="74AF7D4E" w:rsidR="004B4110" w:rsidRDefault="004B4110" w:rsidP="00AF48CC">
      <w:pPr>
        <w:pStyle w:val="Cmsor2"/>
      </w:pPr>
      <w:bookmarkStart w:id="13" w:name="_Toc133257983"/>
      <w:r>
        <w:t xml:space="preserve">Önkormányzati </w:t>
      </w:r>
      <w:r w:rsidR="000C7357">
        <w:t xml:space="preserve">törvény (2011. évi CLXXXIX. törvény Magyarország helyi önkormányzatairól, továbbiakban: </w:t>
      </w:r>
      <w:proofErr w:type="spellStart"/>
      <w:r w:rsidR="000C7357">
        <w:t>Mötv</w:t>
      </w:r>
      <w:proofErr w:type="spellEnd"/>
      <w:r w:rsidR="000C7357">
        <w:t>)</w:t>
      </w:r>
      <w:bookmarkEnd w:id="13"/>
    </w:p>
    <w:p w14:paraId="3A9CB1DD" w14:textId="77777777" w:rsidR="00A4495A" w:rsidRDefault="00666AEA" w:rsidP="00A4495A">
      <w:r>
        <w:t xml:space="preserve">A </w:t>
      </w:r>
      <w:proofErr w:type="spellStart"/>
      <w:r>
        <w:t>Mötv</w:t>
      </w:r>
      <w:proofErr w:type="spellEnd"/>
      <w:r>
        <w:t xml:space="preserve">. szerint a helyi önkormányzat ellátja a törvényben meghatározott kötelező és az általa önként vállalt feladat- és hatásköröket. </w:t>
      </w:r>
    </w:p>
    <w:p w14:paraId="32EA5DA0" w14:textId="77777777" w:rsidR="00A4495A" w:rsidRDefault="00666AEA" w:rsidP="00A4495A">
      <w:r>
        <w:t xml:space="preserve">A törvény a helyi közügyek és a helyben biztosítható közfeladatok körében nevesíti </w:t>
      </w:r>
      <w:r w:rsidR="00A4495A">
        <w:t xml:space="preserve">a </w:t>
      </w:r>
      <w:r w:rsidR="00A4495A" w:rsidRPr="00A4495A">
        <w:t>településfejlesztés</w:t>
      </w:r>
      <w:r w:rsidR="00A4495A">
        <w:t xml:space="preserve">t és </w:t>
      </w:r>
      <w:r w:rsidR="00A4495A" w:rsidRPr="00A4495A">
        <w:t>településrendezés</w:t>
      </w:r>
      <w:r w:rsidR="00A4495A">
        <w:t xml:space="preserve">t, a </w:t>
      </w:r>
      <w:r w:rsidR="00A4495A" w:rsidRPr="00A4495A">
        <w:t>helyi környezet- és természetvédel</w:t>
      </w:r>
      <w:r w:rsidR="00A4495A">
        <w:t>met</w:t>
      </w:r>
      <w:r w:rsidR="00A4495A" w:rsidRPr="00A4495A">
        <w:t>, vízgazdálkodás</w:t>
      </w:r>
      <w:r w:rsidR="00A4495A">
        <w:t xml:space="preserve">t és </w:t>
      </w:r>
      <w:r w:rsidR="00A4495A" w:rsidRPr="00A4495A">
        <w:t>vízkárelhárítás</w:t>
      </w:r>
      <w:r w:rsidR="00A4495A">
        <w:t xml:space="preserve">t, valamint </w:t>
      </w:r>
      <w:r>
        <w:t>a lakás- és helyiséggazdálkodást</w:t>
      </w:r>
      <w:r w:rsidR="00A4495A">
        <w:t xml:space="preserve">. </w:t>
      </w:r>
    </w:p>
    <w:p w14:paraId="4AAAC05A" w14:textId="2E58C9AD" w:rsidR="00A4495A" w:rsidRDefault="00A4495A">
      <w:pPr>
        <w:pStyle w:val="Listaszerbekezds"/>
        <w:numPr>
          <w:ilvl w:val="0"/>
          <w:numId w:val="4"/>
        </w:numPr>
      </w:pPr>
      <w:r>
        <w:lastRenderedPageBreak/>
        <w:t>Az épített környezet alakításáról és védelméről szóló 1997. évi LXXVIII. törvény (</w:t>
      </w:r>
      <w:proofErr w:type="spellStart"/>
      <w:r>
        <w:t>Étv</w:t>
      </w:r>
      <w:proofErr w:type="spellEnd"/>
      <w:r>
        <w:t>.) a</w:t>
      </w:r>
      <w:r w:rsidRPr="00A4495A">
        <w:t xml:space="preserve"> települési önkormányzat </w:t>
      </w:r>
      <w:r>
        <w:t>kötelező feladatának nevesíti „a</w:t>
      </w:r>
      <w:r w:rsidRPr="00A4495A">
        <w:t>z épített környezet, a település tervszerű alakítása és védelme érdekében</w:t>
      </w:r>
      <w:r>
        <w:t xml:space="preserve">” a </w:t>
      </w:r>
      <w:r w:rsidRPr="00A4495A">
        <w:t>településfejlesztési és településrendezési feladatokat</w:t>
      </w:r>
      <w:r>
        <w:t xml:space="preserve">. </w:t>
      </w:r>
    </w:p>
    <w:p w14:paraId="3E82CF80" w14:textId="3573F1D3" w:rsidR="00A4495A" w:rsidRDefault="00A4495A">
      <w:pPr>
        <w:pStyle w:val="Listaszerbekezds"/>
        <w:numPr>
          <w:ilvl w:val="0"/>
          <w:numId w:val="4"/>
        </w:numPr>
      </w:pPr>
      <w:r>
        <w:t>A környezet védelmének általános szabályairól szóló 1995. évi LIII. törvény</w:t>
      </w:r>
      <w:r w:rsidR="00CF053B">
        <w:t xml:space="preserve"> a települési környezetvédelmi program keretében – a vízgazdálkodási feladatok mellett – az energiagazdálkodást is kötelező tartalmi elemnek írja elő, melyben a</w:t>
      </w:r>
      <w:r w:rsidR="00CF053B" w:rsidRPr="00CF053B">
        <w:t xml:space="preserve"> kapcsolatos feladatokat és előírások</w:t>
      </w:r>
      <w:r w:rsidR="00CF053B">
        <w:t xml:space="preserve">at meg kell határozni. A törvény az ellátási feladatok mellett a használati, azaz az </w:t>
      </w:r>
      <w:proofErr w:type="spellStart"/>
      <w:r w:rsidR="00CF053B">
        <w:t>épületfelújítási</w:t>
      </w:r>
      <w:proofErr w:type="spellEnd"/>
      <w:r w:rsidR="00CF053B">
        <w:t xml:space="preserve"> vonatkozásokra nem ad felhatalmazást.</w:t>
      </w:r>
    </w:p>
    <w:p w14:paraId="1F3DC46C" w14:textId="3701BAB8" w:rsidR="00A4495A" w:rsidRDefault="00987909">
      <w:pPr>
        <w:pStyle w:val="Listaszerbekezds"/>
        <w:numPr>
          <w:ilvl w:val="0"/>
          <w:numId w:val="4"/>
        </w:numPr>
      </w:pPr>
      <w:r>
        <w:t>A</w:t>
      </w:r>
      <w:r w:rsidRPr="00987909">
        <w:t xml:space="preserve"> lakás- és helyiséggazdálkodás</w:t>
      </w:r>
      <w:r>
        <w:t xml:space="preserve"> kereteit jelentő jogszabályokat a következő részekben fejtjük ki.</w:t>
      </w:r>
    </w:p>
    <w:p w14:paraId="7DF7A8B4" w14:textId="2AAE442C" w:rsidR="00666AEA" w:rsidRDefault="00A4495A" w:rsidP="00666AEA">
      <w:r>
        <w:t xml:space="preserve">Jelenlegi jogi keretek között az </w:t>
      </w:r>
      <w:proofErr w:type="spellStart"/>
      <w:r w:rsidR="00666AEA">
        <w:t>épületfelújítási</w:t>
      </w:r>
      <w:proofErr w:type="spellEnd"/>
      <w:r w:rsidR="00666AEA">
        <w:t xml:space="preserve"> tevékenységek</w:t>
      </w:r>
      <w:r>
        <w:t xml:space="preserve"> nem jelentenek kötelező feladatot, így azt a helyi önkormányzat önként vállalt feladatként végezheti</w:t>
      </w:r>
      <w:r w:rsidR="00666AEA">
        <w:t>.</w:t>
      </w:r>
    </w:p>
    <w:p w14:paraId="4F51271B" w14:textId="36625F4E" w:rsidR="000C7357" w:rsidRDefault="000C7357" w:rsidP="000C7357">
      <w:r>
        <w:t xml:space="preserve">Az önként vállalt helyi közügyekben az önkormányzat mindent megtehet, ami jogszabállyal nem ellentétes. Az önként vállalt helyi közügyek megoldása nem veszélyeztetheti a törvény által kötelezően előírt önkormányzati feladat- és hatáskörök ellátását, </w:t>
      </w:r>
      <w:r w:rsidRPr="00A4495A">
        <w:rPr>
          <w:b/>
          <w:bCs/>
        </w:rPr>
        <w:t>finanszírozása a saját bevételek, vagy az erre a célra biztosított külön források terhére lehetséges</w:t>
      </w:r>
      <w:r>
        <w:t>.</w:t>
      </w:r>
    </w:p>
    <w:p w14:paraId="56FD37EF" w14:textId="1680ADB1" w:rsidR="000C7357" w:rsidRDefault="00B16EDB" w:rsidP="000C7357">
      <w:r>
        <w:t xml:space="preserve">Az </w:t>
      </w:r>
      <w:proofErr w:type="spellStart"/>
      <w:r>
        <w:t>Mötv</w:t>
      </w:r>
      <w:proofErr w:type="spellEnd"/>
      <w:r>
        <w:t xml:space="preserve">. szerint a helyi önkormányzatok </w:t>
      </w:r>
      <w:r w:rsidR="000C7357">
        <w:t>saját bevétel</w:t>
      </w:r>
      <w:r>
        <w:t>ei a</w:t>
      </w:r>
      <w:r w:rsidR="000C7357">
        <w:t xml:space="preserve"> helyi adók;</w:t>
      </w:r>
      <w:r>
        <w:t xml:space="preserve"> </w:t>
      </w:r>
      <w:r w:rsidR="000C7357">
        <w:t>saját tevékenységből, vállalkozásból és az önkormányzati vagyon hasznosításából származó bevétel, nyereség, osztalék, kamat és bérleti díj;</w:t>
      </w:r>
      <w:r>
        <w:t xml:space="preserve"> </w:t>
      </w:r>
      <w:r w:rsidR="000C7357">
        <w:t>átvett pénzeszközök;</w:t>
      </w:r>
      <w:r>
        <w:t xml:space="preserve"> </w:t>
      </w:r>
      <w:r w:rsidR="000C7357">
        <w:t>törvény alapján az önkormányzatot megillető illeték, bírság, díj;</w:t>
      </w:r>
      <w:r>
        <w:t xml:space="preserve"> valamint </w:t>
      </w:r>
      <w:r w:rsidR="000C7357">
        <w:t>az önkormányzat és intézményei egyéb sajátos bevételei.</w:t>
      </w:r>
      <w:r>
        <w:t xml:space="preserve"> </w:t>
      </w:r>
      <w:r w:rsidR="000C7357">
        <w:t>A helyi önkormányzat vagyona a tulajdonából és a helyi önkormányzatot megillető vagyoni értékű jogokból áll, amelyek az önkormányzati feladatok és célok ellátását szolgálják.</w:t>
      </w:r>
    </w:p>
    <w:p w14:paraId="406950F2" w14:textId="45026879" w:rsidR="00944CB9" w:rsidRPr="00944CB9" w:rsidRDefault="00944CB9" w:rsidP="00944CB9">
      <w:pPr>
        <w:spacing w:before="0" w:after="0"/>
        <w:rPr>
          <w:b/>
          <w:bCs/>
        </w:rPr>
      </w:pPr>
      <w:r w:rsidRPr="00944CB9">
        <w:rPr>
          <w:b/>
          <w:bCs/>
        </w:rPr>
        <w:t xml:space="preserve">Értelmezésünk szerint az Alap energiahatékonysági és klímavédelmi célokat úgy szolgálhat, hogy ha </w:t>
      </w:r>
      <w:r>
        <w:rPr>
          <w:b/>
          <w:bCs/>
        </w:rPr>
        <w:t xml:space="preserve">az elkülönített egységként kerül tervezésre és működtetésre, és </w:t>
      </w:r>
      <w:r w:rsidRPr="00944CB9">
        <w:rPr>
          <w:b/>
          <w:bCs/>
        </w:rPr>
        <w:t>annak bevételeit meg tudja termelni.</w:t>
      </w:r>
    </w:p>
    <w:p w14:paraId="74075707" w14:textId="59759104" w:rsidR="00D44354" w:rsidRDefault="00944CB9" w:rsidP="000C7357">
      <w:r>
        <w:t xml:space="preserve">Erre felhatalmazást ad a </w:t>
      </w:r>
      <w:proofErr w:type="spellStart"/>
      <w:r>
        <w:t>Mötv</w:t>
      </w:r>
      <w:proofErr w:type="spellEnd"/>
      <w:r>
        <w:t xml:space="preserve">, miszerint </w:t>
      </w:r>
      <w:r w:rsidRPr="00335B4E">
        <w:rPr>
          <w:b/>
          <w:bCs/>
        </w:rPr>
        <w:t>a</w:t>
      </w:r>
      <w:r w:rsidR="00D44354" w:rsidRPr="00335B4E">
        <w:rPr>
          <w:b/>
          <w:bCs/>
        </w:rPr>
        <w:t xml:space="preserve"> helyi önkormányzat feladataihoz igazodóan választ</w:t>
      </w:r>
      <w:r w:rsidRPr="00335B4E">
        <w:rPr>
          <w:b/>
          <w:bCs/>
        </w:rPr>
        <w:t>hat</w:t>
      </w:r>
      <w:r w:rsidR="00D44354" w:rsidRPr="00335B4E">
        <w:rPr>
          <w:b/>
          <w:bCs/>
        </w:rPr>
        <w:t>ja meg a gazdálkodás formáit, és pénzügyi előírások keretei között önállóan alakít</w:t>
      </w:r>
      <w:r w:rsidRPr="00335B4E">
        <w:rPr>
          <w:b/>
          <w:bCs/>
        </w:rPr>
        <w:t>hat</w:t>
      </w:r>
      <w:r w:rsidR="00D44354" w:rsidRPr="00335B4E">
        <w:rPr>
          <w:b/>
          <w:bCs/>
        </w:rPr>
        <w:t>ja ki az érdekeltségi szabályokat.</w:t>
      </w:r>
    </w:p>
    <w:p w14:paraId="5FC501C2" w14:textId="21B91A83" w:rsidR="00D44354" w:rsidRDefault="00944CB9" w:rsidP="000C7357">
      <w:r>
        <w:t xml:space="preserve">A </w:t>
      </w:r>
      <w:proofErr w:type="spellStart"/>
      <w:r>
        <w:t>Mötv</w:t>
      </w:r>
      <w:proofErr w:type="spellEnd"/>
      <w:r>
        <w:t>. a</w:t>
      </w:r>
      <w:r w:rsidR="009222C4">
        <w:t xml:space="preserve"> helyi önkormányzat tulajdonában lévő </w:t>
      </w:r>
      <w:r>
        <w:t xml:space="preserve">nemzeti </w:t>
      </w:r>
      <w:r w:rsidR="009222C4">
        <w:t xml:space="preserve">vagyonra </w:t>
      </w:r>
      <w:r>
        <w:t xml:space="preserve">is kötelezettségeket állapít meg. </w:t>
      </w:r>
      <w:r w:rsidR="009222C4">
        <w:t>Vagyonkezelői jog önkormányzati lakóépületre és vegyes rendeltetésű épületre, társasházban lévő önkormányzati lakásra és nem lakás céljára szolgáló helyiségre kizárólag a helyi önkormányzat 100%-os tulajdonában álló gazdálkodó szervezettel, vagy annak 100%-os tulajdonában álló gazdálkodó szervezettel létesíthető, és kizárólag általuk gyakorolható.</w:t>
      </w:r>
      <w:r w:rsidR="00635C4A">
        <w:t xml:space="preserve"> A </w:t>
      </w:r>
      <w:r w:rsidR="009222C4">
        <w:t>vagyonkezelői jog átadása az önkormányzati feladatellátás feltételeinek hatékony biztosítása, a vagyon állagának és értékének megőrzése, védelme, továbbá értékének növelése érdekében történhet.</w:t>
      </w:r>
      <w:r w:rsidR="00635C4A">
        <w:t xml:space="preserve"> Műemlék </w:t>
      </w:r>
      <w:r w:rsidR="009222C4">
        <w:t>ingatlanok</w:t>
      </w:r>
      <w:r w:rsidR="00635C4A" w:rsidRPr="00635C4A">
        <w:t xml:space="preserve"> </w:t>
      </w:r>
      <w:r w:rsidR="00635C4A">
        <w:t xml:space="preserve">esetén </w:t>
      </w:r>
      <w:r w:rsidR="009222C4">
        <w:t>az illetékes miniszter hozzájárulása szükséges a vagyonkezelői jog létesítéséhez.</w:t>
      </w:r>
    </w:p>
    <w:p w14:paraId="7A605041" w14:textId="77777777" w:rsidR="00F410D9" w:rsidRDefault="00F410D9" w:rsidP="00AF48CC">
      <w:pPr>
        <w:pStyle w:val="Cmsor2"/>
      </w:pPr>
      <w:bookmarkStart w:id="14" w:name="_Toc133257984"/>
      <w:r>
        <w:t>N</w:t>
      </w:r>
      <w:r w:rsidRPr="000C7357">
        <w:t xml:space="preserve">emzeti vagyonról szóló 2011. évi CXCVI. törvény (a továbbiakban: </w:t>
      </w:r>
      <w:proofErr w:type="spellStart"/>
      <w:r w:rsidRPr="000C7357">
        <w:t>Nvt</w:t>
      </w:r>
      <w:proofErr w:type="spellEnd"/>
      <w:r w:rsidRPr="000C7357">
        <w:t>.)</w:t>
      </w:r>
      <w:bookmarkEnd w:id="14"/>
    </w:p>
    <w:p w14:paraId="7B0445A8" w14:textId="77777777" w:rsidR="00635C4A" w:rsidRDefault="00C352F5" w:rsidP="00C352F5">
      <w:r>
        <w:t>A helyi önkormányzat vagyona törzsvagyon vagy üzleti vagyon lehet.</w:t>
      </w:r>
      <w:r w:rsidR="00635C4A">
        <w:t xml:space="preserve"> Forgalomképtelen törzsvagyon a </w:t>
      </w:r>
      <w:r>
        <w:t>közvetlenül a kötelező önkormányzati feladatkör ellátását vagy hatáskör gyakorlását szolgálja</w:t>
      </w:r>
      <w:r w:rsidR="00635C4A">
        <w:t xml:space="preserve">. </w:t>
      </w:r>
    </w:p>
    <w:p w14:paraId="213BBBEC" w14:textId="2B53AE31" w:rsidR="00C352F5" w:rsidRDefault="00635C4A" w:rsidP="00C352F5">
      <w:r>
        <w:lastRenderedPageBreak/>
        <w:t xml:space="preserve">Az önkormányzat tulajdonában levő ingatlanok, lakások és helyiségek tipikusan forgalomképes vagyonnak minősülnek, kivéve, ha az </w:t>
      </w:r>
      <w:proofErr w:type="spellStart"/>
      <w:r>
        <w:t>Ntv</w:t>
      </w:r>
      <w:proofErr w:type="spellEnd"/>
      <w:proofErr w:type="gramStart"/>
      <w:r>
        <w:t>.</w:t>
      </w:r>
      <w:r w:rsidR="004D0418">
        <w:t>,</w:t>
      </w:r>
      <w:proofErr w:type="gramEnd"/>
      <w:r w:rsidR="004D0418">
        <w:t xml:space="preserve"> törvény vagy helyi önkormányzat rendelete </w:t>
      </w:r>
      <w:r w:rsidR="00C352F5">
        <w:t xml:space="preserve">kizárólagos önkormányzati tulajdonban álló </w:t>
      </w:r>
      <w:r w:rsidR="004D0418">
        <w:t xml:space="preserve">vagy korlátozottan forgalomképes </w:t>
      </w:r>
      <w:r w:rsidR="00C352F5">
        <w:t>vagyonnak</w:t>
      </w:r>
      <w:r w:rsidR="004D0418">
        <w:t xml:space="preserve">, </w:t>
      </w:r>
      <w:r>
        <w:t>vagy nemzetgazdasági szempontból kiemelt jelentőségű nemzeti vagyonnak minősít</w:t>
      </w:r>
      <w:r w:rsidR="004D0418">
        <w:t xml:space="preserve">. </w:t>
      </w:r>
      <w:r w:rsidR="00F410D9">
        <w:t xml:space="preserve">2021 novemberétől </w:t>
      </w:r>
      <w:r w:rsidR="004D0418">
        <w:t>h</w:t>
      </w:r>
      <w:r w:rsidR="00C352F5">
        <w:t>elyi önkormányzat</w:t>
      </w:r>
      <w:r w:rsidR="004D0418">
        <w:t>i</w:t>
      </w:r>
      <w:r w:rsidR="00C352F5">
        <w:t xml:space="preserve"> rendelet lakáscélú épületet forgalomképtelen törzsvagyonnak nem minősíthet, a korábbi ilyen minősítés pedig e rendelkezés hatályba lépésével megszűnik.</w:t>
      </w:r>
    </w:p>
    <w:p w14:paraId="1248FE60" w14:textId="5462174E" w:rsidR="00C352F5" w:rsidRDefault="004D0418" w:rsidP="00C352F5">
      <w:r>
        <w:t>K</w:t>
      </w:r>
      <w:r w:rsidR="00C352F5">
        <w:t>orlátozottan forgalomképes törzsvagyon</w:t>
      </w:r>
      <w:r>
        <w:t xml:space="preserve"> körébe tartoznak </w:t>
      </w:r>
      <w:r w:rsidR="00C352F5">
        <w:t>a helyi önkormányzat tulajdonában álló, a helyi önkormányzat képviselő-testülete és szervei, továbbá a helyi önkormányzat által fenntartott, közfeladatot ellátó intézmény, költségvetési szerv elhelyezését, valamint azok feladatának ellátását szolgáló épület</w:t>
      </w:r>
      <w:r>
        <w:t>ek és é</w:t>
      </w:r>
      <w:r w:rsidR="00C352F5">
        <w:t>pületrész</w:t>
      </w:r>
      <w:r>
        <w:t xml:space="preserve">ek. </w:t>
      </w:r>
      <w:r w:rsidR="00C352F5">
        <w:t>A korlátozottan forgalomképes törzsvagyoni minősítés addig áll fenn, amíg az adott vagyontárgy közvetlenül önkormányzati feladat és hatáskör ellátását vagy a közhatalom gyakorlását szolgálja.</w:t>
      </w:r>
    </w:p>
    <w:p w14:paraId="3270CC9E" w14:textId="77777777" w:rsidR="00B83393" w:rsidRDefault="0037785F" w:rsidP="0037785F">
      <w:r w:rsidRPr="0037785F">
        <w:t xml:space="preserve">A helyi önkormányzat vállalkozási tevékenysége a kötelező feladatainak ellátását nem veszélyeztetheti. </w:t>
      </w:r>
    </w:p>
    <w:p w14:paraId="1D75BF87" w14:textId="4250D7BA" w:rsidR="0037785F" w:rsidRPr="0037785F" w:rsidRDefault="0037785F" w:rsidP="0037785F">
      <w:r w:rsidRPr="003B496B">
        <w:t>A helyi önkormányzat csak olyan gazdálkodó szervezetben vehet részt, amelyben felelőssége nem haladja meg vagyoni hozzájárulásának mértékét.</w:t>
      </w:r>
    </w:p>
    <w:p w14:paraId="79A232E5" w14:textId="31829316" w:rsidR="0037785F" w:rsidRDefault="003435FA" w:rsidP="00B83393">
      <w:r>
        <w:t xml:space="preserve">A helyi önkormányzat vagyonát vagyonkezelő működteti. </w:t>
      </w:r>
      <w:r w:rsidR="00B83393">
        <w:t>V</w:t>
      </w:r>
      <w:r w:rsidR="0037785F">
        <w:t>agyonkezelő</w:t>
      </w:r>
      <w:r w:rsidR="00B83393">
        <w:t xml:space="preserve"> </w:t>
      </w:r>
      <w:r w:rsidR="0037785F">
        <w:t>a helyi önkormányzat tulajdonában álló vagyon tekintetében</w:t>
      </w:r>
      <w:r w:rsidR="00B83393">
        <w:t xml:space="preserve"> </w:t>
      </w:r>
      <w:r w:rsidR="0037785F">
        <w:t>állam, helyi önkormányzat, nemzetiségi önkormányzat, helyi vagy nemzetiségi önkormányzati társulás, valamint ezek fenntartása vagy irányítása alá tartozó intézmény,</w:t>
      </w:r>
      <w:r w:rsidR="00B83393">
        <w:t xml:space="preserve"> </w:t>
      </w:r>
      <w:r w:rsidR="0037785F">
        <w:t>költségvetési szerv,</w:t>
      </w:r>
      <w:r w:rsidR="00B83393">
        <w:t xml:space="preserve"> </w:t>
      </w:r>
      <w:r w:rsidR="0037785F">
        <w:t>köztestület,</w:t>
      </w:r>
      <w:r w:rsidR="00B83393">
        <w:t xml:space="preserve"> a helyi önkormányzat vagy társulása </w:t>
      </w:r>
      <w:r w:rsidR="0037785F">
        <w:t>100%-os tulajdonában álló gazdálkodó szervezet</w:t>
      </w:r>
      <w:r w:rsidR="00B83393">
        <w:t xml:space="preserve"> lehet.</w:t>
      </w:r>
    </w:p>
    <w:p w14:paraId="79E00A27" w14:textId="06344DB6" w:rsidR="0037785F" w:rsidRDefault="00B83393" w:rsidP="0037785F">
      <w:r>
        <w:t>A</w:t>
      </w:r>
      <w:r w:rsidR="0037785F">
        <w:t xml:space="preserve"> helyi önkormányzat tulajdonában álló nemzeti vagyon tekintetében törvényben vagy a helyi önkormányzat rendeletében meghatározott értékhatár feletti nemzeti vagyont hasznosítani - ha törvény kivételt nem tesz - csak versenyeztetés útján, az összességében legelőnyösebb ajánlatot tevő részére, a szolgáltatás és ellenszolgáltatás értékarányosságával lehet. </w:t>
      </w:r>
      <w:r>
        <w:t>Különleges esetben m</w:t>
      </w:r>
      <w:r w:rsidR="0037785F">
        <w:t>ellőzhető a versenyeztetés</w:t>
      </w:r>
      <w:r>
        <w:t xml:space="preserve">, továbbá akkor sem kell alkalmazni, ha </w:t>
      </w:r>
      <w:r w:rsidR="0037785F">
        <w:t>természetes személy vagy 100%-ban magántulajdonban álló gazdálkodó szervezet a nemzeti vagyon használója, és a használatában álló nemzeti vagyont hasznosítja.</w:t>
      </w:r>
    </w:p>
    <w:p w14:paraId="60B5CC2E" w14:textId="7B736771" w:rsidR="00917058" w:rsidRPr="00917058" w:rsidRDefault="00917058" w:rsidP="00917058">
      <w:r>
        <w:t>Helyi önkormányzat tulajdonában lévő ingatlan értékesítése esetén az államot minden más jogosultat megelőző elővásárlási jog illeti meg</w:t>
      </w:r>
      <w:r w:rsidR="00B83393">
        <w:t xml:space="preserve">, kivéve a </w:t>
      </w:r>
      <w:r>
        <w:t>lakások és helyiségek bérletére, valamint az elidegenítésükre vonatkozó egyes szabályokról szóló</w:t>
      </w:r>
      <w:r w:rsidR="00B83393" w:rsidRPr="00B83393">
        <w:t>1993. évi LXXVIII. törvény</w:t>
      </w:r>
      <w:r w:rsidR="00B83393">
        <w:t xml:space="preserve"> </w:t>
      </w:r>
      <w:r w:rsidR="00B83393" w:rsidRPr="00B83393">
        <w:t>(Lakástörvény)</w:t>
      </w:r>
      <w:r>
        <w:t xml:space="preserve"> törvény szerinti volt állami (tanácsi) és önkormányzati bérlakások esetében az állam elővásárlási joga a lakásban élő</w:t>
      </w:r>
      <w:r w:rsidR="003435FA">
        <w:t xml:space="preserve"> </w:t>
      </w:r>
      <w:r>
        <w:t>bérlő</w:t>
      </w:r>
      <w:r w:rsidR="003435FA">
        <w:t xml:space="preserve">, </w:t>
      </w:r>
      <w:r>
        <w:t>bérlőtárs</w:t>
      </w:r>
      <w:r w:rsidR="003435FA">
        <w:t xml:space="preserve">, </w:t>
      </w:r>
      <w:r>
        <w:t>társbérlő</w:t>
      </w:r>
      <w:r w:rsidR="003435FA">
        <w:t xml:space="preserve"> és ezek </w:t>
      </w:r>
      <w:r>
        <w:t>egyenes ági rokona</w:t>
      </w:r>
      <w:r w:rsidR="003435FA">
        <w:t xml:space="preserve"> vagy </w:t>
      </w:r>
      <w:r>
        <w:t>örökbe fogadott gyermeke</w:t>
      </w:r>
      <w:r w:rsidR="003435FA">
        <w:t xml:space="preserve"> esetében. A</w:t>
      </w:r>
      <w:r>
        <w:t xml:space="preserve"> kulturális örökség védelméről szóló törvényben megjelölt hatóság által gyakorolt elővásárlási jog</w:t>
      </w:r>
      <w:r w:rsidR="003435FA">
        <w:t xml:space="preserve"> az előzőekben felsoroltakat </w:t>
      </w:r>
      <w:r>
        <w:t>megelőzi.</w:t>
      </w:r>
    </w:p>
    <w:p w14:paraId="309BB50B" w14:textId="74B4954F" w:rsidR="002560E7" w:rsidRDefault="004B4110" w:rsidP="00AF48CC">
      <w:pPr>
        <w:pStyle w:val="Cmsor2"/>
      </w:pPr>
      <w:bookmarkStart w:id="15" w:name="_Toc133257985"/>
      <w:r>
        <w:t>T</w:t>
      </w:r>
      <w:r w:rsidRPr="004B4110">
        <w:t>ársasházi törvény</w:t>
      </w:r>
      <w:r w:rsidR="00917058">
        <w:t xml:space="preserve"> </w:t>
      </w:r>
      <w:r w:rsidR="002152E8">
        <w:t>(</w:t>
      </w:r>
      <w:proofErr w:type="spellStart"/>
      <w:r w:rsidR="00761D4F">
        <w:t>Tht</w:t>
      </w:r>
      <w:proofErr w:type="spellEnd"/>
      <w:r w:rsidR="00761D4F">
        <w:t xml:space="preserve">.) </w:t>
      </w:r>
      <w:r w:rsidR="002152E8">
        <w:t>2003. évi CXXXIII. törvény a társasházakról</w:t>
      </w:r>
      <w:bookmarkEnd w:id="15"/>
    </w:p>
    <w:p w14:paraId="2FCEE82A" w14:textId="77777777" w:rsidR="00761D4F" w:rsidRDefault="00761D4F" w:rsidP="00761D4F">
      <w:r>
        <w:t>A Társasházi törvény szabályozza a társasháztulajdon létesítésére és biztonságos fenntartására, a társasházak szabályszerű, szakszerű és biztonságos működésére, valamint a tulajdonosok érdekeinek érvényesítésére vonatkozó szabályokat.</w:t>
      </w:r>
    </w:p>
    <w:p w14:paraId="2FAD4FE0" w14:textId="77777777" w:rsidR="00761D4F" w:rsidRDefault="00761D4F" w:rsidP="00761D4F">
      <w:r>
        <w:t xml:space="preserve">A társasház az ingatlan valamennyi tulajdonostársa alapító okiratban kifejezett alapítási elhatározásával keletkezik. Az alapító okirat módosításához – ha e törvény másként nem rendelkezik – valamennyi tulajdonostárs hozzájárulása szükséges. Ha a lakásmegosztás vagy lakásösszevonás a </w:t>
      </w:r>
      <w:r>
        <w:lastRenderedPageBreak/>
        <w:t>többi tulajdonostárs alapító okiratban meghatározott tulajdoni hányadát nem érinti, egyszerű szavazattöbbséggel módosítható.</w:t>
      </w:r>
    </w:p>
    <w:p w14:paraId="26DE1C31" w14:textId="77777777" w:rsidR="00761D4F" w:rsidRDefault="00761D4F" w:rsidP="00761D4F">
      <w:r>
        <w:t>Minden tulajdonostárs jogosult a közös tulajdon tárgyainak birtoklására és használatára, ez azonban nem sértheti a többi tulajdonostárs ezzel kapcsolatos jogát és jogos érdekét.</w:t>
      </w:r>
    </w:p>
    <w:p w14:paraId="31EC5925" w14:textId="77777777" w:rsidR="00761D4F" w:rsidRDefault="00761D4F" w:rsidP="00761D4F">
      <w:r>
        <w:t xml:space="preserve">A közös tulajdonba tartozó épületrész, </w:t>
      </w:r>
      <w:proofErr w:type="spellStart"/>
      <w:r>
        <w:t>épületberendezés</w:t>
      </w:r>
      <w:proofErr w:type="spellEnd"/>
      <w:r>
        <w:t>, nem lakás céljára szolgáló helyiség és lakás fenntartásának költsége, valamint a rendes gazdálkodás körét meghaladó kiadás (a továbbiakban együtt: közös költség) a tulajdonostársakat tulajdoni hányaduk szerint terheli, ha a szervezeti-működési szabályzat (SZMSZ) másképp nem rendelkezik. A társasház SZMSZ-ét egyszerű szavazattöbbséggel kell elfogadni. Az SZMSZ-ben meg kell határozni a külön tulajdonon belüli építési-szerelési munka, és a zajjal járó más tevékenység végzésének a lakhatás nyugalmát szolgáló szabályait (a továbbiakban: házirend); e szabályok nem lehetnek ellentétesek az építésre, illetőleg a zajszint határértékére a lakóépület tekintetében irányadó külön jogszabályok rendelkezéseivel. A házirend négyötödös többséggel állapítható meg.</w:t>
      </w:r>
    </w:p>
    <w:p w14:paraId="5324B602" w14:textId="77777777" w:rsidR="00761D4F" w:rsidRDefault="00761D4F" w:rsidP="00761D4F">
      <w:r>
        <w:t xml:space="preserve">A társasház közös tulajdonnal kapcsolatos elidegenítés jogát a közösség gyakorolja kétharmados többséggel (kivéve épület tartószerkezetei, azok részei, az épület biztonságát (állékonyságát), a tulajdonostársak közös célját szolgáló épületrész, </w:t>
      </w:r>
      <w:proofErr w:type="spellStart"/>
      <w:r>
        <w:t>épületberendezés</w:t>
      </w:r>
      <w:proofErr w:type="spellEnd"/>
      <w:r>
        <w:t xml:space="preserve"> és vagyontárgy), a közösség a közös tulajdonnal kapcsolatos elidegenítés jogát abban az esetben is gyakorolhatja, ha az alapító okirat módosításával a tulajdonostársak összes tulajdoni hányad szerinti legalább négyötödös többsége egyetért.</w:t>
      </w:r>
    </w:p>
    <w:p w14:paraId="42675533" w14:textId="77777777" w:rsidR="00761D4F" w:rsidRDefault="00761D4F" w:rsidP="00761D4F">
      <w:r>
        <w:t>A lakóépület külön tulajdonban álló nem lakás céljára szolgáló helyiségének megváltoztatott használatát egyszerű szavazattöbbséggel, de az SZMSZ előírhatja, hogy a határozat érvényességéhez a közvetlenül érintett szomszédos tulajdonostársak tulajdoni hányad szerinti legalább kétharmadának igenlő szavazata is szükséges legyen.</w:t>
      </w:r>
    </w:p>
    <w:p w14:paraId="0D729C6A" w14:textId="5ECB06E2" w:rsidR="002152E8" w:rsidRDefault="00761D4F" w:rsidP="00761D4F">
      <w:r>
        <w:t>A Társasházi törvény definiálja az épületfenntartás – ezen belül az üzemeltetés, a karbantartás (hibaelhárítás, időszerű és tervszerű) és a felújítás (teljes, részleges felújítás, korszerűsítés) – feladatait. Az SZMSZ-ben kell meghatározni a közös tulajdon fenntartására, ezen belül a közös költség viselésére és a költséghátralékok megfizetésére, valamint a felújítási alap képzése esetén az alap felhasználására vonatkozó szabályokat (nem vonatkozik a magántulajdonon belüli közüzemi és más szolgáltatások díjaira). Az SZMSZ-ben rendelkezni kell a közösköltség-hátralék behajtás menetéről: az adós tulajdonostárs felszólítása, fizetési meghagyás kezdeményezése, és jelzálogjog bejegyzése és annak törlése iránti kérelem benyújtásával kapcsolatos feladatait. Három hónap hátralék esetén kezdeményezhető jelzálog bejegyzés, és három hónapnak megfelelő hátralékonként megismételhető.</w:t>
      </w:r>
    </w:p>
    <w:p w14:paraId="1D952EFF" w14:textId="69E1E899" w:rsidR="00BC70E5" w:rsidRDefault="00BC70E5" w:rsidP="00AF48CC">
      <w:pPr>
        <w:pStyle w:val="Cmsor2"/>
      </w:pPr>
      <w:bookmarkStart w:id="16" w:name="_Toc133257986"/>
      <w:r>
        <w:t>A lakáscélú állami támogatásokról szóló 12/2001. (I. 31.) Korm. rendelet (</w:t>
      </w:r>
      <w:proofErr w:type="spellStart"/>
      <w:r>
        <w:t>LátR</w:t>
      </w:r>
      <w:proofErr w:type="spellEnd"/>
      <w:r>
        <w:t>)</w:t>
      </w:r>
      <w:bookmarkEnd w:id="16"/>
    </w:p>
    <w:p w14:paraId="1AB56D97" w14:textId="77777777" w:rsidR="00BC70E5" w:rsidRDefault="00BC70E5" w:rsidP="00BC70E5">
      <w:r>
        <w:t xml:space="preserve">A </w:t>
      </w:r>
      <w:proofErr w:type="spellStart"/>
      <w:r>
        <w:t>LátR-ban</w:t>
      </w:r>
      <w:proofErr w:type="spellEnd"/>
      <w:r>
        <w:t xml:space="preserve"> foglaltak szerint </w:t>
      </w:r>
      <w:r w:rsidRPr="00BC70E5">
        <w:t xml:space="preserve">állami támogatás vehető igénybe a központi költségvetésből Magyarország területén lévő lakás építésére, vásárlására, bővítésére, korszerűsítésére, a lakóépületek közös használatú részeinek felújítására. Állami támogatást vehetnek igénybe továbbá a települési önkormányzatok bérlakás-állományuk növelésére, garzonház, nyugdíjasház vagy idősek otthona létesítésére, lakóépületek energiatakarékos korszerűsítésére, felújítására, </w:t>
      </w:r>
      <w:proofErr w:type="spellStart"/>
      <w:r w:rsidRPr="00BC70E5">
        <w:t>városrehabilitáció</w:t>
      </w:r>
      <w:proofErr w:type="spellEnd"/>
      <w:r w:rsidRPr="00BC70E5">
        <w:t xml:space="preserve"> keretében lakóépülettömbök korszerűsítésére, felújítására, lakbértámogatásra. </w:t>
      </w:r>
    </w:p>
    <w:p w14:paraId="3F084E60" w14:textId="015BF1B5" w:rsidR="000E75F9" w:rsidRDefault="00BC70E5" w:rsidP="00BC70E5">
      <w:r>
        <w:lastRenderedPageBreak/>
        <w:t>A társasház közös tulajdonban álló épületrészek felújításához kamattámogatás</w:t>
      </w:r>
      <w:r w:rsidRPr="00BC70E5">
        <w:t xml:space="preserve"> </w:t>
      </w:r>
      <w:r>
        <w:t xml:space="preserve">– </w:t>
      </w:r>
      <w:r w:rsidRPr="00BC70E5">
        <w:t>első 5 évben a kamat 70%-</w:t>
      </w:r>
      <w:proofErr w:type="gramStart"/>
      <w:r w:rsidRPr="00BC70E5">
        <w:t>a</w:t>
      </w:r>
      <w:proofErr w:type="gramEnd"/>
      <w:r w:rsidRPr="00BC70E5">
        <w:t>, második 5 évben a kamat 35%-a</w:t>
      </w:r>
      <w:r>
        <w:t xml:space="preserve"> – </w:t>
      </w:r>
      <w:r w:rsidR="000E75F9">
        <w:t xml:space="preserve">feltétele a felújítási alap képzése. A hitelfelvételt megelőző legkevesebb 2 éven belül </w:t>
      </w:r>
      <w:r>
        <w:t>a felújítási hozzájárulás havi mértéke</w:t>
      </w:r>
      <w:r w:rsidR="000E75F9">
        <w:t xml:space="preserve"> el kell, hogy érje </w:t>
      </w:r>
      <w:proofErr w:type="gramStart"/>
      <w:r w:rsidR="000E75F9">
        <w:t>a</w:t>
      </w:r>
      <w:proofErr w:type="gramEnd"/>
      <w:r w:rsidR="000E75F9">
        <w:t xml:space="preserve"> </w:t>
      </w:r>
    </w:p>
    <w:p w14:paraId="254FFE6D" w14:textId="474C815C" w:rsidR="00BC70E5" w:rsidRDefault="00BC70E5">
      <w:pPr>
        <w:pStyle w:val="Listaszerbekezds"/>
        <w:numPr>
          <w:ilvl w:val="0"/>
          <w:numId w:val="5"/>
        </w:numPr>
      </w:pPr>
      <w:r>
        <w:t>a lakóépület használatbavételét, illetőleg a felújítását követő 15 éven belül: felvonó nélküli lakóépület lakásainál 6 Ft/m2-</w:t>
      </w:r>
      <w:r w:rsidR="000E75F9">
        <w:t>t</w:t>
      </w:r>
      <w:r>
        <w:t>, felvonóval rendelkező lakóépület lakásainál 8 Ft/m2-</w:t>
      </w:r>
      <w:r w:rsidR="000E75F9">
        <w:t>t</w:t>
      </w:r>
      <w:r>
        <w:t>,</w:t>
      </w:r>
    </w:p>
    <w:p w14:paraId="21D30BBB" w14:textId="3F54707D" w:rsidR="00BC70E5" w:rsidRDefault="00BC70E5">
      <w:pPr>
        <w:pStyle w:val="Listaszerbekezds"/>
        <w:numPr>
          <w:ilvl w:val="0"/>
          <w:numId w:val="5"/>
        </w:numPr>
      </w:pPr>
      <w:r>
        <w:t>a lakóépület használatbavételét, illetőleg a felújítását követő 16. évtől a lakóépület felújításáig, illetőleg ismételt felújításáig; felvonó nélküli lakóépület lakásainál 10 Ft/m2-</w:t>
      </w:r>
      <w:r w:rsidR="000E75F9">
        <w:t>t</w:t>
      </w:r>
      <w:r>
        <w:t>, felvonóval rendelkező lakóépület lakásainál 12 Ft/m2-</w:t>
      </w:r>
      <w:r w:rsidR="000E75F9">
        <w:t>t.</w:t>
      </w:r>
    </w:p>
    <w:p w14:paraId="2DEC7ECD" w14:textId="051CE1E5" w:rsidR="00BC70E5" w:rsidRPr="002152E8" w:rsidRDefault="000E75F9" w:rsidP="00BC70E5">
      <w:r>
        <w:t xml:space="preserve">További feltétel, hogy </w:t>
      </w:r>
      <w:r w:rsidRPr="000E75F9">
        <w:t xml:space="preserve">az alap pénzeszközei hitelintézeti vagy a </w:t>
      </w:r>
      <w:proofErr w:type="spellStart"/>
      <w:r w:rsidRPr="000E75F9">
        <w:t>lakástakarékpénztárakról</w:t>
      </w:r>
      <w:proofErr w:type="spellEnd"/>
      <w:r w:rsidRPr="000E75F9">
        <w:t xml:space="preserve"> szóló 1996. évi CXIII. törvény (továbbiakban: </w:t>
      </w:r>
      <w:proofErr w:type="spellStart"/>
      <w:r w:rsidRPr="000E75F9">
        <w:t>Ltp</w:t>
      </w:r>
      <w:proofErr w:type="spellEnd"/>
      <w:r w:rsidRPr="000E75F9">
        <w:t>.) szerinti szakosított hitelintézetnél elkülönített számlán áll</w:t>
      </w:r>
      <w:r>
        <w:t>jan</w:t>
      </w:r>
      <w:r w:rsidRPr="000E75F9">
        <w:t xml:space="preserve">ak rendelkezésre, </w:t>
      </w:r>
      <w:r>
        <w:t xml:space="preserve">és az kizárólag </w:t>
      </w:r>
      <w:r w:rsidRPr="000E75F9">
        <w:t xml:space="preserve">felújítási munkákra </w:t>
      </w:r>
      <w:r>
        <w:t>kerüljön fel</w:t>
      </w:r>
      <w:r w:rsidRPr="000E75F9">
        <w:t>használ</w:t>
      </w:r>
      <w:r>
        <w:t>ásra.</w:t>
      </w:r>
    </w:p>
    <w:p w14:paraId="0FD2271E" w14:textId="01FE8CEB" w:rsidR="002152E8" w:rsidRDefault="00B83393" w:rsidP="00AF48CC">
      <w:pPr>
        <w:pStyle w:val="Cmsor2"/>
      </w:pPr>
      <w:bookmarkStart w:id="17" w:name="_Toc133257987"/>
      <w:r>
        <w:t xml:space="preserve">Lakástörvény </w:t>
      </w:r>
      <w:r w:rsidR="002152E8">
        <w:t>(</w:t>
      </w:r>
      <w:proofErr w:type="spellStart"/>
      <w:r w:rsidR="003435FA">
        <w:t>Ltv</w:t>
      </w:r>
      <w:proofErr w:type="spellEnd"/>
      <w:r w:rsidR="003435FA">
        <w:t xml:space="preserve">.) </w:t>
      </w:r>
      <w:r w:rsidR="002152E8">
        <w:t>1993. évi LXXVIII. törvény a lakások és helyiségek bérletére, valamint az elidegenítésükre vonatkozó egyes szabályokról</w:t>
      </w:r>
      <w:bookmarkEnd w:id="17"/>
    </w:p>
    <w:p w14:paraId="6FC3B749" w14:textId="7535FB0C" w:rsidR="003435FA" w:rsidRDefault="003435FA" w:rsidP="003435FA">
      <w:r w:rsidRPr="003435FA">
        <w:t xml:space="preserve">Az </w:t>
      </w:r>
      <w:proofErr w:type="spellStart"/>
      <w:r w:rsidRPr="003435FA">
        <w:t>Ltv</w:t>
      </w:r>
      <w:proofErr w:type="spellEnd"/>
      <w:r w:rsidRPr="003435FA">
        <w:t xml:space="preserve">. a lakások és helyiségek bérletére vonatkozó szabályok egységesítése, valamint egyszerűsítése érdekében, a lakásokkal való </w:t>
      </w:r>
      <w:proofErr w:type="spellStart"/>
      <w:r w:rsidRPr="003435FA">
        <w:t>észszerűbb</w:t>
      </w:r>
      <w:proofErr w:type="spellEnd"/>
      <w:r w:rsidRPr="003435FA">
        <w:t xml:space="preserve">, a piaci viszonyokhoz igazodó gazdálkodás jogi feltételeinek megteremtése, továbbá a </w:t>
      </w:r>
      <w:proofErr w:type="spellStart"/>
      <w:r w:rsidRPr="003435FA">
        <w:t>bérlakásrendszer</w:t>
      </w:r>
      <w:proofErr w:type="spellEnd"/>
      <w:r w:rsidRPr="003435FA">
        <w:t xml:space="preserve"> ellentmondásainak fokozatos megszüntetése céljából került megalkotásra 1993-ban, amely a rendszerváltást követő privatizációs folyamatok keretét is kívánta szabályozni.</w:t>
      </w:r>
    </w:p>
    <w:p w14:paraId="67A352CC" w14:textId="77777777" w:rsidR="003435FA" w:rsidRDefault="003435FA" w:rsidP="003435FA">
      <w:r w:rsidRPr="003B496B">
        <w:rPr>
          <w:b/>
          <w:bCs/>
        </w:rPr>
        <w:t>Az önkormányzat, az állam tulajdonából az önkormányzat tulajdonába került lakóépületeinek (a bennük lévő lakások) elidegenítéséből származó teljes bevételét elkülönített számlán köteles elhelyezni.</w:t>
      </w:r>
      <w:r w:rsidRPr="003B496B">
        <w:t xml:space="preserve"> </w:t>
      </w:r>
      <w:proofErr w:type="gramStart"/>
      <w:r w:rsidRPr="003B496B">
        <w:t>A bevételeket lakáscélokra és az ezekhez kapcsolódó infrastrukturális beruházásokra</w:t>
      </w:r>
      <w:r>
        <w:t xml:space="preserve"> köteles fordítani, különösen új lakás építésére, új vagy használt lakás megvásárlására, lakóépület teljes vagy részleges felújítására, korszerűsítésére, </w:t>
      </w:r>
      <w:proofErr w:type="spellStart"/>
      <w:r>
        <w:t>városrehabilitációra</w:t>
      </w:r>
      <w:proofErr w:type="spellEnd"/>
      <w:r>
        <w:t>, EU-források felhasználásához szükséges önrész biztosítására, önkormányzati helyi támogatás nyújtására, lakóövezetbe sorolt építési telek kialakítására, közművesítésére, a lakáscélú állami támogatásokról szóló külön jogszabály szerinti pályázati önrész finanszírozására, ideértve a társasházi tulajdonosoktól és a lakásszövetkezetektől átvállalt</w:t>
      </w:r>
      <w:proofErr w:type="gramEnd"/>
      <w:r>
        <w:t xml:space="preserve"> </w:t>
      </w:r>
      <w:proofErr w:type="gramStart"/>
      <w:r>
        <w:t>önrészt</w:t>
      </w:r>
      <w:proofErr w:type="gramEnd"/>
      <w:r>
        <w:t xml:space="preserve"> is, önkormányzati lakbértámogatásra, továbbá az állampolgár tulajdonában álló lakásra a lakásügyi hatóság kiutaló határozata alapján létrejött lakásbérlet (a továbbiakban: kényszerbérlet) felszámolására használhatja fel. Emellett ebből a keretből biztosíthatja az épület elidegenítésre való előkészítésével, a földrészlet megosztásával, társasházzá való átalakítással, forgalmi érték megállapításával, elidegenítés lebonyolításával kapcsolatban felmerülő költségeket, valamint a szolgálati lakással, illetve a </w:t>
      </w:r>
      <w:proofErr w:type="spellStart"/>
      <w:r>
        <w:t>bérlőkiválasztási</w:t>
      </w:r>
      <w:proofErr w:type="spellEnd"/>
      <w:r>
        <w:t xml:space="preserve"> joggal rendelkező szervet megillető vételárrészt.</w:t>
      </w:r>
    </w:p>
    <w:p w14:paraId="32ECE8AE" w14:textId="06390402" w:rsidR="003435FA" w:rsidRPr="00CF6132" w:rsidRDefault="003435FA" w:rsidP="003435FA">
      <w:pPr>
        <w:rPr>
          <w:b/>
          <w:bCs/>
        </w:rPr>
      </w:pPr>
      <w:r w:rsidRPr="003B496B">
        <w:t>A felhasználás részletes szabályait önkormányzati rendeletben kell meghatározni.</w:t>
      </w:r>
    </w:p>
    <w:p w14:paraId="55182E75" w14:textId="77777777" w:rsidR="003435FA" w:rsidRPr="006C19E9" w:rsidRDefault="003435FA" w:rsidP="003435FA">
      <w:r w:rsidRPr="006C19E9">
        <w:t xml:space="preserve">Az </w:t>
      </w:r>
      <w:proofErr w:type="spellStart"/>
      <w:r w:rsidRPr="006C19E9">
        <w:t>Ltv</w:t>
      </w:r>
      <w:proofErr w:type="spellEnd"/>
      <w:r>
        <w:t>.</w:t>
      </w:r>
      <w:r w:rsidRPr="006C19E9">
        <w:t xml:space="preserve"> továbbá biztosítja a hitelfelvétel állami garanciáját is</w:t>
      </w:r>
      <w:r>
        <w:t>: a</w:t>
      </w:r>
      <w:r w:rsidRPr="006C19E9">
        <w:t>z önkormányzati tulajdonú</w:t>
      </w:r>
      <w:r w:rsidRPr="00A4384F">
        <w:t xml:space="preserve"> lakóépületek </w:t>
      </w:r>
      <w:r>
        <w:t xml:space="preserve">és </w:t>
      </w:r>
      <w:proofErr w:type="spellStart"/>
      <w:r w:rsidRPr="00A4384F">
        <w:t>lakóépületrészek</w:t>
      </w:r>
      <w:proofErr w:type="spellEnd"/>
      <w:r w:rsidRPr="00A4384F">
        <w:t xml:space="preserve"> felújításához igénybe vett pénzintézeti kölcsön visszafizetésére az állam garanciát vállal és kamatainak megfizetéséhez támogatást nyújt</w:t>
      </w:r>
      <w:r>
        <w:t xml:space="preserve"> </w:t>
      </w:r>
      <w:r w:rsidRPr="00A4384F">
        <w:t>az önkormányzat az adott munka elvégzésére saját eszközeiből ráfordít</w:t>
      </w:r>
      <w:r>
        <w:t>ott összeg erejéig.</w:t>
      </w:r>
    </w:p>
    <w:p w14:paraId="7356FD00" w14:textId="77777777" w:rsidR="003435FA" w:rsidRDefault="003435FA" w:rsidP="003435FA">
      <w:r w:rsidRPr="00C02F82">
        <w:t xml:space="preserve">A Lakástörvény 62. </w:t>
      </w:r>
      <w:r>
        <w:t>és 63.§</w:t>
      </w:r>
      <w:proofErr w:type="spellStart"/>
      <w:r>
        <w:t>-ait</w:t>
      </w:r>
      <w:proofErr w:type="spellEnd"/>
      <w:r>
        <w:t xml:space="preserve">, amelyek a Fővárosi </w:t>
      </w:r>
      <w:proofErr w:type="spellStart"/>
      <w:r>
        <w:t>Városrehabilitációs</w:t>
      </w:r>
      <w:proofErr w:type="spellEnd"/>
      <w:r>
        <w:t xml:space="preserve"> Keretet és a </w:t>
      </w:r>
      <w:r w:rsidRPr="00C02F82">
        <w:t>társasház</w:t>
      </w:r>
      <w:r>
        <w:t>ak fővárosi</w:t>
      </w:r>
      <w:r w:rsidRPr="00C02F82">
        <w:t xml:space="preserve"> támogatás</w:t>
      </w:r>
      <w:r>
        <w:t>ána</w:t>
      </w:r>
      <w:r w:rsidRPr="00C02F82">
        <w:t xml:space="preserve">k </w:t>
      </w:r>
      <w:r>
        <w:t>alapját szabályozták, a 2012-es módosítás hatályon kívül helyezte.</w:t>
      </w:r>
    </w:p>
    <w:p w14:paraId="3C4A9C1A" w14:textId="2017A542" w:rsidR="001626D6" w:rsidRDefault="001626D6" w:rsidP="00AF48CC">
      <w:pPr>
        <w:pStyle w:val="Cmsor2"/>
      </w:pPr>
      <w:bookmarkStart w:id="18" w:name="_Toc133257988"/>
      <w:r w:rsidRPr="001626D6">
        <w:lastRenderedPageBreak/>
        <w:t xml:space="preserve">A helyi adókról szóló 1990. évi C. törvény (továbbiakban: </w:t>
      </w:r>
      <w:proofErr w:type="spellStart"/>
      <w:r w:rsidRPr="001626D6">
        <w:t>Htv</w:t>
      </w:r>
      <w:proofErr w:type="spellEnd"/>
      <w:r w:rsidRPr="001626D6">
        <w:t>.)</w:t>
      </w:r>
      <w:bookmarkEnd w:id="18"/>
    </w:p>
    <w:p w14:paraId="37ECE6DF" w14:textId="77777777" w:rsidR="001626D6" w:rsidRDefault="001626D6" w:rsidP="001626D6">
      <w:r>
        <w:t xml:space="preserve">A helyi adók kereteit a helyi adókról szóló 1990. évi C. törvény (továbbiakban: </w:t>
      </w:r>
      <w:proofErr w:type="spellStart"/>
      <w:r>
        <w:t>Htv</w:t>
      </w:r>
      <w:proofErr w:type="spellEnd"/>
      <w:r>
        <w:t xml:space="preserve">.) határozza meg. </w:t>
      </w:r>
    </w:p>
    <w:p w14:paraId="1D8D3AF3" w14:textId="565C8F28" w:rsidR="004B4110" w:rsidRDefault="001626D6" w:rsidP="001626D6">
      <w:r>
        <w:t>A helyi önkormányzat s</w:t>
      </w:r>
      <w:r w:rsidR="004B4110">
        <w:t>aját bevétel</w:t>
      </w:r>
      <w:r>
        <w:t xml:space="preserve">ei: </w:t>
      </w:r>
      <w:r w:rsidR="004B4110">
        <w:t>helyi adók, illetékbevétel, kamatbevétel, önkormányzatot megillető bírság, önkormányzat egyéb sajátos bevételei, osztalékbevétel, azon önkormányzati vagyon bérbeadásából, haszonbérletéből, üzemeltetéséből származó, koncessziós díjából származó bevétel, amely vagyon felhalmozási, felújítási célú felhasználására az önkormányzat kötelezettséget vállalt)</w:t>
      </w:r>
    </w:p>
    <w:p w14:paraId="5A2C9753" w14:textId="10B1E720" w:rsidR="00DD1807" w:rsidRDefault="00DD1807" w:rsidP="00DD1807">
      <w:r>
        <w:t xml:space="preserve">A törvény értelmében a </w:t>
      </w:r>
      <w:r w:rsidRPr="00DD1807">
        <w:t>kerületi önkormányzat</w:t>
      </w:r>
      <w:r>
        <w:t xml:space="preserve"> jogosult </w:t>
      </w:r>
      <w:r w:rsidRPr="00DD1807">
        <w:t>építményadót, telekadót, magánszemély kommunális adóját</w:t>
      </w:r>
      <w:r w:rsidR="00D723FC">
        <w:t xml:space="preserve">, </w:t>
      </w:r>
      <w:r w:rsidRPr="00DD1807">
        <w:t xml:space="preserve">idegenforgalmi </w:t>
      </w:r>
      <w:r w:rsidR="00D723FC">
        <w:t xml:space="preserve">és települési </w:t>
      </w:r>
      <w:r w:rsidRPr="00DD1807">
        <w:t xml:space="preserve">adót </w:t>
      </w:r>
      <w:r>
        <w:t>bevezetni.</w:t>
      </w:r>
      <w:r w:rsidRPr="00DD1807">
        <w:t xml:space="preserve"> </w:t>
      </w:r>
    </w:p>
    <w:p w14:paraId="66FCE808" w14:textId="6BF5FE08" w:rsidR="000977C1" w:rsidRDefault="00DF021F" w:rsidP="00720119">
      <w:r>
        <w:t xml:space="preserve">A </w:t>
      </w:r>
      <w:proofErr w:type="spellStart"/>
      <w:r w:rsidRPr="00DF021F">
        <w:t>Htv</w:t>
      </w:r>
      <w:proofErr w:type="spellEnd"/>
      <w:r w:rsidRPr="00DF021F">
        <w:t xml:space="preserve">. </w:t>
      </w:r>
      <w:r w:rsidR="000E75F9">
        <w:t>felhatalmazza</w:t>
      </w:r>
      <w:r>
        <w:t xml:space="preserve"> az önkormányzat</w:t>
      </w:r>
      <w:r w:rsidR="000E75F9">
        <w:t xml:space="preserve">ot ezen adók </w:t>
      </w:r>
      <w:r>
        <w:t>bevezetés</w:t>
      </w:r>
      <w:r w:rsidR="000E75F9">
        <w:t>ére</w:t>
      </w:r>
      <w:r>
        <w:t>, a bevezetett adók hatályon kívül helyezés</w:t>
      </w:r>
      <w:r w:rsidR="000E75F9">
        <w:t>ére</w:t>
      </w:r>
      <w:r>
        <w:t xml:space="preserve"> és módosítás</w:t>
      </w:r>
      <w:r w:rsidR="000E75F9">
        <w:t>ára</w:t>
      </w:r>
      <w:r>
        <w:t>, az</w:t>
      </w:r>
      <w:r w:rsidR="000E75F9">
        <w:t xml:space="preserve">zal, hogy </w:t>
      </w:r>
      <w:r>
        <w:t>az évközi módosítás naptári éven belül nem súlyosbíthatja az adóalanyok adóterheit</w:t>
      </w:r>
      <w:r w:rsidR="000E75F9">
        <w:t>. A</w:t>
      </w:r>
      <w:r>
        <w:t>z adó mértéké</w:t>
      </w:r>
      <w:r w:rsidR="000E75F9">
        <w:t xml:space="preserve">re </w:t>
      </w:r>
      <w:r>
        <w:t xml:space="preserve">a </w:t>
      </w:r>
      <w:proofErr w:type="spellStart"/>
      <w:r>
        <w:t>Htv</w:t>
      </w:r>
      <w:proofErr w:type="spellEnd"/>
      <w:r>
        <w:t>. felső határok</w:t>
      </w:r>
      <w:r w:rsidR="000E75F9">
        <w:t xml:space="preserve">at és mentességi követelményeket állapít meg. A </w:t>
      </w:r>
      <w:proofErr w:type="spellStart"/>
      <w:r>
        <w:t>Htv.-ben</w:t>
      </w:r>
      <w:proofErr w:type="spellEnd"/>
      <w:r>
        <w:t xml:space="preserve"> meghatározott mentességeket, kedvezményeket </w:t>
      </w:r>
      <w:r w:rsidR="000E75F9">
        <w:t>a helyi önkormányzat</w:t>
      </w:r>
      <w:r w:rsidR="00720119">
        <w:t xml:space="preserve"> a helyi sajátosságok </w:t>
      </w:r>
      <w:proofErr w:type="gramStart"/>
      <w:r w:rsidR="00720119">
        <w:t>figyelembevételével</w:t>
      </w:r>
      <w:proofErr w:type="gramEnd"/>
      <w:r w:rsidR="000E75F9">
        <w:t xml:space="preserve"> </w:t>
      </w:r>
      <w:r>
        <w:t>további mentességekkel, kedvezményekkel, így különösen a lakások esetében a lakásban lakóhellyel rendelkező eltartottak számától, a lakáson fennálló, hitelintézet által lakásvásárlásra, lakásépítésre nyújtott hitel biztosítékául szolgáló jelzálogjog fennállásától, a lakásban lakóhellyel rendelkezők jövedelmétől függő mentességekkel, kedvezményekkel kibővít</w:t>
      </w:r>
      <w:r w:rsidR="00720119">
        <w:t xml:space="preserve">heti. </w:t>
      </w:r>
    </w:p>
    <w:p w14:paraId="40F31F14" w14:textId="1894EB1D" w:rsidR="000977C1" w:rsidRDefault="00720119" w:rsidP="00720119">
      <w:pPr>
        <w:rPr>
          <w:b/>
          <w:bCs/>
        </w:rPr>
      </w:pPr>
      <w:r w:rsidRPr="0037305A">
        <w:rPr>
          <w:b/>
          <w:bCs/>
        </w:rPr>
        <w:t>A</w:t>
      </w:r>
      <w:r w:rsidR="000977C1" w:rsidRPr="0037305A">
        <w:rPr>
          <w:b/>
          <w:bCs/>
        </w:rPr>
        <w:t>z adóalany egy meghatározott adótárgy (épület, épületrész, telek) esetében csak egyféle adó fizetésére kötelezhet</w:t>
      </w:r>
      <w:r w:rsidRPr="0037305A">
        <w:rPr>
          <w:b/>
          <w:bCs/>
        </w:rPr>
        <w:t>ő.</w:t>
      </w:r>
      <w:r>
        <w:t xml:space="preserve"> A </w:t>
      </w:r>
      <w:r w:rsidR="000977C1">
        <w:t xml:space="preserve">vagyoni típusú adók körében az épület, épületrész és telek utáni adót egységesen </w:t>
      </w:r>
      <w:r>
        <w:t xml:space="preserve">– </w:t>
      </w:r>
      <w:r w:rsidR="000977C1">
        <w:t xml:space="preserve">tételes összegben vagy a korrigált forgalmi érték alapulvételével </w:t>
      </w:r>
      <w:r>
        <w:t xml:space="preserve">– </w:t>
      </w:r>
      <w:r w:rsidR="000977C1">
        <w:t>határoz</w:t>
      </w:r>
      <w:r>
        <w:t>ható meg</w:t>
      </w:r>
      <w:r w:rsidRPr="00DA3CD0">
        <w:t xml:space="preserve">. </w:t>
      </w:r>
      <w:r w:rsidRPr="00DA3CD0">
        <w:rPr>
          <w:b/>
          <w:bCs/>
        </w:rPr>
        <w:t>A korr</w:t>
      </w:r>
      <w:r w:rsidR="000977C1" w:rsidRPr="00DA3CD0">
        <w:rPr>
          <w:b/>
          <w:bCs/>
        </w:rPr>
        <w:t>igált forgalmi érték alapú építményadóban a lakás, illetve az egyéb építmény esetén egy-egy, a korrigált forgalmi érték alapú telekadóban a lakáshoz tartozó telek, illetve az egyéb telek esetén egy-egy adómérték alkalmazható</w:t>
      </w:r>
      <w:r w:rsidRPr="00DA3CD0">
        <w:rPr>
          <w:b/>
          <w:bCs/>
        </w:rPr>
        <w:t>.</w:t>
      </w:r>
    </w:p>
    <w:p w14:paraId="240C76C7" w14:textId="49A25313" w:rsidR="0037305A" w:rsidRPr="0037305A" w:rsidRDefault="0037305A" w:rsidP="00720119">
      <w:r>
        <w:t>Magánszemélyhez kötött helyi adó a k</w:t>
      </w:r>
      <w:r w:rsidRPr="0037305A">
        <w:t>ommunális adó</w:t>
      </w:r>
      <w:r>
        <w:t xml:space="preserve">, amely </w:t>
      </w:r>
      <w:r w:rsidRPr="0037305A">
        <w:t>magánszemélyt</w:t>
      </w:r>
      <w:r>
        <w:t xml:space="preserve"> terhel </w:t>
      </w:r>
      <w:r w:rsidRPr="0037305A">
        <w:t xml:space="preserve">az önkormányzat illetékességi területén </w:t>
      </w:r>
      <w:r>
        <w:t>lakástulajdona után, illetve</w:t>
      </w:r>
      <w:r w:rsidRPr="0037305A">
        <w:t xml:space="preserve"> nem magánszemély tulajdonában álló </w:t>
      </w:r>
      <w:proofErr w:type="gramStart"/>
      <w:r w:rsidRPr="0037305A">
        <w:t>lakás bérleti</w:t>
      </w:r>
      <w:proofErr w:type="gramEnd"/>
      <w:r w:rsidRPr="0037305A">
        <w:t xml:space="preserve"> jogával rendelkezik.</w:t>
      </w:r>
    </w:p>
    <w:p w14:paraId="10628094" w14:textId="6B4B660B" w:rsidR="00D57C71" w:rsidRDefault="00D723FC" w:rsidP="00D723FC">
      <w:r>
        <w:t>A települési önkormányzat az illetékességi területén települési adót vezethet be, amelyet törvény nem tilt. A települési önkormányzat települési adót bármely adótárgyra megállapíthat, feltéve, hogy arra nem terjed ki törvényben szabályozott közteher hatálya. A települési adóból származó bevétel az azt megállapító önkormányzat bevétele, amelyet fejlesztési célra és a települési önkormányzat képviselő-testületének hatáskörébe tartozó szociális ellátások finanszírozására használhat fel.</w:t>
      </w:r>
    </w:p>
    <w:p w14:paraId="469699D3" w14:textId="2FEFADD0" w:rsidR="00D723FC" w:rsidRDefault="00D723FC" w:rsidP="00D723FC">
      <w:r>
        <w:t>A települési adó 2015-ös bevezetésének egyik célja az volt, hogy az átalakult forrásszerkezetben lehetőséget nyújtson a települések számára olyan források teremtésére, melyek a helyben keletkező, önként vállalt feladatok fedezetéül szolgálhatnak, vagy épp a kötelező feladatok magasabb minőségi szinten történő ellátását biztosítják. </w:t>
      </w:r>
    </w:p>
    <w:tbl>
      <w:tblPr>
        <w:tblW w:w="906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02"/>
        <w:gridCol w:w="3169"/>
        <w:gridCol w:w="1792"/>
        <w:gridCol w:w="1701"/>
      </w:tblGrid>
      <w:tr w:rsidR="00845528" w14:paraId="22DF3380" w14:textId="7E1F929C" w:rsidTr="00914BE9">
        <w:trPr>
          <w:tblHeader/>
        </w:trPr>
        <w:tc>
          <w:tcPr>
            <w:tcW w:w="2402"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269B938" w14:textId="77777777" w:rsidR="00845528" w:rsidRPr="00A937F4" w:rsidRDefault="00845528" w:rsidP="00914BE9">
            <w:pPr>
              <w:pStyle w:val="tablazat"/>
              <w:rPr>
                <w:rFonts w:ascii="Times New Roman" w:hAnsi="Times New Roman"/>
              </w:rPr>
            </w:pPr>
            <w:r w:rsidRPr="00A937F4">
              <w:t>Adónem</w:t>
            </w:r>
          </w:p>
        </w:tc>
        <w:tc>
          <w:tcPr>
            <w:tcW w:w="3169"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7CF34373" w14:textId="77777777" w:rsidR="00845528" w:rsidRPr="00A937F4" w:rsidRDefault="00845528" w:rsidP="00914BE9">
            <w:pPr>
              <w:pStyle w:val="tablazat"/>
            </w:pPr>
            <w:proofErr w:type="spellStart"/>
            <w:r w:rsidRPr="00A937F4">
              <w:t>Htv</w:t>
            </w:r>
            <w:proofErr w:type="spellEnd"/>
            <w:r w:rsidRPr="00A937F4">
              <w:t xml:space="preserve"> által előírt adómentesség / adófelfüggesztés</w:t>
            </w:r>
          </w:p>
        </w:tc>
        <w:tc>
          <w:tcPr>
            <w:tcW w:w="1792"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B6F9621" w14:textId="2DEC58E2" w:rsidR="00845528" w:rsidRPr="00A937F4" w:rsidRDefault="00845528" w:rsidP="00914BE9">
            <w:pPr>
              <w:pStyle w:val="tablazat"/>
            </w:pPr>
            <w:r w:rsidRPr="00A937F4">
              <w:t>Adó alapja</w:t>
            </w:r>
          </w:p>
        </w:tc>
        <w:tc>
          <w:tcPr>
            <w:tcW w:w="1701"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1C4876DD" w14:textId="1BAE9CBF" w:rsidR="00845528" w:rsidRPr="00A937F4" w:rsidRDefault="00845528" w:rsidP="00914BE9">
            <w:pPr>
              <w:pStyle w:val="tablazat"/>
            </w:pPr>
            <w:r w:rsidRPr="00A937F4">
              <w:t>Adó mértéke</w:t>
            </w:r>
          </w:p>
        </w:tc>
      </w:tr>
      <w:tr w:rsidR="00845528" w14:paraId="5390B344" w14:textId="2304D06F" w:rsidTr="00914BE9">
        <w:tc>
          <w:tcPr>
            <w:tcW w:w="240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hideMark/>
          </w:tcPr>
          <w:p w14:paraId="67C78239" w14:textId="77777777" w:rsidR="00845528" w:rsidRPr="00A937F4" w:rsidRDefault="00845528" w:rsidP="00914BE9">
            <w:pPr>
              <w:pStyle w:val="tablazat"/>
            </w:pPr>
            <w:r w:rsidRPr="00A937F4">
              <w:t>Építményadó</w:t>
            </w:r>
          </w:p>
          <w:p w14:paraId="6BDBC4E8" w14:textId="77777777" w:rsidR="00845528" w:rsidRPr="00A937F4" w:rsidRDefault="00845528" w:rsidP="00914BE9">
            <w:pPr>
              <w:pStyle w:val="tablazat"/>
              <w:rPr>
                <w:i/>
                <w:iCs/>
              </w:rPr>
            </w:pPr>
            <w:r w:rsidRPr="00A937F4">
              <w:rPr>
                <w:i/>
                <w:iCs/>
                <w:shd w:val="clear" w:color="auto" w:fill="FFFFFF"/>
              </w:rPr>
              <w:t>az önkormányzat illetékességi területén lévő építmények közül a lakás és a nem lakás céljára szolgáló épület, épületrész, annak rendeltetésétől, illetőleg hasznosításától függetlenül.</w:t>
            </w:r>
          </w:p>
        </w:tc>
        <w:tc>
          <w:tcPr>
            <w:tcW w:w="3169"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tcPr>
          <w:p w14:paraId="691DF050" w14:textId="77777777" w:rsidR="00845528" w:rsidRPr="00A937F4" w:rsidRDefault="00845528" w:rsidP="00914BE9">
            <w:pPr>
              <w:pStyle w:val="tablazat"/>
              <w:rPr>
                <w:shd w:val="clear" w:color="auto" w:fill="FFFFFF"/>
              </w:rPr>
            </w:pPr>
            <w:r w:rsidRPr="00A937F4">
              <w:rPr>
                <w:shd w:val="clear" w:color="auto" w:fill="FFFFFF"/>
              </w:rPr>
              <w:t>szükséglakás</w:t>
            </w:r>
          </w:p>
          <w:p w14:paraId="3C992CF7" w14:textId="77777777" w:rsidR="00845528" w:rsidRPr="00A937F4" w:rsidRDefault="00845528" w:rsidP="00914BE9">
            <w:pPr>
              <w:pStyle w:val="tablazat"/>
              <w:rPr>
                <w:shd w:val="clear" w:color="auto" w:fill="FFFFFF"/>
              </w:rPr>
            </w:pPr>
            <w:r w:rsidRPr="00A937F4">
              <w:rPr>
                <w:shd w:val="clear" w:color="auto" w:fill="FFFFFF"/>
              </w:rPr>
              <w:t>háziorvosi rendelő</w:t>
            </w:r>
          </w:p>
          <w:p w14:paraId="5B5EDBE4" w14:textId="77777777" w:rsidR="00845528" w:rsidRPr="00A937F4" w:rsidRDefault="00845528" w:rsidP="00914BE9">
            <w:pPr>
              <w:pStyle w:val="tablazat"/>
            </w:pPr>
            <w:r w:rsidRPr="00A937F4">
              <w:t>műemlék vagy helyi védelem alatt álló épület felújításakor az engedély jogerőre emelkedését követő 3 adóévben (jelzálog biztosíték)</w:t>
            </w:r>
          </w:p>
          <w:p w14:paraId="6126A3B3" w14:textId="77777777" w:rsidR="00845528" w:rsidRPr="00A937F4" w:rsidRDefault="00845528" w:rsidP="00914BE9">
            <w:pPr>
              <w:pStyle w:val="tablazat"/>
            </w:pPr>
            <w:r w:rsidRPr="00A937F4">
              <w:lastRenderedPageBreak/>
              <w:t>65. életévét betöltött, vagy megváltozott munkaképességű magánszemély (egyedül vagy ugyanezen feltételeknek megfelelő hozzátartozójával)</w:t>
            </w:r>
          </w:p>
        </w:tc>
        <w:tc>
          <w:tcPr>
            <w:tcW w:w="179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tcPr>
          <w:p w14:paraId="6B0C5B2E" w14:textId="77777777" w:rsidR="00845528" w:rsidRPr="00A937F4" w:rsidRDefault="00845528" w:rsidP="00914BE9">
            <w:pPr>
              <w:pStyle w:val="tablazat"/>
            </w:pPr>
            <w:r w:rsidRPr="00A937F4">
              <w:lastRenderedPageBreak/>
              <w:t>az építmény m2-ben számított hasznos alapterülete</w:t>
            </w:r>
          </w:p>
          <w:p w14:paraId="69626D79" w14:textId="7E966778" w:rsidR="00845528" w:rsidRPr="00A937F4" w:rsidRDefault="00845528" w:rsidP="00914BE9">
            <w:pPr>
              <w:pStyle w:val="tablazat"/>
            </w:pPr>
            <w:r w:rsidRPr="00A937F4">
              <w:t>vagy</w:t>
            </w:r>
          </w:p>
          <w:p w14:paraId="5B07C155" w14:textId="68ACEE06" w:rsidR="00845528" w:rsidRPr="00A937F4" w:rsidRDefault="00845528" w:rsidP="00914BE9">
            <w:pPr>
              <w:pStyle w:val="tablazat"/>
            </w:pPr>
            <w:r w:rsidRPr="00A937F4">
              <w:t>az építmény korrigált forgalmi értéke.</w:t>
            </w:r>
          </w:p>
        </w:tc>
        <w:tc>
          <w:tcPr>
            <w:tcW w:w="1701" w:type="dxa"/>
            <w:tcBorders>
              <w:top w:val="outset" w:sz="6" w:space="0" w:color="auto"/>
              <w:left w:val="outset" w:sz="6" w:space="0" w:color="auto"/>
              <w:bottom w:val="outset" w:sz="6" w:space="0" w:color="auto"/>
              <w:right w:val="outset" w:sz="6" w:space="0" w:color="auto"/>
            </w:tcBorders>
          </w:tcPr>
          <w:p w14:paraId="4BD6DD6A" w14:textId="77777777" w:rsidR="00845528" w:rsidRPr="00A937F4" w:rsidRDefault="00845528" w:rsidP="00914BE9">
            <w:pPr>
              <w:pStyle w:val="tablazat"/>
            </w:pPr>
            <w:r w:rsidRPr="00A937F4">
              <w:t>1100 Ft/m2</w:t>
            </w:r>
            <w:r w:rsidRPr="00A937F4">
              <w:br/>
            </w:r>
          </w:p>
          <w:p w14:paraId="7A9561CF" w14:textId="77777777" w:rsidR="00845528" w:rsidRPr="00A937F4" w:rsidRDefault="00845528" w:rsidP="00914BE9">
            <w:pPr>
              <w:pStyle w:val="tablazat"/>
            </w:pPr>
            <w:r w:rsidRPr="00A937F4">
              <w:t>VAGY</w:t>
            </w:r>
          </w:p>
          <w:p w14:paraId="0ABCE521" w14:textId="42F232D4" w:rsidR="00845528" w:rsidRPr="00A937F4" w:rsidRDefault="00845528" w:rsidP="00914BE9">
            <w:pPr>
              <w:pStyle w:val="tablazat"/>
            </w:pPr>
            <w:r w:rsidRPr="00A937F4">
              <w:t>a korrigált forgalmi érték 3,6%-</w:t>
            </w:r>
            <w:proofErr w:type="gramStart"/>
            <w:r w:rsidRPr="00A937F4">
              <w:t>a</w:t>
            </w:r>
            <w:proofErr w:type="gramEnd"/>
          </w:p>
        </w:tc>
      </w:tr>
      <w:tr w:rsidR="00845528" w14:paraId="193E4ECE" w14:textId="0BAEDC50" w:rsidTr="00914BE9">
        <w:tc>
          <w:tcPr>
            <w:tcW w:w="240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hideMark/>
          </w:tcPr>
          <w:p w14:paraId="208084B5" w14:textId="77777777" w:rsidR="00845528" w:rsidRPr="00A937F4" w:rsidRDefault="00845528" w:rsidP="00914BE9">
            <w:pPr>
              <w:pStyle w:val="tablazat"/>
            </w:pPr>
            <w:r w:rsidRPr="00A937F4">
              <w:t>Telekadó</w:t>
            </w:r>
          </w:p>
          <w:p w14:paraId="713A2C4A" w14:textId="0D025DC5" w:rsidR="00845528" w:rsidRPr="00A937F4" w:rsidRDefault="00845528" w:rsidP="00914BE9">
            <w:pPr>
              <w:pStyle w:val="tablazat"/>
              <w:rPr>
                <w:i/>
                <w:iCs/>
              </w:rPr>
            </w:pPr>
            <w:r w:rsidRPr="00A937F4">
              <w:rPr>
                <w:i/>
                <w:iCs/>
              </w:rPr>
              <w:t>az önkormányzat illetékességi területén lévő telek</w:t>
            </w:r>
          </w:p>
        </w:tc>
        <w:tc>
          <w:tcPr>
            <w:tcW w:w="3169"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tcPr>
          <w:p w14:paraId="2238959B" w14:textId="2B01D340" w:rsidR="00845528" w:rsidRPr="00A937F4" w:rsidRDefault="00845528" w:rsidP="00914BE9">
            <w:pPr>
              <w:pStyle w:val="tablazat"/>
            </w:pPr>
            <w:r w:rsidRPr="00A937F4">
              <w:t>épület, épületrész hasznos alapterületével egyező nagyságú telekrész</w:t>
            </w:r>
          </w:p>
          <w:p w14:paraId="5FC204FF" w14:textId="0E953F7C" w:rsidR="00845528" w:rsidRPr="00A937F4" w:rsidRDefault="00845528" w:rsidP="00914BE9">
            <w:pPr>
              <w:pStyle w:val="tablazat"/>
            </w:pPr>
            <w:r w:rsidRPr="00A937F4">
              <w:t>építési tilalom alatt álló telek adóköteles területének 50%-</w:t>
            </w:r>
            <w:proofErr w:type="gramStart"/>
            <w:r w:rsidRPr="00A937F4">
              <w:t>a</w:t>
            </w:r>
            <w:proofErr w:type="gramEnd"/>
          </w:p>
        </w:tc>
        <w:tc>
          <w:tcPr>
            <w:tcW w:w="179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tcPr>
          <w:p w14:paraId="37D545B5" w14:textId="75FADB0E" w:rsidR="00845528" w:rsidRPr="00A937F4" w:rsidRDefault="00845528" w:rsidP="00914BE9">
            <w:pPr>
              <w:pStyle w:val="tablazat"/>
            </w:pPr>
            <w:r w:rsidRPr="00A937F4">
              <w:t>a telek m2-ben számított területe</w:t>
            </w:r>
          </w:p>
          <w:p w14:paraId="0BDFFFBB" w14:textId="2CF45E29" w:rsidR="00845528" w:rsidRPr="00A937F4" w:rsidRDefault="00845528" w:rsidP="00914BE9">
            <w:pPr>
              <w:pStyle w:val="tablazat"/>
            </w:pPr>
            <w:r w:rsidRPr="00A937F4">
              <w:t>VAGY</w:t>
            </w:r>
          </w:p>
          <w:p w14:paraId="7D03E392" w14:textId="33B292EF" w:rsidR="00845528" w:rsidRPr="00A937F4" w:rsidRDefault="00845528" w:rsidP="00914BE9">
            <w:pPr>
              <w:pStyle w:val="tablazat"/>
            </w:pPr>
            <w:r w:rsidRPr="00A937F4">
              <w:t>a telek korrigált forgalmi értéke</w:t>
            </w:r>
          </w:p>
        </w:tc>
        <w:tc>
          <w:tcPr>
            <w:tcW w:w="1701" w:type="dxa"/>
            <w:tcBorders>
              <w:top w:val="outset" w:sz="6" w:space="0" w:color="auto"/>
              <w:left w:val="outset" w:sz="6" w:space="0" w:color="auto"/>
              <w:bottom w:val="outset" w:sz="6" w:space="0" w:color="auto"/>
              <w:right w:val="outset" w:sz="6" w:space="0" w:color="auto"/>
            </w:tcBorders>
          </w:tcPr>
          <w:p w14:paraId="26EB2E85" w14:textId="672D1150" w:rsidR="00845528" w:rsidRPr="00A937F4" w:rsidRDefault="00845528" w:rsidP="00914BE9">
            <w:pPr>
              <w:pStyle w:val="tablazat"/>
            </w:pPr>
            <w:r w:rsidRPr="00A937F4">
              <w:t>200 Ft/m2</w:t>
            </w:r>
            <w:r w:rsidRPr="00A937F4">
              <w:br/>
              <w:t>VAGY</w:t>
            </w:r>
          </w:p>
          <w:p w14:paraId="4E469AD0" w14:textId="448ECE0F" w:rsidR="00845528" w:rsidRPr="00A937F4" w:rsidRDefault="00845528" w:rsidP="00914BE9">
            <w:pPr>
              <w:pStyle w:val="tablazat"/>
            </w:pPr>
            <w:r w:rsidRPr="00A937F4">
              <w:t>a korrigált forgalmi érték 3%-</w:t>
            </w:r>
            <w:proofErr w:type="gramStart"/>
            <w:r w:rsidRPr="00A937F4">
              <w:t>a</w:t>
            </w:r>
            <w:proofErr w:type="gramEnd"/>
          </w:p>
        </w:tc>
      </w:tr>
      <w:tr w:rsidR="00845528" w14:paraId="47B8A5FD" w14:textId="77777777" w:rsidTr="00914BE9">
        <w:tc>
          <w:tcPr>
            <w:tcW w:w="240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tcPr>
          <w:p w14:paraId="56D09A8E" w14:textId="77777777" w:rsidR="00845528" w:rsidRPr="00A937F4" w:rsidRDefault="00845528" w:rsidP="00914BE9">
            <w:pPr>
              <w:pStyle w:val="tablazat"/>
            </w:pPr>
            <w:r w:rsidRPr="00A937F4">
              <w:t>Kommunális adó</w:t>
            </w:r>
          </w:p>
          <w:p w14:paraId="1BA82F21" w14:textId="49FFF9D8" w:rsidR="00845528" w:rsidRPr="00A937F4" w:rsidRDefault="00845528" w:rsidP="00914BE9">
            <w:pPr>
              <w:pStyle w:val="tablazat"/>
              <w:rPr>
                <w:i/>
                <w:iCs/>
              </w:rPr>
            </w:pPr>
            <w:r w:rsidRPr="00A937F4">
              <w:rPr>
                <w:i/>
                <w:iCs/>
              </w:rPr>
              <w:t xml:space="preserve">az önkormányzat illetékességi területén </w:t>
            </w:r>
            <w:r w:rsidR="00137508" w:rsidRPr="00A937F4">
              <w:rPr>
                <w:i/>
                <w:iCs/>
              </w:rPr>
              <w:t xml:space="preserve">levő lakás </w:t>
            </w:r>
            <w:r w:rsidRPr="00A937F4">
              <w:rPr>
                <w:i/>
                <w:iCs/>
              </w:rPr>
              <w:t>tulajdonos</w:t>
            </w:r>
            <w:r w:rsidR="00137508" w:rsidRPr="00A937F4">
              <w:rPr>
                <w:i/>
                <w:iCs/>
              </w:rPr>
              <w:t>a</w:t>
            </w:r>
            <w:r w:rsidRPr="00A937F4">
              <w:rPr>
                <w:i/>
                <w:iCs/>
              </w:rPr>
              <w:t xml:space="preserve"> vagy </w:t>
            </w:r>
            <w:r w:rsidR="0037305A" w:rsidRPr="0037305A">
              <w:rPr>
                <w:i/>
                <w:iCs/>
              </w:rPr>
              <w:t xml:space="preserve">nem magánszemély tulajdonában álló </w:t>
            </w:r>
            <w:r w:rsidR="0037305A">
              <w:rPr>
                <w:i/>
                <w:iCs/>
              </w:rPr>
              <w:t xml:space="preserve">lakás </w:t>
            </w:r>
            <w:r w:rsidR="00137508" w:rsidRPr="00A937F4">
              <w:rPr>
                <w:i/>
                <w:iCs/>
              </w:rPr>
              <w:t>bérlője</w:t>
            </w:r>
          </w:p>
        </w:tc>
        <w:tc>
          <w:tcPr>
            <w:tcW w:w="3169"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tcPr>
          <w:p w14:paraId="1E24D46B" w14:textId="410DDB02" w:rsidR="00845528" w:rsidRPr="00A937F4" w:rsidRDefault="00137508" w:rsidP="00914BE9">
            <w:pPr>
              <w:pStyle w:val="tablazat"/>
            </w:pPr>
            <w:r w:rsidRPr="00A937F4">
              <w:t>65. életévét betöltött, vagy megváltozott munkaképességű magánszemély (egyedül vagy ugyanezen feltételeknek megfelelő hozzátartozójával)</w:t>
            </w:r>
          </w:p>
        </w:tc>
        <w:tc>
          <w:tcPr>
            <w:tcW w:w="179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tcPr>
          <w:p w14:paraId="05F5C5AC" w14:textId="266BE91F" w:rsidR="00845528" w:rsidRPr="00A937F4" w:rsidRDefault="0037305A" w:rsidP="00914BE9">
            <w:pPr>
              <w:pStyle w:val="tablazat"/>
            </w:pPr>
            <w:r>
              <w:t>l</w:t>
            </w:r>
            <w:r w:rsidR="00137508" w:rsidRPr="00A937F4">
              <w:t>akás vagy telek adótárgyanként, illetőleg lakásbérleti jogonként</w:t>
            </w:r>
          </w:p>
        </w:tc>
        <w:tc>
          <w:tcPr>
            <w:tcW w:w="1701" w:type="dxa"/>
            <w:tcBorders>
              <w:top w:val="outset" w:sz="6" w:space="0" w:color="auto"/>
              <w:left w:val="outset" w:sz="6" w:space="0" w:color="auto"/>
              <w:bottom w:val="outset" w:sz="6" w:space="0" w:color="auto"/>
              <w:right w:val="outset" w:sz="6" w:space="0" w:color="auto"/>
            </w:tcBorders>
          </w:tcPr>
          <w:p w14:paraId="40ACFED2" w14:textId="2D386BA8" w:rsidR="00845528" w:rsidRPr="00A937F4" w:rsidRDefault="00137508" w:rsidP="00914BE9">
            <w:pPr>
              <w:pStyle w:val="tablazat"/>
            </w:pPr>
            <w:r w:rsidRPr="00A937F4">
              <w:t>17 000 Ft</w:t>
            </w:r>
          </w:p>
        </w:tc>
      </w:tr>
      <w:tr w:rsidR="00845528" w:rsidRPr="00137508" w14:paraId="089D9B1A" w14:textId="05AE0EC8" w:rsidTr="00914BE9">
        <w:tc>
          <w:tcPr>
            <w:tcW w:w="240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hideMark/>
          </w:tcPr>
          <w:p w14:paraId="33D9443F" w14:textId="181F4D3B" w:rsidR="00845528" w:rsidRPr="00A937F4" w:rsidRDefault="00845528" w:rsidP="00914BE9">
            <w:pPr>
              <w:pStyle w:val="tablazat"/>
            </w:pPr>
            <w:r w:rsidRPr="00A937F4">
              <w:t xml:space="preserve">Idegenforgalmi adó </w:t>
            </w:r>
            <w:r w:rsidR="00137508" w:rsidRPr="00A937F4">
              <w:t>–</w:t>
            </w:r>
            <w:r w:rsidRPr="00A937F4">
              <w:t xml:space="preserve"> szállásdíj</w:t>
            </w:r>
          </w:p>
          <w:p w14:paraId="0661E492" w14:textId="5FE83883" w:rsidR="00137508" w:rsidRPr="00A937F4" w:rsidRDefault="00137508" w:rsidP="00914BE9">
            <w:pPr>
              <w:pStyle w:val="tablazat"/>
              <w:rPr>
                <w:i/>
                <w:iCs/>
              </w:rPr>
            </w:pPr>
            <w:r w:rsidRPr="00A937F4">
              <w:rPr>
                <w:i/>
                <w:iCs/>
              </w:rPr>
              <w:t>magánszemély, aki nem állandó lakosként az önkormányzat illetékességi területén legalább egy vendégéjszakát eltölt</w:t>
            </w:r>
          </w:p>
        </w:tc>
        <w:tc>
          <w:tcPr>
            <w:tcW w:w="3169"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tcPr>
          <w:p w14:paraId="4AB39AC6" w14:textId="77777777" w:rsidR="00845528" w:rsidRPr="00A937F4" w:rsidRDefault="00137508" w:rsidP="00914BE9">
            <w:pPr>
              <w:pStyle w:val="tablazat"/>
            </w:pPr>
            <w:r w:rsidRPr="00A937F4">
              <w:t>18. életévét be nem töltött magánszemély</w:t>
            </w:r>
          </w:p>
          <w:p w14:paraId="50110EE0" w14:textId="77777777" w:rsidR="00137508" w:rsidRPr="00A937F4" w:rsidRDefault="00137508" w:rsidP="00914BE9">
            <w:pPr>
              <w:pStyle w:val="tablazat"/>
            </w:pPr>
            <w:r w:rsidRPr="00A937F4">
              <w:t>gyógyintézetben fekvőbeteg szakellátásban részesülő vagy szociális intézményben ellátott magánszemély</w:t>
            </w:r>
          </w:p>
          <w:p w14:paraId="7BDD2786" w14:textId="77777777" w:rsidR="00137508" w:rsidRPr="00A937F4" w:rsidRDefault="00137508" w:rsidP="00914BE9">
            <w:pPr>
              <w:pStyle w:val="tablazat"/>
            </w:pPr>
            <w:r w:rsidRPr="00A937F4">
              <w:t>közép- és felsőfokú oktatási intézménynél tanulói vagy hallgatói jogviszony alapján, vagy munkavégzés céljából az önkormányzat illetékességi területén tartózkodó magánszemély</w:t>
            </w:r>
          </w:p>
          <w:p w14:paraId="1362DE9A" w14:textId="77777777" w:rsidR="00137508" w:rsidRPr="00A937F4" w:rsidRDefault="00137508" w:rsidP="00914BE9">
            <w:pPr>
              <w:pStyle w:val="tablazat"/>
            </w:pPr>
            <w:r w:rsidRPr="00A937F4">
              <w:t>egyházi jogi személy tulajdonában lévő építményben, telken hitéleti tevékenységéhez kapcsolódó vendégéjszakát eltöltő egyházi személy</w:t>
            </w:r>
          </w:p>
          <w:p w14:paraId="748A5D33" w14:textId="688EE434" w:rsidR="00137508" w:rsidRPr="00A937F4" w:rsidRDefault="00137508" w:rsidP="00914BE9">
            <w:pPr>
              <w:pStyle w:val="tablazat"/>
            </w:pPr>
            <w:r w:rsidRPr="00A937F4">
              <w:t xml:space="preserve">honvédelmi vagy rendvédelmi tevékenységhez kapcsolódó személy hozzátartozója </w:t>
            </w:r>
          </w:p>
        </w:tc>
        <w:tc>
          <w:tcPr>
            <w:tcW w:w="179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tcPr>
          <w:p w14:paraId="7798218C" w14:textId="77777777" w:rsidR="00137508" w:rsidRPr="00A937F4" w:rsidRDefault="00137508" w:rsidP="00914BE9">
            <w:pPr>
              <w:pStyle w:val="tablazat"/>
            </w:pPr>
            <w:r w:rsidRPr="00A937F4">
              <w:t>a megkezdett vendégéjszakák száma</w:t>
            </w:r>
          </w:p>
          <w:p w14:paraId="2E931E20" w14:textId="773B985A" w:rsidR="00137508" w:rsidRPr="00A937F4" w:rsidRDefault="00137508" w:rsidP="00914BE9">
            <w:pPr>
              <w:pStyle w:val="tablazat"/>
            </w:pPr>
            <w:r w:rsidRPr="00A937F4">
              <w:t>VAGY</w:t>
            </w:r>
          </w:p>
          <w:p w14:paraId="7B265526" w14:textId="6368F7FA" w:rsidR="00845528" w:rsidRPr="00A937F4" w:rsidRDefault="00137508" w:rsidP="00914BE9">
            <w:pPr>
              <w:pStyle w:val="tablazat"/>
            </w:pPr>
            <w:r w:rsidRPr="00A937F4">
              <w:t>a megkezdett vendégéjszakára eső szállásdíj; ennek hiányában a szállásért bármilyen jogcímen (pl. üdülőhasználati jog) fizetendő ellenérték (pl. üzemeltetési költség)</w:t>
            </w:r>
          </w:p>
        </w:tc>
        <w:tc>
          <w:tcPr>
            <w:tcW w:w="1701" w:type="dxa"/>
            <w:tcBorders>
              <w:top w:val="outset" w:sz="6" w:space="0" w:color="auto"/>
              <w:left w:val="outset" w:sz="6" w:space="0" w:color="auto"/>
              <w:bottom w:val="outset" w:sz="6" w:space="0" w:color="auto"/>
              <w:right w:val="outset" w:sz="6" w:space="0" w:color="auto"/>
            </w:tcBorders>
          </w:tcPr>
          <w:p w14:paraId="0DF15A87" w14:textId="77777777" w:rsidR="00845528" w:rsidRPr="00A937F4" w:rsidRDefault="00137508" w:rsidP="00914BE9">
            <w:pPr>
              <w:pStyle w:val="tablazat"/>
            </w:pPr>
            <w:r w:rsidRPr="00A937F4">
              <w:t>300 Ft</w:t>
            </w:r>
            <w:r w:rsidRPr="00A937F4">
              <w:br/>
            </w:r>
          </w:p>
          <w:p w14:paraId="777FCD92" w14:textId="77777777" w:rsidR="00137508" w:rsidRPr="00A937F4" w:rsidRDefault="00137508" w:rsidP="00914BE9">
            <w:pPr>
              <w:pStyle w:val="tablazat"/>
            </w:pPr>
            <w:r w:rsidRPr="00A937F4">
              <w:t>VAGY</w:t>
            </w:r>
          </w:p>
          <w:p w14:paraId="0179D3BF" w14:textId="3354163C" w:rsidR="00137508" w:rsidRPr="00A937F4" w:rsidRDefault="00B25990" w:rsidP="00914BE9">
            <w:pPr>
              <w:pStyle w:val="tablazat"/>
            </w:pPr>
            <w:r w:rsidRPr="00A937F4">
              <w:t>az adóalap 4%-</w:t>
            </w:r>
            <w:proofErr w:type="gramStart"/>
            <w:r w:rsidRPr="00A937F4">
              <w:t>a</w:t>
            </w:r>
            <w:proofErr w:type="gramEnd"/>
          </w:p>
        </w:tc>
      </w:tr>
    </w:tbl>
    <w:p w14:paraId="297897F1" w14:textId="0B003ADB" w:rsidR="00845528" w:rsidRDefault="00AF48CC" w:rsidP="00AF48CC">
      <w:pPr>
        <w:pStyle w:val="kepalairas"/>
      </w:pPr>
      <w:r>
        <w:t>Összefoglaló táblázat a helyi önkormányzati adókról</w:t>
      </w:r>
    </w:p>
    <w:p w14:paraId="036E972C" w14:textId="77777777" w:rsidR="00AF48CC" w:rsidRDefault="001059D5" w:rsidP="00AF48CC">
      <w:pPr>
        <w:pStyle w:val="Cmsor3"/>
      </w:pPr>
      <w:bookmarkStart w:id="19" w:name="_Toc133257989"/>
      <w:r w:rsidRPr="001059D5">
        <w:t>Budapest Főváros V</w:t>
      </w:r>
      <w:r>
        <w:t>II</w:t>
      </w:r>
      <w:r w:rsidRPr="001059D5">
        <w:t>. K</w:t>
      </w:r>
      <w:r>
        <w:t>erület</w:t>
      </w:r>
      <w:r w:rsidRPr="001059D5">
        <w:t xml:space="preserve"> Erzsébetváros Önkormányzata</w:t>
      </w:r>
      <w:r>
        <w:t xml:space="preserve"> helyi adó fajták</w:t>
      </w:r>
      <w:bookmarkEnd w:id="19"/>
    </w:p>
    <w:p w14:paraId="1A2C0642" w14:textId="44AA29C2" w:rsidR="001059D5" w:rsidRDefault="001059D5" w:rsidP="001059D5">
      <w:r>
        <w:t>(</w:t>
      </w:r>
      <w:r w:rsidRPr="001059D5">
        <w:t>Aktuális állapot, 2023.03.06.</w:t>
      </w:r>
      <w:r w:rsidR="00E21C09">
        <w:t xml:space="preserve"> Építményadó bevezetése: 1996.07.01, Telekadó és idegenforgalmi adó bevezetése: 2011.01.01</w:t>
      </w:r>
      <w:r w:rsidRPr="001059D5">
        <w:t>)</w:t>
      </w:r>
    </w:p>
    <w:tbl>
      <w:tblPr>
        <w:tblW w:w="906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02"/>
        <w:gridCol w:w="6662"/>
      </w:tblGrid>
      <w:tr w:rsidR="00A937F4" w14:paraId="34976995" w14:textId="77777777" w:rsidTr="00914BE9">
        <w:tc>
          <w:tcPr>
            <w:tcW w:w="2402"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09BA24BF" w14:textId="77777777" w:rsidR="00A937F4" w:rsidRDefault="00A937F4" w:rsidP="00914BE9">
            <w:pPr>
              <w:pStyle w:val="tablazat"/>
              <w:rPr>
                <w:rFonts w:ascii="Times New Roman" w:hAnsi="Times New Roman"/>
              </w:rPr>
            </w:pPr>
            <w:r>
              <w:t>Adónem</w:t>
            </w:r>
          </w:p>
        </w:tc>
        <w:tc>
          <w:tcPr>
            <w:tcW w:w="6662"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46F5FDFF" w14:textId="7B3EF456" w:rsidR="00A937F4" w:rsidRDefault="00A937F4" w:rsidP="00914BE9">
            <w:pPr>
              <w:pStyle w:val="tablazat"/>
            </w:pPr>
            <w:r>
              <w:t xml:space="preserve">Adó alanya | Jelleg | mérték (alsó határ - felső határ) </w:t>
            </w:r>
          </w:p>
        </w:tc>
      </w:tr>
      <w:tr w:rsidR="00A937F4" w14:paraId="4577A21C" w14:textId="77777777" w:rsidTr="00A937F4">
        <w:tc>
          <w:tcPr>
            <w:tcW w:w="240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hideMark/>
          </w:tcPr>
          <w:p w14:paraId="2FBA44E2" w14:textId="52D9F4DA" w:rsidR="00A937F4" w:rsidRDefault="00A937F4" w:rsidP="00914BE9">
            <w:pPr>
              <w:pStyle w:val="tablazat"/>
            </w:pPr>
            <w:r>
              <w:t>Építményadó</w:t>
            </w:r>
          </w:p>
        </w:tc>
        <w:tc>
          <w:tcPr>
            <w:tcW w:w="666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hideMark/>
          </w:tcPr>
          <w:p w14:paraId="79E6B51E" w14:textId="34CE771F" w:rsidR="00A937F4" w:rsidRDefault="00A937F4" w:rsidP="00914BE9">
            <w:pPr>
              <w:pStyle w:val="tablazat"/>
            </w:pPr>
            <w:r>
              <w:t>magánszemély és vállalkozás | egykulcsos - év - Lakás céljára szolgáló épület | 2 150 Ft/m2</w:t>
            </w:r>
          </w:p>
          <w:p w14:paraId="22BF2D5F" w14:textId="12CC5491" w:rsidR="00A937F4" w:rsidRDefault="00A937F4" w:rsidP="00914BE9">
            <w:pPr>
              <w:pStyle w:val="tablazat"/>
            </w:pPr>
            <w:r>
              <w:t xml:space="preserve">magánszemély | egykulcsos - év - Gépjárműtároló | 1 000 Ft/m2 </w:t>
            </w:r>
          </w:p>
          <w:p w14:paraId="1C4DF4BD" w14:textId="1C60A1D9" w:rsidR="00A937F4" w:rsidRDefault="00A937F4" w:rsidP="00914BE9">
            <w:pPr>
              <w:pStyle w:val="tablazat"/>
            </w:pPr>
            <w:r>
              <w:t xml:space="preserve">magánszemély és vállalkozás | egykulcsos - év - Nem lakás céljára szolgáló épület | 2 150 Ft/m2 </w:t>
            </w:r>
          </w:p>
        </w:tc>
      </w:tr>
      <w:tr w:rsidR="00A937F4" w14:paraId="3EF84F31" w14:textId="77777777" w:rsidTr="00A937F4">
        <w:tc>
          <w:tcPr>
            <w:tcW w:w="240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hideMark/>
          </w:tcPr>
          <w:p w14:paraId="1992DDB2" w14:textId="77777777" w:rsidR="00A937F4" w:rsidRDefault="00A937F4" w:rsidP="00914BE9">
            <w:pPr>
              <w:pStyle w:val="tablazat"/>
            </w:pPr>
            <w:r>
              <w:t>Telekadó (terület)</w:t>
            </w:r>
          </w:p>
        </w:tc>
        <w:tc>
          <w:tcPr>
            <w:tcW w:w="666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hideMark/>
          </w:tcPr>
          <w:p w14:paraId="2690456C" w14:textId="4AAD7C33" w:rsidR="00A937F4" w:rsidRDefault="00A937F4" w:rsidP="00914BE9">
            <w:pPr>
              <w:pStyle w:val="tablazat"/>
            </w:pPr>
            <w:r>
              <w:t xml:space="preserve">magánszemély és vállalkozás | egykulcsos - év - telek | 390 Ft/m2  </w:t>
            </w:r>
          </w:p>
          <w:p w14:paraId="2429EE49" w14:textId="422DB6F5" w:rsidR="00A937F4" w:rsidRDefault="00A937F4" w:rsidP="00914BE9">
            <w:pPr>
              <w:pStyle w:val="tablazat"/>
            </w:pPr>
            <w:r>
              <w:t xml:space="preserve">magánszemély és vállalkozás | egykulcsos - év - telek | 390 Ft/m2  </w:t>
            </w:r>
          </w:p>
        </w:tc>
      </w:tr>
      <w:tr w:rsidR="00A937F4" w14:paraId="4FF48AF5" w14:textId="77777777" w:rsidTr="00A937F4">
        <w:tc>
          <w:tcPr>
            <w:tcW w:w="240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hideMark/>
          </w:tcPr>
          <w:p w14:paraId="5702E829" w14:textId="58E84122" w:rsidR="00A937F4" w:rsidRDefault="00A937F4" w:rsidP="00914BE9">
            <w:pPr>
              <w:pStyle w:val="tablazat"/>
            </w:pPr>
            <w:r>
              <w:t>Idegenforgalmi adó - szállásdíj</w:t>
            </w:r>
          </w:p>
        </w:tc>
        <w:tc>
          <w:tcPr>
            <w:tcW w:w="666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hideMark/>
          </w:tcPr>
          <w:p w14:paraId="576F09A1" w14:textId="6ED0A686" w:rsidR="00A937F4" w:rsidRDefault="00A937F4" w:rsidP="00914BE9">
            <w:pPr>
              <w:pStyle w:val="tablazat"/>
            </w:pPr>
            <w:r>
              <w:t xml:space="preserve">magánszemély | egykulcsos - nap - | 4 % </w:t>
            </w:r>
          </w:p>
        </w:tc>
      </w:tr>
    </w:tbl>
    <w:p w14:paraId="2228D7C5" w14:textId="77777777" w:rsidR="00914BE9" w:rsidRDefault="00914BE9" w:rsidP="001059D5">
      <w:pPr>
        <w:rPr>
          <w:shd w:val="clear" w:color="auto" w:fill="FFFFFF"/>
        </w:rPr>
      </w:pPr>
    </w:p>
    <w:p w14:paraId="1FCF39DC" w14:textId="77777777" w:rsidR="00914BE9" w:rsidRDefault="00914BE9" w:rsidP="001059D5">
      <w:pPr>
        <w:rPr>
          <w:shd w:val="clear" w:color="auto" w:fill="FFFFFF"/>
        </w:rPr>
      </w:pPr>
    </w:p>
    <w:p w14:paraId="42A6DAA7" w14:textId="77777777" w:rsidR="00914BE9" w:rsidRDefault="00914BE9" w:rsidP="001059D5">
      <w:pPr>
        <w:rPr>
          <w:shd w:val="clear" w:color="auto" w:fill="FFFFFF"/>
        </w:rPr>
      </w:pPr>
    </w:p>
    <w:p w14:paraId="1C7EB91A" w14:textId="6BEB72FA" w:rsidR="001059D5" w:rsidRPr="001059D5" w:rsidRDefault="001059D5" w:rsidP="001059D5">
      <w:pPr>
        <w:rPr>
          <w:shd w:val="clear" w:color="auto" w:fill="FFFFFF"/>
        </w:rPr>
      </w:pPr>
      <w:r>
        <w:rPr>
          <w:shd w:val="clear" w:color="auto" w:fill="FFFFFF"/>
        </w:rPr>
        <w:lastRenderedPageBreak/>
        <w:t>Építményadóhoz kapcsolódó adóelőnyök:</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52"/>
        <w:gridCol w:w="1364"/>
        <w:gridCol w:w="4598"/>
        <w:gridCol w:w="706"/>
        <w:gridCol w:w="790"/>
      </w:tblGrid>
      <w:tr w:rsidR="001059D5" w:rsidRPr="001059D5" w14:paraId="3ABFC6F0" w14:textId="77777777" w:rsidTr="00914BE9">
        <w:tc>
          <w:tcPr>
            <w:tcW w:w="1552"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448FE021" w14:textId="77777777" w:rsidR="001059D5" w:rsidRPr="001059D5" w:rsidRDefault="001059D5" w:rsidP="00914BE9">
            <w:pPr>
              <w:pStyle w:val="tablazat"/>
            </w:pPr>
            <w:r w:rsidRPr="001059D5">
              <w:t>Típus / Jogosult</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41AEFA9A" w14:textId="77777777" w:rsidR="001059D5" w:rsidRPr="001059D5" w:rsidRDefault="001059D5" w:rsidP="00914BE9">
            <w:pPr>
              <w:pStyle w:val="tablazat"/>
            </w:pPr>
            <w:r w:rsidRPr="001059D5">
              <w:t>Adómentesség, adókedvezmény</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3C1CF0A" w14:textId="77777777" w:rsidR="001059D5" w:rsidRPr="001059D5" w:rsidRDefault="001059D5" w:rsidP="00914BE9">
            <w:pPr>
              <w:pStyle w:val="tablazat"/>
            </w:pPr>
            <w:r w:rsidRPr="001059D5">
              <w:t>Feltétel</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0D306AE8" w14:textId="77777777" w:rsidR="001059D5" w:rsidRPr="001059D5" w:rsidRDefault="001059D5" w:rsidP="00914BE9">
            <w:pPr>
              <w:pStyle w:val="tablazat"/>
            </w:pPr>
            <w:r w:rsidRPr="001059D5">
              <w:t>Alap</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5820992" w14:textId="77777777" w:rsidR="001059D5" w:rsidRPr="001059D5" w:rsidRDefault="001059D5" w:rsidP="00914BE9">
            <w:pPr>
              <w:pStyle w:val="tablazat"/>
            </w:pPr>
            <w:r w:rsidRPr="001059D5">
              <w:t>Mérték</w:t>
            </w:r>
          </w:p>
        </w:tc>
      </w:tr>
      <w:tr w:rsidR="001059D5" w:rsidRPr="001059D5" w14:paraId="605BEAB0" w14:textId="77777777" w:rsidTr="007D657D">
        <w:tc>
          <w:tcPr>
            <w:tcW w:w="155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6A3FCB03" w14:textId="3C1E5B84" w:rsidR="001059D5" w:rsidRPr="001059D5" w:rsidRDefault="001059D5" w:rsidP="00914BE9">
            <w:pPr>
              <w:pStyle w:val="tablazat"/>
            </w:pPr>
            <w:r w:rsidRPr="001059D5">
              <w:t>alanyi adókedvezmény/</w:t>
            </w:r>
            <w:r>
              <w:t xml:space="preserve"> </w:t>
            </w:r>
            <w:r w:rsidRPr="001059D5">
              <w:t>magánszemély</w:t>
            </w:r>
          </w:p>
        </w:tc>
        <w:tc>
          <w:tcPr>
            <w:tcW w:w="0" w:type="auto"/>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6724E2E0" w14:textId="77777777" w:rsidR="001059D5" w:rsidRPr="001059D5" w:rsidRDefault="001059D5" w:rsidP="00914BE9">
            <w:pPr>
              <w:pStyle w:val="tablazat"/>
            </w:pPr>
            <w:r w:rsidRPr="001059D5">
              <w:t xml:space="preserve">12/1996.(IV.26.) </w:t>
            </w:r>
            <w:proofErr w:type="spellStart"/>
            <w:r w:rsidRPr="001059D5">
              <w:t>ör</w:t>
            </w:r>
            <w:proofErr w:type="spellEnd"/>
            <w:r w:rsidRPr="001059D5">
              <w:t>. 8.§</w:t>
            </w:r>
          </w:p>
        </w:tc>
        <w:tc>
          <w:tcPr>
            <w:tcW w:w="0" w:type="auto"/>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3521AF74" w14:textId="77777777" w:rsidR="001059D5" w:rsidRPr="001059D5" w:rsidRDefault="001059D5" w:rsidP="00914BE9">
            <w:pPr>
              <w:pStyle w:val="tablazat"/>
            </w:pPr>
            <w:r w:rsidRPr="001059D5">
              <w:t>Magánszemély adózók közül a fizetendő adóból 100% kedvezményben részesül a hadigondozott, vagy vak adóalany.</w:t>
            </w:r>
          </w:p>
        </w:tc>
        <w:tc>
          <w:tcPr>
            <w:tcW w:w="0" w:type="auto"/>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6854C383" w14:textId="77777777" w:rsidR="001059D5" w:rsidRPr="001059D5" w:rsidRDefault="001059D5" w:rsidP="00914BE9">
            <w:pPr>
              <w:pStyle w:val="tablazat"/>
            </w:pPr>
            <w:r w:rsidRPr="001059D5">
              <w:t>adó összege</w:t>
            </w:r>
          </w:p>
        </w:tc>
        <w:tc>
          <w:tcPr>
            <w:tcW w:w="790"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16DD78A5" w14:textId="77777777" w:rsidR="001059D5" w:rsidRPr="001059D5" w:rsidRDefault="001059D5" w:rsidP="00914BE9">
            <w:pPr>
              <w:pStyle w:val="tablazat"/>
            </w:pPr>
            <w:r w:rsidRPr="001059D5">
              <w:t>100%</w:t>
            </w:r>
          </w:p>
        </w:tc>
      </w:tr>
      <w:tr w:rsidR="001059D5" w:rsidRPr="001059D5" w14:paraId="6A94FBD8" w14:textId="77777777" w:rsidTr="007D657D">
        <w:tc>
          <w:tcPr>
            <w:tcW w:w="155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41475720" w14:textId="15BF8F8B" w:rsidR="001059D5" w:rsidRPr="001059D5" w:rsidRDefault="001059D5" w:rsidP="00914BE9">
            <w:pPr>
              <w:pStyle w:val="tablazat"/>
            </w:pPr>
            <w:r w:rsidRPr="001059D5">
              <w:t>tárgyi adó</w:t>
            </w:r>
            <w:r>
              <w:t>mentesség</w:t>
            </w:r>
            <w:r w:rsidRPr="001059D5">
              <w:t>/</w:t>
            </w:r>
            <w:r>
              <w:t xml:space="preserve"> </w:t>
            </w:r>
            <w:r w:rsidRPr="001059D5">
              <w:t>magánszemély</w:t>
            </w:r>
          </w:p>
        </w:tc>
        <w:tc>
          <w:tcPr>
            <w:tcW w:w="0" w:type="auto"/>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64C26136" w14:textId="77777777" w:rsidR="001059D5" w:rsidRPr="001059D5" w:rsidRDefault="001059D5" w:rsidP="00914BE9">
            <w:pPr>
              <w:pStyle w:val="tablazat"/>
            </w:pPr>
            <w:r w:rsidRPr="001059D5">
              <w:t xml:space="preserve">12/1996.(IV.26.) </w:t>
            </w:r>
            <w:proofErr w:type="spellStart"/>
            <w:r w:rsidRPr="001059D5">
              <w:t>ör</w:t>
            </w:r>
            <w:proofErr w:type="spellEnd"/>
            <w:r w:rsidRPr="001059D5">
              <w:t>. 7.§</w:t>
            </w:r>
          </w:p>
        </w:tc>
        <w:tc>
          <w:tcPr>
            <w:tcW w:w="0" w:type="auto"/>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0C3C3ED9" w14:textId="77777777" w:rsidR="001059D5" w:rsidRPr="001059D5" w:rsidRDefault="001059D5" w:rsidP="00914BE9">
            <w:pPr>
              <w:pStyle w:val="tablazat"/>
            </w:pPr>
            <w:r w:rsidRPr="001059D5">
              <w:t xml:space="preserve">Mentes az építményadó alól a magánszemély adóalany ingatlan-nyilvántartásban lakásként szereplő építménye, amelyet a magánszemély adóalany vagy közeli hozzátartozója életvitelszerűen lakás céljára használ. Életvitelszerűen lakásként használt ingatlan: a </w:t>
            </w:r>
            <w:proofErr w:type="spellStart"/>
            <w:r w:rsidRPr="001059D5">
              <w:t>Htv</w:t>
            </w:r>
            <w:proofErr w:type="spellEnd"/>
            <w:r w:rsidRPr="001059D5">
              <w:t>. 12. § (1) bekezdés szerinti adóalany olyan lakása, ahol az adóalany vagy az adóalany Ptk. szerinti közeli hozzátartozója bizonyítottan az életviteléhez szükséges tevékenységeket (étkezés, főzés, mosás, családi élet szervezése, közüzemi szolgáltatások igénybevétele, elérhetőségi címként megjelölése, egyéb) rendszeresen, legjellemzőbben folytatja.</w:t>
            </w:r>
          </w:p>
        </w:tc>
        <w:tc>
          <w:tcPr>
            <w:tcW w:w="0" w:type="auto"/>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7E43D515" w14:textId="77777777" w:rsidR="001059D5" w:rsidRPr="001059D5" w:rsidRDefault="001059D5" w:rsidP="00914BE9">
            <w:pPr>
              <w:pStyle w:val="tablazat"/>
            </w:pPr>
            <w:r w:rsidRPr="001059D5">
              <w:t>adó összege</w:t>
            </w:r>
          </w:p>
        </w:tc>
        <w:tc>
          <w:tcPr>
            <w:tcW w:w="790"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0B52870F" w14:textId="77777777" w:rsidR="001059D5" w:rsidRPr="001059D5" w:rsidRDefault="001059D5" w:rsidP="00914BE9">
            <w:pPr>
              <w:pStyle w:val="tablazat"/>
            </w:pPr>
            <w:r w:rsidRPr="001059D5">
              <w:t>100%</w:t>
            </w:r>
          </w:p>
        </w:tc>
      </w:tr>
      <w:tr w:rsidR="001059D5" w:rsidRPr="001059D5" w14:paraId="54E5EB7E" w14:textId="77777777" w:rsidTr="007D657D">
        <w:tc>
          <w:tcPr>
            <w:tcW w:w="1552"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708E7F6F" w14:textId="08288C89" w:rsidR="001059D5" w:rsidRPr="001059D5" w:rsidRDefault="001059D5" w:rsidP="00914BE9">
            <w:pPr>
              <w:pStyle w:val="tablazat"/>
            </w:pPr>
            <w:r w:rsidRPr="001059D5">
              <w:t>tárgyi adóalap kedvezmény/</w:t>
            </w:r>
            <w:r>
              <w:t xml:space="preserve"> </w:t>
            </w:r>
            <w:r w:rsidRPr="001059D5">
              <w:t>magánszemély</w:t>
            </w:r>
          </w:p>
        </w:tc>
        <w:tc>
          <w:tcPr>
            <w:tcW w:w="0" w:type="auto"/>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2B6B2DB2" w14:textId="77777777" w:rsidR="001059D5" w:rsidRPr="001059D5" w:rsidRDefault="001059D5" w:rsidP="00914BE9">
            <w:pPr>
              <w:pStyle w:val="tablazat"/>
            </w:pPr>
            <w:r w:rsidRPr="001059D5">
              <w:t xml:space="preserve">12/1996.(IV.26.) </w:t>
            </w:r>
            <w:proofErr w:type="spellStart"/>
            <w:r w:rsidRPr="001059D5">
              <w:t>ör</w:t>
            </w:r>
            <w:proofErr w:type="spellEnd"/>
            <w:r w:rsidRPr="001059D5">
              <w:t>. 8.§</w:t>
            </w:r>
          </w:p>
        </w:tc>
        <w:tc>
          <w:tcPr>
            <w:tcW w:w="0" w:type="auto"/>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1FD65403" w14:textId="77777777" w:rsidR="001059D5" w:rsidRPr="001059D5" w:rsidRDefault="001059D5" w:rsidP="00914BE9">
            <w:pPr>
              <w:pStyle w:val="tablazat"/>
            </w:pPr>
            <w:r w:rsidRPr="001059D5">
              <w:t>A fizetendő adóból 50% kedvezményben részesül a magánszemély adóalany a pinceszinten (csatlakozó terepszint alatt) kialakított építménye után - kivétel teremgarázs, gépjárműtároló -, amennyiben annak hasznosítása nem köthető vállalkozási tevékenységhez vagy ahhoz szükséges anyagtároláshoz.</w:t>
            </w:r>
          </w:p>
        </w:tc>
        <w:tc>
          <w:tcPr>
            <w:tcW w:w="0" w:type="auto"/>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7C61C503" w14:textId="77777777" w:rsidR="001059D5" w:rsidRPr="001059D5" w:rsidRDefault="001059D5" w:rsidP="00914BE9">
            <w:pPr>
              <w:pStyle w:val="tablazat"/>
            </w:pPr>
            <w:r w:rsidRPr="001059D5">
              <w:t>adó összege</w:t>
            </w:r>
          </w:p>
        </w:tc>
        <w:tc>
          <w:tcPr>
            <w:tcW w:w="790" w:type="dxa"/>
            <w:tcBorders>
              <w:top w:val="outset" w:sz="6" w:space="0" w:color="auto"/>
              <w:left w:val="outset" w:sz="6" w:space="0" w:color="auto"/>
              <w:bottom w:val="outset" w:sz="6" w:space="0" w:color="auto"/>
              <w:right w:val="outset" w:sz="6" w:space="0" w:color="auto"/>
            </w:tcBorders>
            <w:tcMar>
              <w:top w:w="0" w:type="dxa"/>
              <w:left w:w="30" w:type="dxa"/>
              <w:bottom w:w="30" w:type="dxa"/>
              <w:right w:w="30" w:type="dxa"/>
            </w:tcMar>
            <w:vAlign w:val="center"/>
            <w:hideMark/>
          </w:tcPr>
          <w:p w14:paraId="4DD000B2" w14:textId="77777777" w:rsidR="001059D5" w:rsidRPr="001059D5" w:rsidRDefault="001059D5" w:rsidP="00914BE9">
            <w:pPr>
              <w:pStyle w:val="tablazat"/>
            </w:pPr>
            <w:r w:rsidRPr="001059D5">
              <w:t>50%</w:t>
            </w:r>
          </w:p>
        </w:tc>
      </w:tr>
    </w:tbl>
    <w:p w14:paraId="3C627A1D" w14:textId="7734D4C0" w:rsidR="00AF4234" w:rsidRDefault="00987909" w:rsidP="00AF4234">
      <w:r w:rsidRPr="00BF6370">
        <w:t xml:space="preserve">Több budapesti kerület a helyi adókról szóló rendeletében </w:t>
      </w:r>
      <w:r w:rsidR="00AF4234" w:rsidRPr="00BF6370">
        <w:t>az építményadó fizetés alól tárgyi mentességet biztosít a magánszemély tulajdonában</w:t>
      </w:r>
      <w:r w:rsidRPr="00BF6370">
        <w:t xml:space="preserve"> </w:t>
      </w:r>
      <w:r w:rsidR="00AF4234" w:rsidRPr="00BF6370">
        <w:t>álló lakásra (lakóházra), és ezeket az adótárgyakat a magánszemély kommunális adójának hatálya alá von</w:t>
      </w:r>
      <w:r w:rsidRPr="00BF6370">
        <w:t>t</w:t>
      </w:r>
      <w:r w:rsidR="00AF4234" w:rsidRPr="00BF6370">
        <w:t>a.</w:t>
      </w:r>
    </w:p>
    <w:p w14:paraId="13663C51" w14:textId="77777777" w:rsidR="006F471A" w:rsidRDefault="006F471A" w:rsidP="006F471A">
      <w:r>
        <w:t>Megfontolandó</w:t>
      </w:r>
      <w:r w:rsidRPr="006F471A">
        <w:t xml:space="preserve"> </w:t>
      </w:r>
      <w:r>
        <w:t>a helyi adó rendeletben</w:t>
      </w:r>
    </w:p>
    <w:p w14:paraId="6D21E208" w14:textId="4E12DB73" w:rsidR="006F471A" w:rsidRDefault="006F471A" w:rsidP="00E66302">
      <w:pPr>
        <w:pStyle w:val="Listaszerbekezds"/>
        <w:numPr>
          <w:ilvl w:val="0"/>
          <w:numId w:val="15"/>
        </w:numPr>
      </w:pPr>
      <w:r>
        <w:t>adósávok bevezetése,</w:t>
      </w:r>
    </w:p>
    <w:p w14:paraId="373C7E25" w14:textId="4479A0A5" w:rsidR="006F471A" w:rsidRDefault="006F471A" w:rsidP="00E66302">
      <w:pPr>
        <w:pStyle w:val="Listaszerbekezds"/>
        <w:numPr>
          <w:ilvl w:val="0"/>
          <w:numId w:val="15"/>
        </w:numPr>
      </w:pPr>
      <w:r>
        <w:t>kommunális adó vagy települési adó (ez utóbbi nem eshet közteher hatálya alá) bevezetése,</w:t>
      </w:r>
    </w:p>
    <w:p w14:paraId="3BF3AC6A" w14:textId="7B2D86B8" w:rsidR="006F471A" w:rsidRDefault="006F471A" w:rsidP="00E66302">
      <w:pPr>
        <w:pStyle w:val="Listaszerbekezds"/>
        <w:numPr>
          <w:ilvl w:val="0"/>
          <w:numId w:val="15"/>
        </w:numPr>
      </w:pPr>
      <w:r>
        <w:t>hasznos alapterület alapról korrigált forgalmi értékre való áttérés.</w:t>
      </w:r>
    </w:p>
    <w:p w14:paraId="40D2C455" w14:textId="654F5261" w:rsidR="006F471A" w:rsidRDefault="006F471A" w:rsidP="006F471A">
      <w:r>
        <w:t xml:space="preserve">Fontos kiemelni, hogy e rendelkezések nem az Alap forrását növelik, hanem az Alap támogatását nem igénybe vevők számára nyújt ösztönzőt az </w:t>
      </w:r>
      <w:proofErr w:type="spellStart"/>
      <w:r>
        <w:t>épületfelújítások</w:t>
      </w:r>
      <w:proofErr w:type="spellEnd"/>
      <w:r>
        <w:t xml:space="preserve"> során. Továbbá figyelni kell arra, hogy ösztönző és ne büntető jellegű legyen.</w:t>
      </w:r>
    </w:p>
    <w:p w14:paraId="2B3196E2" w14:textId="7FAE4AE7" w:rsidR="00DA3CD0" w:rsidRDefault="00DA3CD0" w:rsidP="00AF5DAE">
      <w:pPr>
        <w:pStyle w:val="Cmsor2"/>
      </w:pPr>
      <w:bookmarkStart w:id="20" w:name="_Toc133257990"/>
      <w:r>
        <w:t>Támogatások átláthatósága</w:t>
      </w:r>
      <w:bookmarkEnd w:id="20"/>
    </w:p>
    <w:p w14:paraId="0208EF36" w14:textId="1FEE6168" w:rsidR="00303A44" w:rsidRDefault="00303A44" w:rsidP="00303A44">
      <w:r>
        <w:t xml:space="preserve">A </w:t>
      </w:r>
      <w:r w:rsidRPr="00303A44">
        <w:t>közpénzekből nyújtott támogatások fokozottabb átláthatóságának</w:t>
      </w:r>
      <w:r>
        <w:t xml:space="preserve"> jogi kereteit a közpénzekből nyújtott támogatások átláthatóságáról szóló 2007. évi CLXXXI. törvény és annak végrehajtási rendelete (a közpénzekből nyújtott támogatások átláthatóságáról szóló 2007. évi CLXXXI. törvény végrehajtásáról szóló 67/2008. (III. 29.) Korm. rendelet) jelentik.</w:t>
      </w:r>
      <w:r w:rsidR="00E6455C">
        <w:t xml:space="preserve"> E jogszabályok határozzák meg </w:t>
      </w:r>
      <w:r w:rsidR="00E6455C" w:rsidRPr="00E6455C">
        <w:t xml:space="preserve">a pályázatban </w:t>
      </w:r>
      <w:r w:rsidR="00E6455C">
        <w:t>résztvevők (</w:t>
      </w:r>
      <w:r w:rsidR="00E6455C" w:rsidRPr="00E6455C">
        <w:t>pályázati eljárás</w:t>
      </w:r>
      <w:r w:rsidR="00E6455C">
        <w:t xml:space="preserve"> </w:t>
      </w:r>
      <w:r w:rsidR="00E6455C" w:rsidRPr="00E6455C">
        <w:t>pályázó</w:t>
      </w:r>
      <w:r w:rsidR="00E6455C">
        <w:t>ja/i</w:t>
      </w:r>
      <w:r w:rsidR="00E6455C" w:rsidRPr="00E6455C">
        <w:t>génylő</w:t>
      </w:r>
      <w:r w:rsidR="00E6455C">
        <w:t xml:space="preserve">je, pályázatot befogadó szerv, </w:t>
      </w:r>
      <w:r w:rsidR="00E6455C" w:rsidRPr="00E6455C">
        <w:t>pályázati eljárás során a döntés-előkészítésben közreműködő</w:t>
      </w:r>
      <w:r w:rsidR="00E6455C">
        <w:t xml:space="preserve">k, </w:t>
      </w:r>
      <w:r w:rsidR="00E6455C" w:rsidRPr="00E6455C">
        <w:t>pályázati eljárásban döntéshozó</w:t>
      </w:r>
      <w:r w:rsidR="00E6455C">
        <w:t xml:space="preserve">k) </w:t>
      </w:r>
      <w:r w:rsidR="00E6455C" w:rsidRPr="00E6455C">
        <w:t>összeférhetetlenségére vonatkozó szabályokat</w:t>
      </w:r>
      <w:r w:rsidR="00E6455C">
        <w:t xml:space="preserve">, valamint </w:t>
      </w:r>
      <w:r w:rsidR="00E6455C" w:rsidRPr="00E6455C">
        <w:t>a közzéteendő adatok körét</w:t>
      </w:r>
      <w:r w:rsidR="00E6455C">
        <w:t xml:space="preserve"> és azok publikusságát biztosító internetes portál</w:t>
      </w:r>
      <w:r w:rsidR="00E6455C" w:rsidRPr="00E6455C">
        <w:t xml:space="preserve"> (</w:t>
      </w:r>
      <w:hyperlink r:id="rId12" w:history="1">
        <w:r w:rsidR="00E6455C" w:rsidRPr="007E3EC0">
          <w:rPr>
            <w:rStyle w:val="Hiperhivatkozs"/>
          </w:rPr>
          <w:t>www.kozpenzpalyazat.gov.hu</w:t>
        </w:r>
      </w:hyperlink>
      <w:r w:rsidR="00E6455C" w:rsidRPr="00E6455C">
        <w:t xml:space="preserve">) </w:t>
      </w:r>
      <w:r w:rsidR="00E6455C">
        <w:t>üzemeltetési feladatait.</w:t>
      </w:r>
    </w:p>
    <w:p w14:paraId="3DBE8B40" w14:textId="100D682A" w:rsidR="008A52C1" w:rsidRDefault="00E6455C" w:rsidP="00FD6875">
      <w:r>
        <w:t xml:space="preserve">A </w:t>
      </w:r>
      <w:r w:rsidRPr="00E6455C">
        <w:t>pályázattal, a pályázati eljárással, a támogatási döntéssel összefüggésben kezelt</w:t>
      </w:r>
      <w:r>
        <w:t xml:space="preserve"> adatok</w:t>
      </w:r>
      <w:r w:rsidRPr="00E6455C">
        <w:t xml:space="preserve"> közérdekű</w:t>
      </w:r>
      <w:r>
        <w:t xml:space="preserve">nek, de nem </w:t>
      </w:r>
      <w:r w:rsidRPr="00E6455C">
        <w:t xml:space="preserve">különleges adatnak </w:t>
      </w:r>
      <w:r>
        <w:t>minősülnek</w:t>
      </w:r>
      <w:r w:rsidR="00FD6875">
        <w:t xml:space="preserve">. A jogszabályi előírási feltételek megismeréséhez és jogszerű használat eléréséhez a </w:t>
      </w:r>
      <w:r w:rsidR="00FD6875" w:rsidRPr="00FD6875">
        <w:t xml:space="preserve">Nemzeti Infokommunikációs Szolgáltató </w:t>
      </w:r>
      <w:proofErr w:type="spellStart"/>
      <w:r w:rsidR="00FD6875" w:rsidRPr="00FD6875">
        <w:t>Zrt</w:t>
      </w:r>
      <w:proofErr w:type="spellEnd"/>
      <w:r w:rsidR="00FD6875" w:rsidRPr="00FD6875">
        <w:t>.</w:t>
      </w:r>
      <w:r w:rsidR="00FD6875">
        <w:t xml:space="preserve"> </w:t>
      </w:r>
      <w:r w:rsidR="00FD6875">
        <w:lastRenderedPageBreak/>
        <w:t>ismertetőket, űrlapokat, adatlapokat és iratmintákat készített mind a pályázatokat kiírók, mind a pályázók és a befogadók számára.</w:t>
      </w:r>
    </w:p>
    <w:p w14:paraId="10BB1A08" w14:textId="529FCD2A" w:rsidR="008A52C1" w:rsidRDefault="008A52C1" w:rsidP="008A52C1">
      <w:pPr>
        <w:jc w:val="center"/>
      </w:pPr>
      <w:r>
        <w:rPr>
          <w:noProof/>
        </w:rPr>
        <w:drawing>
          <wp:inline distT="0" distB="0" distL="0" distR="0" wp14:anchorId="3B108F22" wp14:editId="70D265FF">
            <wp:extent cx="3666226" cy="3170121"/>
            <wp:effectExtent l="0" t="0" r="0" b="0"/>
            <wp:docPr id="3" name="Kép 3" descr="Adatszolgáltatás folyam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atszolgáltatás folyamata"/>
                    <pic:cNvPicPr>
                      <a:picLocks noChangeAspect="1" noChangeArrowheads="1"/>
                    </pic:cNvPicPr>
                  </pic:nvPicPr>
                  <pic:blipFill rotWithShape="1">
                    <a:blip r:embed="rId13">
                      <a:extLst>
                        <a:ext uri="{28A0092B-C50C-407E-A947-70E740481C1C}">
                          <a14:useLocalDpi xmlns:a14="http://schemas.microsoft.com/office/drawing/2010/main" val="0"/>
                        </a:ext>
                      </a:extLst>
                    </a:blip>
                    <a:srcRect t="12357"/>
                    <a:stretch/>
                  </pic:blipFill>
                  <pic:spPr bwMode="auto">
                    <a:xfrm>
                      <a:off x="0" y="0"/>
                      <a:ext cx="3673112" cy="3176075"/>
                    </a:xfrm>
                    <a:prstGeom prst="rect">
                      <a:avLst/>
                    </a:prstGeom>
                    <a:noFill/>
                    <a:ln>
                      <a:noFill/>
                    </a:ln>
                    <a:extLst>
                      <a:ext uri="{53640926-AAD7-44D8-BBD7-CCE9431645EC}">
                        <a14:shadowObscured xmlns:a14="http://schemas.microsoft.com/office/drawing/2010/main"/>
                      </a:ext>
                    </a:extLst>
                  </pic:spPr>
                </pic:pic>
              </a:graphicData>
            </a:graphic>
          </wp:inline>
        </w:drawing>
      </w:r>
    </w:p>
    <w:p w14:paraId="578EA2E4" w14:textId="6D61D292" w:rsidR="008A52C1" w:rsidRDefault="008A52C1" w:rsidP="008A52C1">
      <w:pPr>
        <w:pStyle w:val="kepalairas"/>
      </w:pPr>
      <w:r>
        <w:t>Az adatszolgáltatás folyamata</w:t>
      </w:r>
    </w:p>
    <w:p w14:paraId="22D77077" w14:textId="76C715C7" w:rsidR="00FD6875" w:rsidRDefault="00FD6875" w:rsidP="00FD6875">
      <w:r>
        <w:t>A pályázóknak pályázataik, egyedi támogatási igényeik benyújtásakor nyilatkozniuk kell arról: nem áll-e fenn olyan törvényben meghatározott körülmény, amely kizárja őket a közpénzből nyújtott támogatás lehetőségéből (összeférhetetlenség), vagy olyan körülmény, amelynek e honlapon való közzététele kötelező (érintettség). Érintettség esetében a pályázóknak közzétételi kérelmet kell benyújtaniuk.</w:t>
      </w:r>
      <w:r w:rsidR="008A52C1">
        <w:t xml:space="preserve"> Ezt a pályázat során a pályázókkal ismertetni kell.</w:t>
      </w:r>
    </w:p>
    <w:p w14:paraId="08276DAC" w14:textId="0ADC02FA" w:rsidR="00303A44" w:rsidRDefault="008A52C1" w:rsidP="008A52C1">
      <w:r>
        <w:t xml:space="preserve">A kiíró számára a publikált </w:t>
      </w:r>
      <w:proofErr w:type="spellStart"/>
      <w:r>
        <w:t>excel</w:t>
      </w:r>
      <w:proofErr w:type="spellEnd"/>
      <w:r>
        <w:t xml:space="preserve"> sablon biztosítja, hogy az adatrögzítés </w:t>
      </w:r>
      <w:proofErr w:type="spellStart"/>
      <w:r>
        <w:t>teljeskörű</w:t>
      </w:r>
      <w:proofErr w:type="spellEnd"/>
      <w:r>
        <w:t xml:space="preserve"> és a jogszabályoknak megfelelő legyen. Ez tartalmazza a benyújtott és befogadott pályázatok és támogatási kérelmek adatait, a nyertes pályázatok (kedvezően elbírált egyedi támogatások) adatait, szükség esetén a kizárt pályázatok adatait és az elszámolási adatok továbbítására szolgáló követelményeket.</w:t>
      </w:r>
    </w:p>
    <w:p w14:paraId="2876242F" w14:textId="2F0EC936" w:rsidR="00DA3CD0" w:rsidRDefault="00DA3CD0" w:rsidP="00AF5DAE">
      <w:pPr>
        <w:pStyle w:val="Cmsor2"/>
      </w:pPr>
      <w:bookmarkStart w:id="21" w:name="_Toc133257991"/>
      <w:r>
        <w:t>Energiaközösség</w:t>
      </w:r>
      <w:r w:rsidR="00D674A6">
        <w:t>, ESCO</w:t>
      </w:r>
      <w:bookmarkEnd w:id="21"/>
    </w:p>
    <w:p w14:paraId="7E0B5670" w14:textId="77777777" w:rsidR="006A1380" w:rsidRPr="006A1380" w:rsidRDefault="006A1380" w:rsidP="006A1380">
      <w:pPr>
        <w:rPr>
          <w:shd w:val="clear" w:color="auto" w:fill="FFFFFF"/>
        </w:rPr>
      </w:pPr>
      <w:r w:rsidRPr="006A1380">
        <w:rPr>
          <w:shd w:val="clear" w:color="auto" w:fill="FFFFFF"/>
        </w:rPr>
        <w:t xml:space="preserve">A Századvég Gazdaságkutató </w:t>
      </w:r>
      <w:proofErr w:type="spellStart"/>
      <w:r w:rsidRPr="006A1380">
        <w:rPr>
          <w:shd w:val="clear" w:color="auto" w:fill="FFFFFF"/>
        </w:rPr>
        <w:t>Zrt</w:t>
      </w:r>
      <w:proofErr w:type="spellEnd"/>
      <w:r w:rsidRPr="006A1380">
        <w:rPr>
          <w:shd w:val="clear" w:color="auto" w:fill="FFFFFF"/>
        </w:rPr>
        <w:t xml:space="preserve">. a 2018-as évben javaslatot készített a közműszolgáltatók </w:t>
      </w:r>
      <w:proofErr w:type="spellStart"/>
      <w:r w:rsidRPr="006A1380">
        <w:rPr>
          <w:shd w:val="clear" w:color="auto" w:fill="FFFFFF"/>
        </w:rPr>
        <w:t>ESCO-konstrukcióval</w:t>
      </w:r>
      <w:proofErr w:type="spellEnd"/>
      <w:r w:rsidRPr="006A1380">
        <w:rPr>
          <w:shd w:val="clear" w:color="auto" w:fill="FFFFFF"/>
        </w:rPr>
        <w:t xml:space="preserve"> való bevonására. Motivációt </w:t>
      </w:r>
      <w:proofErr w:type="spellStart"/>
      <w:r w:rsidRPr="006A1380">
        <w:rPr>
          <w:shd w:val="clear" w:color="auto" w:fill="FFFFFF"/>
        </w:rPr>
        <w:t>adóvisszatérítéssel</w:t>
      </w:r>
      <w:proofErr w:type="spellEnd"/>
      <w:r w:rsidRPr="006A1380">
        <w:rPr>
          <w:shd w:val="clear" w:color="auto" w:fill="FFFFFF"/>
        </w:rPr>
        <w:t>, valamint a visszatérítendő és vissza nem térítendő támogatások kezelésével javasolják biztosítani. A számítás alapja mélyfelújítás esetében 20 éves futamidő, 25% vissza nem térítendő és 65% visszatérítendő támogatás, 5-5 százalékos lakossági és ESCO önrésszel, és a fűtési rendszer, ill. háztartási gépcsere programokra 10 éves futamidő, 20% vissza nem térítendő és 70% visszatérítendő támogatás, az önrészek változatlansága mellett. A számítások eredményét az alábbi táblázat foglalja össze:</w:t>
      </w:r>
    </w:p>
    <w:p w14:paraId="14001415" w14:textId="656CE0A1" w:rsidR="006A1380" w:rsidRPr="006A1380" w:rsidRDefault="006A1380" w:rsidP="006A1380">
      <w:pPr>
        <w:jc w:val="center"/>
        <w:rPr>
          <w:shd w:val="clear" w:color="auto" w:fill="FFFFFF"/>
        </w:rPr>
      </w:pPr>
      <w:r w:rsidRPr="006A1380">
        <w:rPr>
          <w:noProof/>
        </w:rPr>
        <w:lastRenderedPageBreak/>
        <w:drawing>
          <wp:inline distT="0" distB="0" distL="0" distR="0" wp14:anchorId="3063C184" wp14:editId="2F15766C">
            <wp:extent cx="3847465" cy="1552575"/>
            <wp:effectExtent l="0" t="0" r="635"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47465" cy="1552575"/>
                    </a:xfrm>
                    <a:prstGeom prst="rect">
                      <a:avLst/>
                    </a:prstGeom>
                    <a:noFill/>
                    <a:ln>
                      <a:noFill/>
                    </a:ln>
                  </pic:spPr>
                </pic:pic>
              </a:graphicData>
            </a:graphic>
          </wp:inline>
        </w:drawing>
      </w:r>
    </w:p>
    <w:p w14:paraId="324BD038" w14:textId="1F9F9CBE" w:rsidR="003A39CA" w:rsidRPr="00AF5DAE" w:rsidRDefault="006A1380" w:rsidP="004B4110">
      <w:pPr>
        <w:rPr>
          <w:shd w:val="clear" w:color="auto" w:fill="FFFFFF"/>
        </w:rPr>
      </w:pPr>
      <w:r w:rsidRPr="006A1380">
        <w:rPr>
          <w:shd w:val="clear" w:color="auto" w:fill="FFFFFF"/>
        </w:rPr>
        <w:t xml:space="preserve">Működőképes ESCO modell tud az alapja lenni a befektetői érdeklődésnek, amely a </w:t>
      </w:r>
      <w:r>
        <w:rPr>
          <w:shd w:val="clear" w:color="auto" w:fill="FFFFFF"/>
        </w:rPr>
        <w:t>felújítási tevékenységet</w:t>
      </w:r>
      <w:r w:rsidRPr="006A1380">
        <w:rPr>
          <w:shd w:val="clear" w:color="auto" w:fill="FFFFFF"/>
        </w:rPr>
        <w:t xml:space="preserve"> megtöbbszörözheti, </w:t>
      </w:r>
      <w:r w:rsidR="00AF5DAE">
        <w:rPr>
          <w:shd w:val="clear" w:color="auto" w:fill="FFFFFF"/>
        </w:rPr>
        <w:t xml:space="preserve">jelentős, akár </w:t>
      </w:r>
      <w:r w:rsidRPr="006A1380">
        <w:rPr>
          <w:shd w:val="clear" w:color="auto" w:fill="FFFFFF"/>
        </w:rPr>
        <w:t>milliárdos támogatási lehetőséget jelenthet.</w:t>
      </w:r>
    </w:p>
    <w:p w14:paraId="0F25A6CE" w14:textId="68AF8400" w:rsidR="00D139B5" w:rsidRDefault="00D139B5" w:rsidP="00AF5DAE">
      <w:pPr>
        <w:pStyle w:val="Cmsor1"/>
      </w:pPr>
      <w:bookmarkStart w:id="22" w:name="_Toc133257992"/>
      <w:r w:rsidRPr="00AF5DAE">
        <w:t>Javaslatok</w:t>
      </w:r>
      <w:bookmarkEnd w:id="22"/>
    </w:p>
    <w:p w14:paraId="1E8E0BFF" w14:textId="76B1C3DD" w:rsidR="009D2986" w:rsidRPr="0031581A" w:rsidRDefault="009D2986" w:rsidP="009D2986">
      <w:bookmarkStart w:id="23" w:name="_Hlk133255402"/>
      <w:r w:rsidRPr="0031581A">
        <w:t>A köz</w:t>
      </w:r>
      <w:r w:rsidR="006A1380">
        <w:t>pénzek</w:t>
      </w:r>
      <w:r w:rsidRPr="0031581A">
        <w:t xml:space="preserve"> hatékony </w:t>
      </w:r>
      <w:r w:rsidR="006A1380">
        <w:t>felhasználásának</w:t>
      </w:r>
      <w:r w:rsidRPr="0031581A">
        <w:t xml:space="preserve"> eszköze </w:t>
      </w:r>
      <w:r w:rsidRPr="005036B4">
        <w:rPr>
          <w:b/>
          <w:bCs/>
        </w:rPr>
        <w:t>egy pénzügyi forráskoordináló és elosztó rendszer</w:t>
      </w:r>
      <w:r>
        <w:t>, amely a</w:t>
      </w:r>
      <w:r w:rsidRPr="00D669F4">
        <w:t xml:space="preserve"> forrásösszevonás</w:t>
      </w:r>
      <w:r>
        <w:t xml:space="preserve">okat koordinálja, megfelelő jogi és pénzügyi tudással rendelkezik, ezáltal hatékonyan tudja a forrásallokációt működtetni, és biztosítékot jelent a forrást biztosító </w:t>
      </w:r>
      <w:r w:rsidR="006A1380">
        <w:t>önkormányzatnak</w:t>
      </w:r>
      <w:r>
        <w:t xml:space="preserve"> a „gondos” felhasználásról. </w:t>
      </w:r>
    </w:p>
    <w:p w14:paraId="2B058DDD" w14:textId="77777777" w:rsidR="006A1380" w:rsidRDefault="009D2986" w:rsidP="009D2986">
      <w:r w:rsidRPr="00441F07">
        <w:t>A visszaforgatható pénzügyi modell, a</w:t>
      </w:r>
      <w:r w:rsidR="006A1380">
        <w:t xml:space="preserve">z </w:t>
      </w:r>
      <w:r w:rsidR="006A1380" w:rsidRPr="006A1380">
        <w:t xml:space="preserve">Energiahatékonysági és Klímavédelmi Alap </w:t>
      </w:r>
      <w:r w:rsidRPr="00441F07">
        <w:t xml:space="preserve">lehetővé teszi, hogy a finanszírozási források </w:t>
      </w:r>
      <w:r w:rsidR="006A1380">
        <w:t xml:space="preserve">azon része, amely </w:t>
      </w:r>
      <w:r w:rsidRPr="00441F07">
        <w:t>a projekt kezdetekor rendelkezésre áll</w:t>
      </w:r>
      <w:r w:rsidR="006A1380">
        <w:t>, hatékonyan kerüljön felhasználásra, és annak biztonságos, transzparens működésével további igényeket gerjesszen.</w:t>
      </w:r>
      <w:r w:rsidR="006A1380" w:rsidRPr="006A1380">
        <w:t xml:space="preserve"> </w:t>
      </w:r>
    </w:p>
    <w:p w14:paraId="02FE5846" w14:textId="728D1FB0" w:rsidR="006A1380" w:rsidRDefault="006A1380" w:rsidP="009D2986">
      <w:r>
        <w:t>A</w:t>
      </w:r>
      <w:r w:rsidRPr="00441F07">
        <w:t xml:space="preserve"> portfólió szintű menedzselés hatékonyabb működést biztosít: a szervezeti háttér, a tranzakciós költségek, előkészítő feladatok (felmérés, tervezés</w:t>
      </w:r>
      <w:r>
        <w:t xml:space="preserve"> stb</w:t>
      </w:r>
      <w:r w:rsidRPr="00441F07">
        <w:t>.), a megvalósítás egyidejűségének optimalizálása, kivitelezési közbeszerzések blokkosítása, a</w:t>
      </w:r>
      <w:r>
        <w:t>z ön</w:t>
      </w:r>
      <w:r w:rsidRPr="00441F07">
        <w:t xml:space="preserve">kormányzati oldali szakmai tudás és folyamatszabályozás kidolgozása. </w:t>
      </w:r>
    </w:p>
    <w:p w14:paraId="230F2F50" w14:textId="50A5C834" w:rsidR="006A1380" w:rsidRDefault="006A1380" w:rsidP="009D2986">
      <w:r w:rsidRPr="00441F07">
        <w:t>A portfólió szintű finanszírozás egyben biztosítékot jelent a stabil visszatérítésre is, ami további forrásbevonást tesz lehetővé (befektetői piac</w:t>
      </w:r>
      <w:r>
        <w:t>,</w:t>
      </w:r>
      <w:r w:rsidRPr="00441F07">
        <w:t xml:space="preserve"> kötvénykibocsátás stb.)</w:t>
      </w:r>
      <w:r>
        <w:t>.</w:t>
      </w:r>
      <w:r w:rsidRPr="00441F07">
        <w:t xml:space="preserve"> Mindemellett rövid-, közép- és </w:t>
      </w:r>
      <w:proofErr w:type="spellStart"/>
      <w:r w:rsidRPr="00441F07">
        <w:t>hosszútávú</w:t>
      </w:r>
      <w:proofErr w:type="spellEnd"/>
      <w:r w:rsidRPr="00441F07">
        <w:t xml:space="preserve"> gazdasági előnyöket biztosít az önkormányzatok számára a költségvetés kímélése, a helyi gazdaság élénkítése és a megnövekedett adóbevételek révén.</w:t>
      </w:r>
    </w:p>
    <w:p w14:paraId="26628C90" w14:textId="77777777" w:rsidR="000E27AB" w:rsidRDefault="000E27AB" w:rsidP="000E27AB">
      <w:pPr>
        <w:pStyle w:val="Cmsor2"/>
      </w:pPr>
      <w:bookmarkStart w:id="24" w:name="_Toc133257993"/>
      <w:bookmarkEnd w:id="23"/>
      <w:r w:rsidRPr="000727EC">
        <w:t>Energiahatékonysági és Klímavédelmi Alap</w:t>
      </w:r>
      <w:bookmarkEnd w:id="24"/>
    </w:p>
    <w:p w14:paraId="05994519" w14:textId="7C781F93" w:rsidR="007A45A3" w:rsidRDefault="007A45A3" w:rsidP="007A45A3">
      <w:r w:rsidRPr="007A45A3">
        <w:t>Budapest Főváros VII. kerület Erzsébetváros Önkormányzata</w:t>
      </w:r>
      <w:r>
        <w:t xml:space="preserve"> </w:t>
      </w:r>
      <w:r w:rsidRPr="007A45A3">
        <w:t>2022. október 19-ei rendes ülésé</w:t>
      </w:r>
      <w:r>
        <w:t xml:space="preserve">n tárgyalta és elfogadta az </w:t>
      </w:r>
      <w:r w:rsidRPr="007A45A3">
        <w:t>Energiahatékonysági és Klímavédelmi Alap létrehozás</w:t>
      </w:r>
      <w:r>
        <w:t xml:space="preserve">áról szóló javaslatot. Az Alap általános célja, hogy a kerület lakóinak és intézményeinek </w:t>
      </w:r>
      <w:proofErr w:type="spellStart"/>
      <w:r>
        <w:t>energiamegtakarítási</w:t>
      </w:r>
      <w:proofErr w:type="spellEnd"/>
      <w:r>
        <w:t xml:space="preserve">, klímavédelmi és zöld fejlesztéseit támogassa. </w:t>
      </w:r>
      <w:r w:rsidRPr="007A45A3">
        <w:t xml:space="preserve">Erzsébetváros </w:t>
      </w:r>
      <w:r>
        <w:t xml:space="preserve">a </w:t>
      </w:r>
      <w:r w:rsidRPr="007A45A3">
        <w:t>Fenntartható Energia- és Klíma Akciótervé</w:t>
      </w:r>
      <w:r>
        <w:t xml:space="preserve">ben </w:t>
      </w:r>
      <w:r w:rsidR="00671271">
        <w:t xml:space="preserve">(továbbiakban: SECAP) </w:t>
      </w:r>
      <w:r w:rsidRPr="007A45A3">
        <w:t>kötelezettséget vállalt arra, hogy 2030-ra a kerületi károsanyag-kibocsátásokat 40 százalék</w:t>
      </w:r>
      <w:r>
        <w:t>kal</w:t>
      </w:r>
      <w:r w:rsidRPr="007A45A3">
        <w:t xml:space="preserve"> csökkent</w:t>
      </w:r>
      <w:r>
        <w:t>i.</w:t>
      </w:r>
    </w:p>
    <w:p w14:paraId="77241CD1" w14:textId="33C729F9" w:rsidR="007A45A3" w:rsidRDefault="007A45A3" w:rsidP="007A45A3">
      <w:r>
        <w:t>Az Alap konkrét céljai:</w:t>
      </w:r>
    </w:p>
    <w:p w14:paraId="3F7270DE" w14:textId="1025A416" w:rsidR="007A45A3" w:rsidRDefault="007A45A3">
      <w:pPr>
        <w:pStyle w:val="Listaszerbekezds"/>
        <w:numPr>
          <w:ilvl w:val="0"/>
          <w:numId w:val="5"/>
        </w:numPr>
      </w:pPr>
      <w:r>
        <w:t>Önkormányzati ingatlanok korszerűsítései (hivatali épületek, intézmények, cégek által használt épületek)</w:t>
      </w:r>
    </w:p>
    <w:p w14:paraId="2460C0B4" w14:textId="4388438B" w:rsidR="007A45A3" w:rsidRDefault="007A45A3">
      <w:pPr>
        <w:pStyle w:val="Listaszerbekezds"/>
        <w:numPr>
          <w:ilvl w:val="0"/>
          <w:numId w:val="5"/>
        </w:numPr>
      </w:pPr>
      <w:r>
        <w:t xml:space="preserve">Önkormányzati lakás- és épületállomány </w:t>
      </w:r>
      <w:proofErr w:type="spellStart"/>
      <w:r>
        <w:t>energiahatékony</w:t>
      </w:r>
      <w:proofErr w:type="spellEnd"/>
      <w:r>
        <w:t xml:space="preserve"> felújításai, tömbmegújítások</w:t>
      </w:r>
    </w:p>
    <w:p w14:paraId="2ECD7AE1" w14:textId="33B844AC" w:rsidR="007A45A3" w:rsidRDefault="007A45A3">
      <w:pPr>
        <w:pStyle w:val="Listaszerbekezds"/>
        <w:numPr>
          <w:ilvl w:val="0"/>
          <w:numId w:val="5"/>
        </w:numPr>
      </w:pPr>
      <w:r>
        <w:t>Az önkormányzati közterületek, terek klímabarát megújítási programja</w:t>
      </w:r>
    </w:p>
    <w:p w14:paraId="1BEFDA24" w14:textId="114CDAC0" w:rsidR="007A45A3" w:rsidRDefault="007A45A3">
      <w:pPr>
        <w:pStyle w:val="Listaszerbekezds"/>
        <w:numPr>
          <w:ilvl w:val="0"/>
          <w:numId w:val="5"/>
        </w:numPr>
      </w:pPr>
      <w:r>
        <w:lastRenderedPageBreak/>
        <w:t xml:space="preserve">A magántulajdonú (illetve vegyes tulajdonú) társasházak </w:t>
      </w:r>
      <w:proofErr w:type="spellStart"/>
      <w:r>
        <w:t>energiamegtakarítási</w:t>
      </w:r>
      <w:proofErr w:type="spellEnd"/>
      <w:r>
        <w:t xml:space="preserve"> és klímavédelmi célokat szolgáló fejlesztéseinek támogatása</w:t>
      </w:r>
    </w:p>
    <w:p w14:paraId="04F5A9FB" w14:textId="01AF0F89" w:rsidR="007A45A3" w:rsidRDefault="007A45A3">
      <w:pPr>
        <w:pStyle w:val="Listaszerbekezds"/>
        <w:numPr>
          <w:ilvl w:val="0"/>
          <w:numId w:val="5"/>
        </w:numPr>
      </w:pPr>
      <w:r>
        <w:t xml:space="preserve">Lakossági </w:t>
      </w:r>
      <w:proofErr w:type="spellStart"/>
      <w:r>
        <w:t>energiamegtakarítási</w:t>
      </w:r>
      <w:proofErr w:type="spellEnd"/>
      <w:r>
        <w:t xml:space="preserve"> programok</w:t>
      </w:r>
    </w:p>
    <w:p w14:paraId="297C0A23" w14:textId="28F4404B" w:rsidR="007A45A3" w:rsidRDefault="007A45A3" w:rsidP="007A45A3">
      <w:r>
        <w:t>Az előterjesztés intézkedési tervet is megfogalmazott:</w:t>
      </w:r>
    </w:p>
    <w:p w14:paraId="3C0AAB42" w14:textId="21C6B508" w:rsidR="007A45A3" w:rsidRDefault="007A45A3">
      <w:pPr>
        <w:pStyle w:val="Listaszerbekezds"/>
        <w:numPr>
          <w:ilvl w:val="0"/>
          <w:numId w:val="5"/>
        </w:numPr>
      </w:pPr>
      <w:r>
        <w:t xml:space="preserve">Energetikai audit / energiahatékonysági átvilágítás elkészítése az önkormányzat épületeire </w:t>
      </w:r>
    </w:p>
    <w:p w14:paraId="0058DC5F" w14:textId="7B492706" w:rsidR="007A45A3" w:rsidRDefault="007A45A3">
      <w:pPr>
        <w:pStyle w:val="Listaszerbekezds"/>
        <w:numPr>
          <w:ilvl w:val="0"/>
          <w:numId w:val="5"/>
        </w:numPr>
      </w:pPr>
      <w:r>
        <w:t>Az energetikai auditnak megfelelően</w:t>
      </w:r>
    </w:p>
    <w:p w14:paraId="6C0AD05F" w14:textId="2B737F63" w:rsidR="007A45A3" w:rsidRDefault="007A45A3">
      <w:pPr>
        <w:pStyle w:val="Listaszerbekezds"/>
        <w:numPr>
          <w:ilvl w:val="1"/>
          <w:numId w:val="8"/>
        </w:numPr>
      </w:pPr>
      <w:r>
        <w:t xml:space="preserve">Az alacsony költségráfordítással gyorsan megtérülő fejlesztések megvalósítása. </w:t>
      </w:r>
    </w:p>
    <w:p w14:paraId="75E8BEA0" w14:textId="23C12C05" w:rsidR="007A45A3" w:rsidRDefault="007A45A3">
      <w:pPr>
        <w:pStyle w:val="Listaszerbekezds"/>
        <w:numPr>
          <w:ilvl w:val="1"/>
          <w:numId w:val="8"/>
        </w:numPr>
      </w:pPr>
      <w:r>
        <w:t xml:space="preserve">Nagyobb beruházási költséggel járó, részletes gazdaságossági számítással megvizsgált korszerűsítési lehetőségek kidolgozása </w:t>
      </w:r>
    </w:p>
    <w:p w14:paraId="7CE600EC" w14:textId="59FF91E1" w:rsidR="007A45A3" w:rsidRDefault="007A45A3">
      <w:pPr>
        <w:pStyle w:val="Listaszerbekezds"/>
        <w:numPr>
          <w:ilvl w:val="0"/>
          <w:numId w:val="5"/>
        </w:numPr>
      </w:pPr>
      <w:r>
        <w:t xml:space="preserve">Nyílászáró </w:t>
      </w:r>
      <w:proofErr w:type="spellStart"/>
      <w:r>
        <w:t>felúítási</w:t>
      </w:r>
      <w:proofErr w:type="spellEnd"/>
      <w:r>
        <w:t xml:space="preserve"> és/vagy nyílászáró-csere pályázat magánszemélyek részére</w:t>
      </w:r>
    </w:p>
    <w:p w14:paraId="1EBE673B" w14:textId="3ED01649" w:rsidR="007A45A3" w:rsidRDefault="007A45A3">
      <w:pPr>
        <w:pStyle w:val="Listaszerbekezds"/>
        <w:numPr>
          <w:ilvl w:val="0"/>
          <w:numId w:val="5"/>
        </w:numPr>
      </w:pPr>
      <w:r>
        <w:t>Energiatakarékos izzócsere a kerületi lakosok számára</w:t>
      </w:r>
    </w:p>
    <w:p w14:paraId="098B01E7" w14:textId="05B48AD7" w:rsidR="007A45A3" w:rsidRDefault="007A45A3">
      <w:pPr>
        <w:pStyle w:val="Listaszerbekezds"/>
        <w:numPr>
          <w:ilvl w:val="0"/>
          <w:numId w:val="5"/>
        </w:numPr>
      </w:pPr>
      <w:r>
        <w:t xml:space="preserve">Önkormányzati épületek, lakások felújítási terveinek </w:t>
      </w:r>
      <w:proofErr w:type="spellStart"/>
      <w:r>
        <w:t>kidogozása</w:t>
      </w:r>
      <w:proofErr w:type="spellEnd"/>
      <w:r>
        <w:t>, fejlesztési ütemezése</w:t>
      </w:r>
    </w:p>
    <w:p w14:paraId="34D4A8A0" w14:textId="41AA07E5" w:rsidR="007A45A3" w:rsidRDefault="007A45A3">
      <w:pPr>
        <w:pStyle w:val="Listaszerbekezds"/>
        <w:numPr>
          <w:ilvl w:val="0"/>
          <w:numId w:val="5"/>
        </w:numPr>
      </w:pPr>
      <w:r>
        <w:t>Közterületek, terek klímabarát megújítási programja, zöldfelület növelés</w:t>
      </w:r>
    </w:p>
    <w:p w14:paraId="5D55D452" w14:textId="031B5AB5" w:rsidR="007A45A3" w:rsidRDefault="007A45A3">
      <w:pPr>
        <w:pStyle w:val="Listaszerbekezds"/>
        <w:numPr>
          <w:ilvl w:val="1"/>
          <w:numId w:val="8"/>
        </w:numPr>
      </w:pPr>
      <w:r>
        <w:t>Klauzál tér felújításának gyorsítása</w:t>
      </w:r>
    </w:p>
    <w:p w14:paraId="40BF3198" w14:textId="1B9054B1" w:rsidR="007A45A3" w:rsidRDefault="007A45A3">
      <w:pPr>
        <w:pStyle w:val="Listaszerbekezds"/>
        <w:numPr>
          <w:ilvl w:val="1"/>
          <w:numId w:val="8"/>
        </w:numPr>
      </w:pPr>
      <w:r>
        <w:t>Nagyléptékű fásítás, rekreációs terek, parkok felújítása</w:t>
      </w:r>
    </w:p>
    <w:p w14:paraId="01DE6BF7" w14:textId="21141E77" w:rsidR="007A45A3" w:rsidRDefault="007A45A3">
      <w:pPr>
        <w:pStyle w:val="Listaszerbekezds"/>
        <w:numPr>
          <w:ilvl w:val="0"/>
          <w:numId w:val="5"/>
        </w:numPr>
      </w:pPr>
      <w:r>
        <w:t>Energiahatékonyságot növelő felújítási pályázatok társasházak részére (tűzfalak, padlásfödémek, pincefödémek, udvari homlokzatok, modern épületek esetén utcai homlokzat hőszigetelése).</w:t>
      </w:r>
    </w:p>
    <w:p w14:paraId="4CE08ABE" w14:textId="0032894C" w:rsidR="007A45A3" w:rsidRDefault="007A45A3">
      <w:pPr>
        <w:pStyle w:val="Listaszerbekezds"/>
        <w:numPr>
          <w:ilvl w:val="0"/>
          <w:numId w:val="5"/>
        </w:numPr>
      </w:pPr>
      <w:r>
        <w:t>Klímavédelmet célzó pályázatok kiírása</w:t>
      </w:r>
    </w:p>
    <w:p w14:paraId="5D3774B7" w14:textId="630AEFE6" w:rsidR="007A45A3" w:rsidRDefault="007A45A3">
      <w:pPr>
        <w:pStyle w:val="Listaszerbekezds"/>
        <w:numPr>
          <w:ilvl w:val="1"/>
          <w:numId w:val="7"/>
        </w:numPr>
      </w:pPr>
      <w:r>
        <w:t xml:space="preserve">zöldfalak létesítése </w:t>
      </w:r>
    </w:p>
    <w:p w14:paraId="33856B38" w14:textId="64C30679" w:rsidR="007A45A3" w:rsidRDefault="007A45A3">
      <w:pPr>
        <w:pStyle w:val="Listaszerbekezds"/>
        <w:numPr>
          <w:ilvl w:val="1"/>
          <w:numId w:val="7"/>
        </w:numPr>
      </w:pPr>
      <w:r>
        <w:t>belső udvarok zöldítése</w:t>
      </w:r>
    </w:p>
    <w:p w14:paraId="206F1BE9" w14:textId="1C646A9E" w:rsidR="007A45A3" w:rsidRDefault="007A45A3">
      <w:pPr>
        <w:pStyle w:val="Listaszerbekezds"/>
        <w:numPr>
          <w:ilvl w:val="1"/>
          <w:numId w:val="7"/>
        </w:numPr>
      </w:pPr>
      <w:proofErr w:type="spellStart"/>
      <w:r>
        <w:t>lapostetők</w:t>
      </w:r>
      <w:proofErr w:type="spellEnd"/>
      <w:r>
        <w:t xml:space="preserve"> zöldítése</w:t>
      </w:r>
    </w:p>
    <w:p w14:paraId="33F3A46E" w14:textId="1FBE987B" w:rsidR="007A45A3" w:rsidRDefault="007A45A3">
      <w:pPr>
        <w:pStyle w:val="Listaszerbekezds"/>
        <w:numPr>
          <w:ilvl w:val="1"/>
          <w:numId w:val="7"/>
        </w:numPr>
      </w:pPr>
      <w:r>
        <w:t>a csapadék helyben tartása érdekében történő fejlesztések (belső esőgyűjtők, vízáteresztő burkolatok)</w:t>
      </w:r>
    </w:p>
    <w:p w14:paraId="55BFDB9D" w14:textId="4ABAA445" w:rsidR="007A45A3" w:rsidRDefault="007A45A3" w:rsidP="007A45A3">
      <w:r>
        <w:t>A</w:t>
      </w:r>
      <w:r w:rsidR="00671271">
        <w:t xml:space="preserve"> </w:t>
      </w:r>
      <w:r>
        <w:t xml:space="preserve">költségvetési átcsoportosítások </w:t>
      </w:r>
      <w:r w:rsidR="00671271">
        <w:t xml:space="preserve">és ingatlanértékesítésből származó bevételek eredményeképpen az </w:t>
      </w:r>
      <w:r w:rsidR="00671271" w:rsidRPr="000E27AB">
        <w:t xml:space="preserve">Alap </w:t>
      </w:r>
      <w:r w:rsidR="000E27AB">
        <w:t xml:space="preserve">közel </w:t>
      </w:r>
      <w:r w:rsidR="00671271" w:rsidRPr="000E27AB">
        <w:t xml:space="preserve">3 milliárd forintos kerettel </w:t>
      </w:r>
      <w:r w:rsidR="000E27AB" w:rsidRPr="000E27AB">
        <w:t>került</w:t>
      </w:r>
      <w:r w:rsidR="000E27AB">
        <w:t xml:space="preserve"> bevezetésre.</w:t>
      </w:r>
    </w:p>
    <w:p w14:paraId="37B37ECA" w14:textId="6000F8BD" w:rsidR="00671271" w:rsidRPr="000E27AB" w:rsidRDefault="00671271" w:rsidP="007A45A3">
      <w:pPr>
        <w:rPr>
          <w:b/>
          <w:bCs/>
        </w:rPr>
      </w:pPr>
      <w:r w:rsidRPr="000E27AB">
        <w:rPr>
          <w:b/>
          <w:bCs/>
        </w:rPr>
        <w:t xml:space="preserve">Tekintettel arra, hogy a </w:t>
      </w:r>
      <w:proofErr w:type="spellStart"/>
      <w:r w:rsidRPr="000E27AB">
        <w:rPr>
          <w:b/>
          <w:bCs/>
        </w:rPr>
        <w:t>kibocsátáscsökkentés</w:t>
      </w:r>
      <w:proofErr w:type="spellEnd"/>
      <w:r w:rsidRPr="000E27AB">
        <w:rPr>
          <w:b/>
          <w:bCs/>
        </w:rPr>
        <w:t xml:space="preserve"> legnagyobb részben a lakóépületek épületenergetikai felújításával érhető el, jelen munkában az önkormányzati és társasházi épületenergetikai felújításokat előre mozdító, ösztönző rendszerre teszünk javaslatot.</w:t>
      </w:r>
    </w:p>
    <w:p w14:paraId="00748A21" w14:textId="19E89136" w:rsidR="008A54EA" w:rsidRDefault="008A54EA" w:rsidP="008A54EA">
      <w:pPr>
        <w:pStyle w:val="Cmsor3"/>
      </w:pPr>
      <w:bookmarkStart w:id="25" w:name="_Toc133257994"/>
      <w:r>
        <w:t>Az Alap jelenlegi forrásai</w:t>
      </w:r>
      <w:bookmarkEnd w:id="25"/>
    </w:p>
    <w:p w14:paraId="04A6CE4D" w14:textId="2775DE5A" w:rsidR="000E27AB" w:rsidRPr="00437299" w:rsidRDefault="000E27AB" w:rsidP="000E27AB">
      <w:r w:rsidRPr="00437299">
        <w:t xml:space="preserve">Budapest Főváros VII. Kerület Erzsébetváros Önkormányzata 2023. évi költségvetésének 18. melléklete </w:t>
      </w:r>
      <w:r>
        <w:t xml:space="preserve">tartalmazza </w:t>
      </w:r>
      <w:r w:rsidRPr="00437299">
        <w:t>a tervezett felújítási kiadások előirányzatai</w:t>
      </w:r>
      <w:r w:rsidR="00E66302">
        <w:t>t, a</w:t>
      </w:r>
      <w:r>
        <w:t xml:space="preserve">z </w:t>
      </w:r>
      <w:r w:rsidRPr="00342F21">
        <w:t>Energiah</w:t>
      </w:r>
      <w:r w:rsidR="00E66302">
        <w:t>atékonysági és Klímavédelmi A</w:t>
      </w:r>
      <w:r>
        <w:t xml:space="preserve">lapba javasolt e sorokat is bevonni. </w:t>
      </w:r>
    </w:p>
    <w:tbl>
      <w:tblPr>
        <w:tblW w:w="9357" w:type="dxa"/>
        <w:tblCellMar>
          <w:left w:w="70" w:type="dxa"/>
          <w:right w:w="70" w:type="dxa"/>
        </w:tblCellMar>
        <w:tblLook w:val="04A0" w:firstRow="1" w:lastRow="0" w:firstColumn="1" w:lastColumn="0" w:noHBand="0" w:noVBand="1"/>
      </w:tblPr>
      <w:tblGrid>
        <w:gridCol w:w="983"/>
        <w:gridCol w:w="788"/>
        <w:gridCol w:w="3779"/>
        <w:gridCol w:w="1071"/>
        <w:gridCol w:w="1092"/>
        <w:gridCol w:w="943"/>
        <w:gridCol w:w="701"/>
      </w:tblGrid>
      <w:tr w:rsidR="000E27AB" w:rsidRPr="00E10223" w14:paraId="1AA9F7C7" w14:textId="77777777" w:rsidTr="00914BE9">
        <w:trPr>
          <w:trHeight w:val="276"/>
          <w:tblHeader/>
        </w:trPr>
        <w:tc>
          <w:tcPr>
            <w:tcW w:w="983" w:type="dxa"/>
            <w:vMerge w:val="restart"/>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0E4501FE" w14:textId="77777777" w:rsidR="000E27AB" w:rsidRPr="00E10223" w:rsidRDefault="000E27AB" w:rsidP="00E66302">
            <w:pPr>
              <w:spacing w:before="0" w:after="0"/>
              <w:rPr>
                <w:sz w:val="20"/>
                <w:szCs w:val="16"/>
              </w:rPr>
            </w:pPr>
            <w:r w:rsidRPr="00E10223">
              <w:rPr>
                <w:sz w:val="20"/>
                <w:szCs w:val="16"/>
              </w:rPr>
              <w:t>Címszám</w:t>
            </w:r>
          </w:p>
        </w:tc>
        <w:tc>
          <w:tcPr>
            <w:tcW w:w="788" w:type="dxa"/>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086A3296" w14:textId="77777777" w:rsidR="000E27AB" w:rsidRPr="00E10223" w:rsidRDefault="000E27AB" w:rsidP="00E66302">
            <w:pPr>
              <w:spacing w:before="0" w:after="0"/>
              <w:rPr>
                <w:sz w:val="20"/>
                <w:szCs w:val="16"/>
              </w:rPr>
            </w:pPr>
            <w:r w:rsidRPr="00E10223">
              <w:rPr>
                <w:sz w:val="20"/>
                <w:szCs w:val="16"/>
              </w:rPr>
              <w:t>Sorszám</w:t>
            </w:r>
          </w:p>
        </w:tc>
        <w:tc>
          <w:tcPr>
            <w:tcW w:w="3779" w:type="dxa"/>
            <w:vMerge w:val="restart"/>
            <w:tcBorders>
              <w:top w:val="single" w:sz="8" w:space="0" w:color="auto"/>
              <w:left w:val="nil"/>
              <w:bottom w:val="nil"/>
              <w:right w:val="nil"/>
            </w:tcBorders>
            <w:shd w:val="clear" w:color="auto" w:fill="D9D9D9" w:themeFill="background1" w:themeFillShade="D9"/>
            <w:vAlign w:val="center"/>
            <w:hideMark/>
          </w:tcPr>
          <w:p w14:paraId="6D2358A4" w14:textId="77777777" w:rsidR="000E27AB" w:rsidRPr="00E10223" w:rsidRDefault="000E27AB" w:rsidP="00E66302">
            <w:pPr>
              <w:spacing w:before="0" w:after="0"/>
              <w:rPr>
                <w:sz w:val="20"/>
                <w:szCs w:val="16"/>
              </w:rPr>
            </w:pPr>
            <w:r w:rsidRPr="00E10223">
              <w:rPr>
                <w:sz w:val="20"/>
                <w:szCs w:val="16"/>
              </w:rPr>
              <w:t>Megnevezés</w:t>
            </w:r>
          </w:p>
        </w:tc>
        <w:tc>
          <w:tcPr>
            <w:tcW w:w="1071" w:type="dxa"/>
            <w:vMerge w:val="restart"/>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000C759B" w14:textId="77777777" w:rsidR="000E27AB" w:rsidRDefault="000E27AB" w:rsidP="00E66302">
            <w:pPr>
              <w:spacing w:before="0" w:after="0"/>
              <w:jc w:val="center"/>
              <w:rPr>
                <w:sz w:val="20"/>
                <w:szCs w:val="16"/>
              </w:rPr>
            </w:pPr>
            <w:r w:rsidRPr="00E10223">
              <w:rPr>
                <w:sz w:val="20"/>
                <w:szCs w:val="16"/>
              </w:rPr>
              <w:t xml:space="preserve">Nettó </w:t>
            </w:r>
            <w:r w:rsidRPr="00E10223">
              <w:rPr>
                <w:sz w:val="20"/>
                <w:szCs w:val="16"/>
              </w:rPr>
              <w:br/>
              <w:t xml:space="preserve">felújítási </w:t>
            </w:r>
            <w:r w:rsidRPr="00E10223">
              <w:rPr>
                <w:sz w:val="20"/>
                <w:szCs w:val="16"/>
              </w:rPr>
              <w:br/>
              <w:t xml:space="preserve">előirányzat </w:t>
            </w:r>
            <w:r w:rsidRPr="00E10223">
              <w:rPr>
                <w:sz w:val="20"/>
                <w:szCs w:val="16"/>
              </w:rPr>
              <w:br/>
              <w:t>(K71)</w:t>
            </w:r>
          </w:p>
          <w:p w14:paraId="79086FAE" w14:textId="77777777" w:rsidR="000E27AB" w:rsidRPr="00E10223" w:rsidRDefault="000E27AB" w:rsidP="00E66302">
            <w:pPr>
              <w:spacing w:before="0" w:after="0"/>
              <w:jc w:val="center"/>
              <w:rPr>
                <w:sz w:val="20"/>
                <w:szCs w:val="16"/>
              </w:rPr>
            </w:pPr>
            <w:r>
              <w:rPr>
                <w:sz w:val="20"/>
                <w:szCs w:val="16"/>
              </w:rPr>
              <w:t>[ezer Ft]</w:t>
            </w:r>
          </w:p>
        </w:tc>
        <w:tc>
          <w:tcPr>
            <w:tcW w:w="1092" w:type="dxa"/>
            <w:vMerge w:val="restart"/>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53B16524" w14:textId="77777777" w:rsidR="000E27AB" w:rsidRDefault="000E27AB" w:rsidP="00E66302">
            <w:pPr>
              <w:spacing w:before="0" w:after="0"/>
              <w:jc w:val="center"/>
              <w:rPr>
                <w:sz w:val="20"/>
                <w:szCs w:val="16"/>
              </w:rPr>
            </w:pPr>
            <w:r w:rsidRPr="00E10223">
              <w:rPr>
                <w:sz w:val="20"/>
                <w:szCs w:val="16"/>
              </w:rPr>
              <w:t xml:space="preserve">Előzetesen </w:t>
            </w:r>
            <w:r w:rsidRPr="00E10223">
              <w:rPr>
                <w:sz w:val="20"/>
                <w:szCs w:val="16"/>
              </w:rPr>
              <w:br/>
              <w:t xml:space="preserve">felszámított </w:t>
            </w:r>
            <w:r w:rsidRPr="00E10223">
              <w:rPr>
                <w:sz w:val="20"/>
                <w:szCs w:val="16"/>
              </w:rPr>
              <w:br/>
              <w:t>áfa</w:t>
            </w:r>
            <w:r w:rsidRPr="00E10223">
              <w:rPr>
                <w:sz w:val="20"/>
                <w:szCs w:val="16"/>
              </w:rPr>
              <w:br/>
              <w:t>(K74)</w:t>
            </w:r>
          </w:p>
          <w:p w14:paraId="5781F22A" w14:textId="77777777" w:rsidR="000E27AB" w:rsidRPr="00E10223" w:rsidRDefault="000E27AB" w:rsidP="00E66302">
            <w:pPr>
              <w:spacing w:before="0" w:after="0"/>
              <w:jc w:val="center"/>
              <w:rPr>
                <w:sz w:val="20"/>
                <w:szCs w:val="16"/>
              </w:rPr>
            </w:pPr>
            <w:r>
              <w:rPr>
                <w:sz w:val="20"/>
                <w:szCs w:val="16"/>
              </w:rPr>
              <w:t>[ezer Ft]</w:t>
            </w:r>
          </w:p>
        </w:tc>
        <w:tc>
          <w:tcPr>
            <w:tcW w:w="943" w:type="dxa"/>
            <w:vMerge w:val="restart"/>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2F34182A" w14:textId="77777777" w:rsidR="000E27AB" w:rsidRDefault="000E27AB" w:rsidP="00E66302">
            <w:pPr>
              <w:spacing w:before="0" w:after="0"/>
              <w:jc w:val="center"/>
              <w:rPr>
                <w:sz w:val="20"/>
                <w:szCs w:val="16"/>
              </w:rPr>
            </w:pPr>
            <w:r w:rsidRPr="00E10223">
              <w:rPr>
                <w:sz w:val="20"/>
                <w:szCs w:val="16"/>
              </w:rPr>
              <w:t xml:space="preserve">Felújítás </w:t>
            </w:r>
            <w:r w:rsidRPr="00E10223">
              <w:rPr>
                <w:sz w:val="20"/>
                <w:szCs w:val="16"/>
              </w:rPr>
              <w:br/>
              <w:t>összesen</w:t>
            </w:r>
            <w:r w:rsidRPr="00E10223">
              <w:rPr>
                <w:sz w:val="20"/>
                <w:szCs w:val="16"/>
              </w:rPr>
              <w:br/>
              <w:t>(3+4)</w:t>
            </w:r>
          </w:p>
          <w:p w14:paraId="7C8FD41A" w14:textId="77777777" w:rsidR="000E27AB" w:rsidRPr="00E10223" w:rsidRDefault="000E27AB" w:rsidP="00E66302">
            <w:pPr>
              <w:spacing w:before="0" w:after="0"/>
              <w:jc w:val="center"/>
              <w:rPr>
                <w:sz w:val="20"/>
                <w:szCs w:val="16"/>
              </w:rPr>
            </w:pPr>
            <w:r>
              <w:rPr>
                <w:sz w:val="20"/>
                <w:szCs w:val="16"/>
              </w:rPr>
              <w:t>[ezer Ft]</w:t>
            </w:r>
          </w:p>
        </w:tc>
        <w:tc>
          <w:tcPr>
            <w:tcW w:w="701" w:type="dxa"/>
            <w:vMerge w:val="restart"/>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34C8E946" w14:textId="77777777" w:rsidR="000E27AB" w:rsidRPr="00E10223" w:rsidRDefault="000E27AB" w:rsidP="00E66302">
            <w:pPr>
              <w:spacing w:before="0" w:after="0"/>
              <w:jc w:val="center"/>
              <w:rPr>
                <w:sz w:val="20"/>
                <w:szCs w:val="16"/>
              </w:rPr>
            </w:pPr>
            <w:r w:rsidRPr="00E10223">
              <w:rPr>
                <w:sz w:val="20"/>
                <w:szCs w:val="16"/>
              </w:rPr>
              <w:t>Feladat típusa (K/Ö/Á)</w:t>
            </w:r>
          </w:p>
        </w:tc>
      </w:tr>
      <w:tr w:rsidR="000E27AB" w:rsidRPr="00E10223" w14:paraId="7903C7F2" w14:textId="77777777" w:rsidTr="00914BE9">
        <w:trPr>
          <w:trHeight w:val="276"/>
          <w:tblHeader/>
        </w:trPr>
        <w:tc>
          <w:tcPr>
            <w:tcW w:w="983"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05933C80" w14:textId="77777777" w:rsidR="000E27AB" w:rsidRPr="00E10223" w:rsidRDefault="000E27AB" w:rsidP="00E66302">
            <w:pPr>
              <w:spacing w:before="0" w:after="0"/>
              <w:rPr>
                <w:sz w:val="20"/>
                <w:szCs w:val="16"/>
              </w:rPr>
            </w:pPr>
          </w:p>
        </w:tc>
        <w:tc>
          <w:tcPr>
            <w:tcW w:w="788"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7C84BE9B" w14:textId="77777777" w:rsidR="000E27AB" w:rsidRPr="00E10223" w:rsidRDefault="000E27AB" w:rsidP="00E66302">
            <w:pPr>
              <w:spacing w:before="0" w:after="0"/>
              <w:rPr>
                <w:sz w:val="20"/>
                <w:szCs w:val="16"/>
              </w:rPr>
            </w:pPr>
          </w:p>
        </w:tc>
        <w:tc>
          <w:tcPr>
            <w:tcW w:w="3779" w:type="dxa"/>
            <w:vMerge/>
            <w:tcBorders>
              <w:top w:val="single" w:sz="8" w:space="0" w:color="auto"/>
              <w:left w:val="nil"/>
              <w:bottom w:val="nil"/>
              <w:right w:val="nil"/>
            </w:tcBorders>
            <w:shd w:val="clear" w:color="auto" w:fill="D9D9D9" w:themeFill="background1" w:themeFillShade="D9"/>
            <w:vAlign w:val="center"/>
            <w:hideMark/>
          </w:tcPr>
          <w:p w14:paraId="0B9144C9" w14:textId="77777777" w:rsidR="000E27AB" w:rsidRPr="00E10223" w:rsidRDefault="000E27AB" w:rsidP="00E66302">
            <w:pPr>
              <w:spacing w:before="0" w:after="0"/>
              <w:rPr>
                <w:sz w:val="20"/>
                <w:szCs w:val="16"/>
              </w:rPr>
            </w:pPr>
          </w:p>
        </w:tc>
        <w:tc>
          <w:tcPr>
            <w:tcW w:w="1071"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5F088BE3" w14:textId="77777777" w:rsidR="000E27AB" w:rsidRPr="00E10223" w:rsidRDefault="000E27AB" w:rsidP="00E66302">
            <w:pPr>
              <w:spacing w:before="0" w:after="0"/>
              <w:jc w:val="center"/>
              <w:rPr>
                <w:sz w:val="20"/>
                <w:szCs w:val="16"/>
              </w:rPr>
            </w:pPr>
          </w:p>
        </w:tc>
        <w:tc>
          <w:tcPr>
            <w:tcW w:w="1092"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65EB7E7F" w14:textId="77777777" w:rsidR="000E27AB" w:rsidRPr="00E10223" w:rsidRDefault="000E27AB" w:rsidP="00E66302">
            <w:pPr>
              <w:spacing w:before="0" w:after="0"/>
              <w:jc w:val="center"/>
              <w:rPr>
                <w:sz w:val="20"/>
                <w:szCs w:val="16"/>
              </w:rPr>
            </w:pPr>
          </w:p>
        </w:tc>
        <w:tc>
          <w:tcPr>
            <w:tcW w:w="943"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1660B1B8" w14:textId="77777777" w:rsidR="000E27AB" w:rsidRPr="00E10223" w:rsidRDefault="000E27AB" w:rsidP="00E66302">
            <w:pPr>
              <w:spacing w:before="0" w:after="0"/>
              <w:jc w:val="center"/>
              <w:rPr>
                <w:sz w:val="20"/>
                <w:szCs w:val="16"/>
              </w:rPr>
            </w:pPr>
          </w:p>
        </w:tc>
        <w:tc>
          <w:tcPr>
            <w:tcW w:w="701"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168EA2AF" w14:textId="77777777" w:rsidR="000E27AB" w:rsidRPr="00E10223" w:rsidRDefault="000E27AB" w:rsidP="00E66302">
            <w:pPr>
              <w:spacing w:before="0" w:after="0"/>
              <w:jc w:val="center"/>
              <w:rPr>
                <w:sz w:val="20"/>
                <w:szCs w:val="16"/>
              </w:rPr>
            </w:pPr>
          </w:p>
        </w:tc>
      </w:tr>
      <w:tr w:rsidR="000E27AB" w:rsidRPr="00E10223" w14:paraId="1DB381B0" w14:textId="77777777" w:rsidTr="00914BE9">
        <w:trPr>
          <w:trHeight w:val="276"/>
          <w:tblHeader/>
        </w:trPr>
        <w:tc>
          <w:tcPr>
            <w:tcW w:w="983"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211A8DD8" w14:textId="77777777" w:rsidR="000E27AB" w:rsidRPr="00E10223" w:rsidRDefault="000E27AB" w:rsidP="00E66302">
            <w:pPr>
              <w:spacing w:before="0" w:after="0"/>
              <w:rPr>
                <w:sz w:val="20"/>
                <w:szCs w:val="16"/>
              </w:rPr>
            </w:pPr>
          </w:p>
        </w:tc>
        <w:tc>
          <w:tcPr>
            <w:tcW w:w="788"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12C065EC" w14:textId="77777777" w:rsidR="000E27AB" w:rsidRPr="00E10223" w:rsidRDefault="000E27AB" w:rsidP="00E66302">
            <w:pPr>
              <w:spacing w:before="0" w:after="0"/>
              <w:rPr>
                <w:sz w:val="20"/>
                <w:szCs w:val="16"/>
              </w:rPr>
            </w:pPr>
          </w:p>
        </w:tc>
        <w:tc>
          <w:tcPr>
            <w:tcW w:w="3779" w:type="dxa"/>
            <w:vMerge/>
            <w:tcBorders>
              <w:top w:val="single" w:sz="8" w:space="0" w:color="auto"/>
              <w:left w:val="nil"/>
              <w:bottom w:val="nil"/>
              <w:right w:val="nil"/>
            </w:tcBorders>
            <w:shd w:val="clear" w:color="auto" w:fill="D9D9D9" w:themeFill="background1" w:themeFillShade="D9"/>
            <w:vAlign w:val="center"/>
            <w:hideMark/>
          </w:tcPr>
          <w:p w14:paraId="7A12C906" w14:textId="77777777" w:rsidR="000E27AB" w:rsidRPr="00E10223" w:rsidRDefault="000E27AB" w:rsidP="00E66302">
            <w:pPr>
              <w:spacing w:before="0" w:after="0"/>
              <w:rPr>
                <w:sz w:val="20"/>
                <w:szCs w:val="16"/>
              </w:rPr>
            </w:pPr>
          </w:p>
        </w:tc>
        <w:tc>
          <w:tcPr>
            <w:tcW w:w="1071"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3DB6F785" w14:textId="77777777" w:rsidR="000E27AB" w:rsidRPr="00E10223" w:rsidRDefault="000E27AB" w:rsidP="00E66302">
            <w:pPr>
              <w:spacing w:before="0" w:after="0"/>
              <w:jc w:val="center"/>
              <w:rPr>
                <w:sz w:val="20"/>
                <w:szCs w:val="16"/>
              </w:rPr>
            </w:pPr>
          </w:p>
        </w:tc>
        <w:tc>
          <w:tcPr>
            <w:tcW w:w="1092"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2F428B66" w14:textId="77777777" w:rsidR="000E27AB" w:rsidRPr="00E10223" w:rsidRDefault="000E27AB" w:rsidP="00E66302">
            <w:pPr>
              <w:spacing w:before="0" w:after="0"/>
              <w:jc w:val="center"/>
              <w:rPr>
                <w:sz w:val="20"/>
                <w:szCs w:val="16"/>
              </w:rPr>
            </w:pPr>
          </w:p>
        </w:tc>
        <w:tc>
          <w:tcPr>
            <w:tcW w:w="943"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26EA98FB" w14:textId="77777777" w:rsidR="000E27AB" w:rsidRPr="00E10223" w:rsidRDefault="000E27AB" w:rsidP="00E66302">
            <w:pPr>
              <w:spacing w:before="0" w:after="0"/>
              <w:jc w:val="center"/>
              <w:rPr>
                <w:sz w:val="20"/>
                <w:szCs w:val="16"/>
              </w:rPr>
            </w:pPr>
          </w:p>
        </w:tc>
        <w:tc>
          <w:tcPr>
            <w:tcW w:w="701"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10FB8F42" w14:textId="77777777" w:rsidR="000E27AB" w:rsidRPr="00E10223" w:rsidRDefault="000E27AB" w:rsidP="00E66302">
            <w:pPr>
              <w:spacing w:before="0" w:after="0"/>
              <w:jc w:val="center"/>
              <w:rPr>
                <w:sz w:val="20"/>
                <w:szCs w:val="16"/>
              </w:rPr>
            </w:pPr>
          </w:p>
        </w:tc>
      </w:tr>
      <w:tr w:rsidR="000E27AB" w:rsidRPr="00E10223" w14:paraId="12EC1AED" w14:textId="77777777" w:rsidTr="00914BE9">
        <w:trPr>
          <w:trHeight w:val="276"/>
          <w:tblHeader/>
        </w:trPr>
        <w:tc>
          <w:tcPr>
            <w:tcW w:w="983"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0A8304F2" w14:textId="77777777" w:rsidR="000E27AB" w:rsidRPr="00E10223" w:rsidRDefault="000E27AB" w:rsidP="00E66302">
            <w:pPr>
              <w:spacing w:before="0" w:after="0"/>
              <w:rPr>
                <w:sz w:val="20"/>
                <w:szCs w:val="16"/>
              </w:rPr>
            </w:pPr>
          </w:p>
        </w:tc>
        <w:tc>
          <w:tcPr>
            <w:tcW w:w="788"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5F6180BE" w14:textId="77777777" w:rsidR="000E27AB" w:rsidRPr="00E10223" w:rsidRDefault="000E27AB" w:rsidP="00E66302">
            <w:pPr>
              <w:spacing w:before="0" w:after="0"/>
              <w:rPr>
                <w:sz w:val="20"/>
                <w:szCs w:val="16"/>
              </w:rPr>
            </w:pPr>
          </w:p>
        </w:tc>
        <w:tc>
          <w:tcPr>
            <w:tcW w:w="3779" w:type="dxa"/>
            <w:vMerge/>
            <w:tcBorders>
              <w:top w:val="single" w:sz="8" w:space="0" w:color="auto"/>
              <w:left w:val="nil"/>
              <w:bottom w:val="nil"/>
              <w:right w:val="nil"/>
            </w:tcBorders>
            <w:shd w:val="clear" w:color="auto" w:fill="D9D9D9" w:themeFill="background1" w:themeFillShade="D9"/>
            <w:vAlign w:val="center"/>
            <w:hideMark/>
          </w:tcPr>
          <w:p w14:paraId="3A94E825" w14:textId="77777777" w:rsidR="000E27AB" w:rsidRPr="00E10223" w:rsidRDefault="000E27AB" w:rsidP="00E66302">
            <w:pPr>
              <w:spacing w:before="0" w:after="0"/>
              <w:rPr>
                <w:sz w:val="20"/>
                <w:szCs w:val="16"/>
              </w:rPr>
            </w:pPr>
          </w:p>
        </w:tc>
        <w:tc>
          <w:tcPr>
            <w:tcW w:w="1071"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7D9A953A" w14:textId="77777777" w:rsidR="000E27AB" w:rsidRPr="00E10223" w:rsidRDefault="000E27AB" w:rsidP="00E66302">
            <w:pPr>
              <w:spacing w:before="0" w:after="0"/>
              <w:jc w:val="center"/>
              <w:rPr>
                <w:sz w:val="20"/>
                <w:szCs w:val="16"/>
              </w:rPr>
            </w:pPr>
          </w:p>
        </w:tc>
        <w:tc>
          <w:tcPr>
            <w:tcW w:w="1092"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2E5BBE58" w14:textId="77777777" w:rsidR="000E27AB" w:rsidRPr="00E10223" w:rsidRDefault="000E27AB" w:rsidP="00E66302">
            <w:pPr>
              <w:spacing w:before="0" w:after="0"/>
              <w:jc w:val="center"/>
              <w:rPr>
                <w:sz w:val="20"/>
                <w:szCs w:val="16"/>
              </w:rPr>
            </w:pPr>
          </w:p>
        </w:tc>
        <w:tc>
          <w:tcPr>
            <w:tcW w:w="943"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10A1FB95" w14:textId="77777777" w:rsidR="000E27AB" w:rsidRPr="00E10223" w:rsidRDefault="000E27AB" w:rsidP="00E66302">
            <w:pPr>
              <w:spacing w:before="0" w:after="0"/>
              <w:jc w:val="center"/>
              <w:rPr>
                <w:sz w:val="20"/>
                <w:szCs w:val="16"/>
              </w:rPr>
            </w:pPr>
          </w:p>
        </w:tc>
        <w:tc>
          <w:tcPr>
            <w:tcW w:w="701" w:type="dxa"/>
            <w:vMerge/>
            <w:tcBorders>
              <w:top w:val="single" w:sz="8" w:space="0" w:color="auto"/>
              <w:left w:val="single" w:sz="8" w:space="0" w:color="auto"/>
              <w:bottom w:val="nil"/>
              <w:right w:val="single" w:sz="8" w:space="0" w:color="auto"/>
            </w:tcBorders>
            <w:shd w:val="clear" w:color="auto" w:fill="D9D9D9" w:themeFill="background1" w:themeFillShade="D9"/>
            <w:vAlign w:val="center"/>
            <w:hideMark/>
          </w:tcPr>
          <w:p w14:paraId="313D2CCA" w14:textId="77777777" w:rsidR="000E27AB" w:rsidRPr="00E10223" w:rsidRDefault="000E27AB" w:rsidP="00E66302">
            <w:pPr>
              <w:spacing w:before="0" w:after="0"/>
              <w:jc w:val="center"/>
              <w:rPr>
                <w:sz w:val="20"/>
                <w:szCs w:val="16"/>
              </w:rPr>
            </w:pPr>
          </w:p>
        </w:tc>
      </w:tr>
      <w:tr w:rsidR="000E27AB" w:rsidRPr="005E21A7" w14:paraId="41D22413" w14:textId="77777777" w:rsidTr="00E66302">
        <w:tc>
          <w:tcPr>
            <w:tcW w:w="98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68C042A9" w14:textId="77777777" w:rsidR="000E27AB" w:rsidRPr="005E21A7" w:rsidRDefault="000E27AB" w:rsidP="00E66302">
            <w:pPr>
              <w:spacing w:before="0" w:after="0"/>
              <w:rPr>
                <w:b/>
                <w:bCs/>
                <w:sz w:val="20"/>
                <w:szCs w:val="16"/>
              </w:rPr>
            </w:pPr>
            <w:r w:rsidRPr="005E21A7">
              <w:rPr>
                <w:b/>
                <w:bCs/>
                <w:sz w:val="20"/>
                <w:szCs w:val="16"/>
              </w:rPr>
              <w:t>6303</w:t>
            </w:r>
          </w:p>
        </w:tc>
        <w:tc>
          <w:tcPr>
            <w:tcW w:w="788" w:type="dxa"/>
            <w:tcBorders>
              <w:top w:val="nil"/>
              <w:left w:val="nil"/>
              <w:bottom w:val="nil"/>
              <w:right w:val="single" w:sz="8" w:space="0" w:color="auto"/>
            </w:tcBorders>
            <w:shd w:val="clear" w:color="auto" w:fill="auto"/>
            <w:vAlign w:val="center"/>
            <w:hideMark/>
          </w:tcPr>
          <w:p w14:paraId="32CA49A0" w14:textId="77777777" w:rsidR="000E27AB" w:rsidRPr="005E21A7" w:rsidRDefault="000E27AB" w:rsidP="00E66302">
            <w:pPr>
              <w:spacing w:before="0" w:after="0"/>
              <w:rPr>
                <w:b/>
                <w:bCs/>
                <w:sz w:val="20"/>
                <w:szCs w:val="16"/>
              </w:rPr>
            </w:pPr>
            <w:r w:rsidRPr="005E21A7">
              <w:rPr>
                <w:b/>
                <w:bCs/>
                <w:sz w:val="20"/>
                <w:szCs w:val="16"/>
              </w:rPr>
              <w:t> </w:t>
            </w:r>
          </w:p>
        </w:tc>
        <w:tc>
          <w:tcPr>
            <w:tcW w:w="3779" w:type="dxa"/>
            <w:tcBorders>
              <w:top w:val="single" w:sz="4" w:space="0" w:color="auto"/>
              <w:left w:val="nil"/>
              <w:bottom w:val="single" w:sz="4" w:space="0" w:color="auto"/>
              <w:right w:val="nil"/>
            </w:tcBorders>
            <w:shd w:val="clear" w:color="auto" w:fill="auto"/>
            <w:vAlign w:val="center"/>
          </w:tcPr>
          <w:p w14:paraId="15775F1C" w14:textId="77777777" w:rsidR="000E27AB" w:rsidRPr="005E21A7" w:rsidRDefault="000E27AB" w:rsidP="00E66302">
            <w:pPr>
              <w:spacing w:before="0" w:after="0"/>
              <w:rPr>
                <w:b/>
                <w:bCs/>
                <w:sz w:val="20"/>
                <w:szCs w:val="16"/>
              </w:rPr>
            </w:pPr>
            <w:r w:rsidRPr="005E21A7">
              <w:rPr>
                <w:b/>
                <w:bCs/>
                <w:sz w:val="20"/>
                <w:szCs w:val="16"/>
              </w:rPr>
              <w:t>Önkormányzati felújítások</w:t>
            </w:r>
          </w:p>
        </w:tc>
        <w:tc>
          <w:tcPr>
            <w:tcW w:w="1071" w:type="dxa"/>
            <w:tcBorders>
              <w:top w:val="single" w:sz="4" w:space="0" w:color="auto"/>
              <w:left w:val="single" w:sz="8" w:space="0" w:color="auto"/>
              <w:bottom w:val="single" w:sz="4" w:space="0" w:color="auto"/>
              <w:right w:val="single" w:sz="8" w:space="0" w:color="auto"/>
            </w:tcBorders>
            <w:shd w:val="clear" w:color="auto" w:fill="auto"/>
            <w:vAlign w:val="center"/>
          </w:tcPr>
          <w:p w14:paraId="1F8882CD" w14:textId="77777777" w:rsidR="000E27AB" w:rsidRPr="005E21A7" w:rsidRDefault="000E27AB" w:rsidP="00E66302">
            <w:pPr>
              <w:spacing w:before="0" w:after="0"/>
              <w:jc w:val="center"/>
              <w:rPr>
                <w:b/>
                <w:bCs/>
                <w:sz w:val="20"/>
                <w:szCs w:val="16"/>
              </w:rPr>
            </w:pPr>
          </w:p>
        </w:tc>
        <w:tc>
          <w:tcPr>
            <w:tcW w:w="1092" w:type="dxa"/>
            <w:tcBorders>
              <w:top w:val="single" w:sz="4" w:space="0" w:color="auto"/>
              <w:left w:val="nil"/>
              <w:bottom w:val="single" w:sz="4" w:space="0" w:color="auto"/>
              <w:right w:val="single" w:sz="8" w:space="0" w:color="auto"/>
            </w:tcBorders>
            <w:shd w:val="clear" w:color="auto" w:fill="auto"/>
            <w:vAlign w:val="center"/>
          </w:tcPr>
          <w:p w14:paraId="530EACD7" w14:textId="77777777" w:rsidR="000E27AB" w:rsidRPr="005E21A7" w:rsidRDefault="000E27AB" w:rsidP="00E66302">
            <w:pPr>
              <w:spacing w:before="0" w:after="0"/>
              <w:jc w:val="center"/>
              <w:rPr>
                <w:b/>
                <w:bCs/>
                <w:sz w:val="20"/>
                <w:szCs w:val="16"/>
              </w:rPr>
            </w:pPr>
          </w:p>
        </w:tc>
        <w:tc>
          <w:tcPr>
            <w:tcW w:w="943" w:type="dxa"/>
            <w:tcBorders>
              <w:top w:val="single" w:sz="4" w:space="0" w:color="auto"/>
              <w:left w:val="nil"/>
              <w:bottom w:val="single" w:sz="4" w:space="0" w:color="auto"/>
              <w:right w:val="single" w:sz="8" w:space="0" w:color="auto"/>
            </w:tcBorders>
            <w:shd w:val="clear" w:color="auto" w:fill="auto"/>
            <w:vAlign w:val="center"/>
          </w:tcPr>
          <w:p w14:paraId="7509A10C" w14:textId="77777777" w:rsidR="000E27AB" w:rsidRPr="005E21A7" w:rsidRDefault="000E27AB" w:rsidP="00E66302">
            <w:pPr>
              <w:spacing w:before="0" w:after="0"/>
              <w:jc w:val="center"/>
              <w:rPr>
                <w:b/>
                <w:bCs/>
                <w:sz w:val="20"/>
                <w:szCs w:val="16"/>
              </w:rPr>
            </w:pPr>
          </w:p>
        </w:tc>
        <w:tc>
          <w:tcPr>
            <w:tcW w:w="701" w:type="dxa"/>
            <w:tcBorders>
              <w:top w:val="single" w:sz="4" w:space="0" w:color="auto"/>
              <w:left w:val="nil"/>
              <w:bottom w:val="single" w:sz="4" w:space="0" w:color="auto"/>
              <w:right w:val="single" w:sz="8" w:space="0" w:color="auto"/>
            </w:tcBorders>
            <w:shd w:val="clear" w:color="auto" w:fill="auto"/>
            <w:vAlign w:val="center"/>
          </w:tcPr>
          <w:p w14:paraId="0D744D9C" w14:textId="77777777" w:rsidR="000E27AB" w:rsidRPr="005E21A7" w:rsidRDefault="000E27AB" w:rsidP="00E66302">
            <w:pPr>
              <w:spacing w:before="0" w:after="0"/>
              <w:jc w:val="center"/>
              <w:rPr>
                <w:b/>
                <w:bCs/>
                <w:sz w:val="20"/>
                <w:szCs w:val="16"/>
              </w:rPr>
            </w:pPr>
          </w:p>
        </w:tc>
      </w:tr>
      <w:tr w:rsidR="00BE641A" w:rsidRPr="00E10223" w14:paraId="66BF7632" w14:textId="77777777" w:rsidTr="00E66302">
        <w:tc>
          <w:tcPr>
            <w:tcW w:w="983" w:type="dxa"/>
            <w:tcBorders>
              <w:top w:val="single" w:sz="4" w:space="0" w:color="auto"/>
              <w:left w:val="single" w:sz="8" w:space="0" w:color="auto"/>
              <w:bottom w:val="single" w:sz="4" w:space="0" w:color="auto"/>
              <w:right w:val="single" w:sz="8" w:space="0" w:color="auto"/>
            </w:tcBorders>
            <w:shd w:val="clear" w:color="auto" w:fill="auto"/>
            <w:vAlign w:val="center"/>
          </w:tcPr>
          <w:p w14:paraId="35BED4E7" w14:textId="77777777" w:rsidR="000E27AB" w:rsidRPr="00E10223" w:rsidRDefault="000E27AB" w:rsidP="00E66302">
            <w:pPr>
              <w:spacing w:before="0" w:after="0"/>
              <w:rPr>
                <w:b/>
                <w:bCs/>
                <w:sz w:val="20"/>
                <w:szCs w:val="16"/>
              </w:rPr>
            </w:pPr>
          </w:p>
        </w:tc>
        <w:tc>
          <w:tcPr>
            <w:tcW w:w="788" w:type="dxa"/>
            <w:tcBorders>
              <w:top w:val="nil"/>
              <w:left w:val="nil"/>
              <w:bottom w:val="nil"/>
              <w:right w:val="single" w:sz="8" w:space="0" w:color="auto"/>
            </w:tcBorders>
            <w:shd w:val="clear" w:color="auto" w:fill="auto"/>
            <w:vAlign w:val="center"/>
          </w:tcPr>
          <w:p w14:paraId="74FA8040" w14:textId="77777777" w:rsidR="000E27AB" w:rsidRPr="005E21A7" w:rsidRDefault="000E27AB" w:rsidP="00E66302">
            <w:pPr>
              <w:spacing w:before="0" w:after="0"/>
              <w:rPr>
                <w:b/>
                <w:bCs/>
                <w:sz w:val="20"/>
              </w:rPr>
            </w:pPr>
            <w:r w:rsidRPr="005E21A7">
              <w:rPr>
                <w:sz w:val="20"/>
              </w:rPr>
              <w:t>9</w:t>
            </w:r>
          </w:p>
        </w:tc>
        <w:tc>
          <w:tcPr>
            <w:tcW w:w="3779" w:type="dxa"/>
            <w:tcBorders>
              <w:top w:val="single" w:sz="4" w:space="0" w:color="auto"/>
              <w:left w:val="nil"/>
              <w:bottom w:val="single" w:sz="4" w:space="0" w:color="auto"/>
              <w:right w:val="nil"/>
            </w:tcBorders>
            <w:shd w:val="clear" w:color="auto" w:fill="auto"/>
            <w:vAlign w:val="center"/>
          </w:tcPr>
          <w:p w14:paraId="49170B63" w14:textId="77777777" w:rsidR="000E27AB" w:rsidRPr="005E21A7" w:rsidRDefault="000E27AB" w:rsidP="00E66302">
            <w:pPr>
              <w:spacing w:before="0" w:after="0"/>
              <w:rPr>
                <w:b/>
                <w:bCs/>
                <w:sz w:val="20"/>
              </w:rPr>
            </w:pPr>
            <w:r w:rsidRPr="005E21A7">
              <w:rPr>
                <w:sz w:val="20"/>
              </w:rPr>
              <w:t>Nefelejcs utca 63. szám alatti épület átalakítási, felújítási munkáinak tervezése, kivitelezése</w:t>
            </w:r>
          </w:p>
        </w:tc>
        <w:tc>
          <w:tcPr>
            <w:tcW w:w="1071" w:type="dxa"/>
            <w:tcBorders>
              <w:top w:val="single" w:sz="4" w:space="0" w:color="auto"/>
              <w:left w:val="single" w:sz="8" w:space="0" w:color="auto"/>
              <w:bottom w:val="single" w:sz="4" w:space="0" w:color="auto"/>
              <w:right w:val="single" w:sz="8" w:space="0" w:color="auto"/>
            </w:tcBorders>
            <w:shd w:val="clear" w:color="auto" w:fill="auto"/>
            <w:vAlign w:val="center"/>
          </w:tcPr>
          <w:p w14:paraId="141CC3C9" w14:textId="77777777" w:rsidR="000E27AB" w:rsidRPr="005E21A7" w:rsidRDefault="000E27AB" w:rsidP="00E66302">
            <w:pPr>
              <w:spacing w:before="0" w:after="0"/>
              <w:jc w:val="center"/>
              <w:rPr>
                <w:b/>
                <w:bCs/>
                <w:sz w:val="20"/>
              </w:rPr>
            </w:pPr>
            <w:r w:rsidRPr="005E21A7">
              <w:rPr>
                <w:sz w:val="20"/>
              </w:rPr>
              <w:t>294 395</w:t>
            </w:r>
          </w:p>
        </w:tc>
        <w:tc>
          <w:tcPr>
            <w:tcW w:w="1092" w:type="dxa"/>
            <w:tcBorders>
              <w:top w:val="single" w:sz="4" w:space="0" w:color="auto"/>
              <w:left w:val="nil"/>
              <w:bottom w:val="single" w:sz="4" w:space="0" w:color="auto"/>
              <w:right w:val="single" w:sz="8" w:space="0" w:color="auto"/>
            </w:tcBorders>
            <w:shd w:val="clear" w:color="auto" w:fill="auto"/>
            <w:vAlign w:val="center"/>
          </w:tcPr>
          <w:p w14:paraId="2E8FC24C" w14:textId="77777777" w:rsidR="000E27AB" w:rsidRPr="005E21A7" w:rsidRDefault="000E27AB" w:rsidP="00E66302">
            <w:pPr>
              <w:spacing w:before="0" w:after="0"/>
              <w:jc w:val="center"/>
              <w:rPr>
                <w:b/>
                <w:bCs/>
                <w:sz w:val="20"/>
              </w:rPr>
            </w:pPr>
            <w:r w:rsidRPr="005E21A7">
              <w:rPr>
                <w:sz w:val="20"/>
              </w:rPr>
              <w:t>79 487</w:t>
            </w:r>
          </w:p>
        </w:tc>
        <w:tc>
          <w:tcPr>
            <w:tcW w:w="943" w:type="dxa"/>
            <w:tcBorders>
              <w:top w:val="single" w:sz="4" w:space="0" w:color="auto"/>
              <w:left w:val="nil"/>
              <w:bottom w:val="single" w:sz="4" w:space="0" w:color="auto"/>
              <w:right w:val="single" w:sz="8" w:space="0" w:color="auto"/>
            </w:tcBorders>
            <w:shd w:val="clear" w:color="auto" w:fill="auto"/>
            <w:vAlign w:val="center"/>
          </w:tcPr>
          <w:p w14:paraId="5C1DB400" w14:textId="77777777" w:rsidR="000E27AB" w:rsidRPr="005E21A7" w:rsidRDefault="000E27AB" w:rsidP="00E66302">
            <w:pPr>
              <w:spacing w:before="0" w:after="0"/>
              <w:jc w:val="center"/>
              <w:rPr>
                <w:b/>
                <w:bCs/>
                <w:sz w:val="20"/>
              </w:rPr>
            </w:pPr>
            <w:r w:rsidRPr="005E21A7">
              <w:rPr>
                <w:sz w:val="20"/>
              </w:rPr>
              <w:t>373 882</w:t>
            </w:r>
          </w:p>
        </w:tc>
        <w:tc>
          <w:tcPr>
            <w:tcW w:w="701" w:type="dxa"/>
            <w:tcBorders>
              <w:top w:val="single" w:sz="4" w:space="0" w:color="auto"/>
              <w:left w:val="nil"/>
              <w:bottom w:val="single" w:sz="4" w:space="0" w:color="auto"/>
              <w:right w:val="single" w:sz="8" w:space="0" w:color="auto"/>
            </w:tcBorders>
            <w:shd w:val="clear" w:color="auto" w:fill="auto"/>
            <w:vAlign w:val="center"/>
          </w:tcPr>
          <w:p w14:paraId="7A8F4E65" w14:textId="77777777" w:rsidR="000E27AB" w:rsidRPr="005E21A7" w:rsidRDefault="000E27AB" w:rsidP="00E66302">
            <w:pPr>
              <w:spacing w:before="0" w:after="0"/>
              <w:jc w:val="center"/>
              <w:rPr>
                <w:b/>
                <w:bCs/>
                <w:sz w:val="20"/>
              </w:rPr>
            </w:pPr>
            <w:r w:rsidRPr="005E21A7">
              <w:rPr>
                <w:sz w:val="20"/>
              </w:rPr>
              <w:t>K</w:t>
            </w:r>
          </w:p>
        </w:tc>
      </w:tr>
      <w:tr w:rsidR="00BE641A" w:rsidRPr="005E21A7" w14:paraId="3B1360A5" w14:textId="77777777" w:rsidTr="00E66302">
        <w:tc>
          <w:tcPr>
            <w:tcW w:w="983" w:type="dxa"/>
            <w:tcBorders>
              <w:top w:val="single" w:sz="4" w:space="0" w:color="auto"/>
              <w:left w:val="single" w:sz="8" w:space="0" w:color="auto"/>
              <w:bottom w:val="single" w:sz="4" w:space="0" w:color="auto"/>
              <w:right w:val="single" w:sz="8" w:space="0" w:color="auto"/>
            </w:tcBorders>
            <w:shd w:val="clear" w:color="auto" w:fill="auto"/>
            <w:vAlign w:val="center"/>
          </w:tcPr>
          <w:p w14:paraId="5A263F98" w14:textId="77777777" w:rsidR="000E27AB" w:rsidRPr="005E21A7" w:rsidRDefault="000E27AB" w:rsidP="00E66302">
            <w:pPr>
              <w:spacing w:before="0" w:after="0"/>
              <w:rPr>
                <w:sz w:val="20"/>
                <w:szCs w:val="16"/>
              </w:rPr>
            </w:pPr>
          </w:p>
        </w:tc>
        <w:tc>
          <w:tcPr>
            <w:tcW w:w="788" w:type="dxa"/>
            <w:tcBorders>
              <w:top w:val="nil"/>
              <w:left w:val="nil"/>
              <w:bottom w:val="nil"/>
              <w:right w:val="single" w:sz="8" w:space="0" w:color="auto"/>
            </w:tcBorders>
            <w:shd w:val="clear" w:color="auto" w:fill="auto"/>
            <w:vAlign w:val="center"/>
          </w:tcPr>
          <w:p w14:paraId="0862857C" w14:textId="77777777" w:rsidR="000E27AB" w:rsidRPr="005E21A7" w:rsidRDefault="000E27AB" w:rsidP="00E66302">
            <w:pPr>
              <w:spacing w:before="0" w:after="0"/>
              <w:rPr>
                <w:sz w:val="20"/>
                <w:szCs w:val="16"/>
              </w:rPr>
            </w:pPr>
            <w:r w:rsidRPr="005E21A7">
              <w:rPr>
                <w:sz w:val="20"/>
                <w:szCs w:val="16"/>
              </w:rPr>
              <w:t>17</w:t>
            </w:r>
          </w:p>
        </w:tc>
        <w:tc>
          <w:tcPr>
            <w:tcW w:w="3779" w:type="dxa"/>
            <w:tcBorders>
              <w:top w:val="single" w:sz="4" w:space="0" w:color="auto"/>
              <w:left w:val="nil"/>
              <w:bottom w:val="single" w:sz="4" w:space="0" w:color="auto"/>
              <w:right w:val="nil"/>
            </w:tcBorders>
            <w:shd w:val="clear" w:color="auto" w:fill="auto"/>
            <w:vAlign w:val="center"/>
          </w:tcPr>
          <w:p w14:paraId="46A7A2AA" w14:textId="77777777" w:rsidR="000E27AB" w:rsidRPr="005E21A7" w:rsidRDefault="000E27AB" w:rsidP="00E66302">
            <w:pPr>
              <w:spacing w:before="0" w:after="0"/>
              <w:rPr>
                <w:sz w:val="20"/>
                <w:szCs w:val="16"/>
              </w:rPr>
            </w:pPr>
            <w:r w:rsidRPr="005E21A7">
              <w:rPr>
                <w:sz w:val="20"/>
                <w:szCs w:val="16"/>
              </w:rPr>
              <w:t>Kizárólagos tulajdonú lakóingatlanok komplex korszerűsítése I. ütem</w:t>
            </w:r>
          </w:p>
        </w:tc>
        <w:tc>
          <w:tcPr>
            <w:tcW w:w="1071" w:type="dxa"/>
            <w:tcBorders>
              <w:top w:val="single" w:sz="4" w:space="0" w:color="auto"/>
              <w:left w:val="single" w:sz="8" w:space="0" w:color="auto"/>
              <w:bottom w:val="single" w:sz="4" w:space="0" w:color="auto"/>
              <w:right w:val="single" w:sz="8" w:space="0" w:color="auto"/>
            </w:tcBorders>
            <w:shd w:val="clear" w:color="auto" w:fill="auto"/>
            <w:vAlign w:val="center"/>
          </w:tcPr>
          <w:p w14:paraId="28182B93" w14:textId="77777777" w:rsidR="000E27AB" w:rsidRPr="005E21A7" w:rsidRDefault="000E27AB" w:rsidP="00E66302">
            <w:pPr>
              <w:spacing w:before="0" w:after="0"/>
              <w:jc w:val="center"/>
              <w:rPr>
                <w:sz w:val="20"/>
                <w:szCs w:val="16"/>
              </w:rPr>
            </w:pPr>
            <w:r w:rsidRPr="005E21A7">
              <w:rPr>
                <w:sz w:val="20"/>
                <w:szCs w:val="16"/>
              </w:rPr>
              <w:t>984 252</w:t>
            </w:r>
          </w:p>
        </w:tc>
        <w:tc>
          <w:tcPr>
            <w:tcW w:w="1092" w:type="dxa"/>
            <w:tcBorders>
              <w:top w:val="single" w:sz="4" w:space="0" w:color="auto"/>
              <w:left w:val="nil"/>
              <w:bottom w:val="single" w:sz="4" w:space="0" w:color="auto"/>
              <w:right w:val="single" w:sz="8" w:space="0" w:color="auto"/>
            </w:tcBorders>
            <w:shd w:val="clear" w:color="auto" w:fill="auto"/>
            <w:vAlign w:val="center"/>
          </w:tcPr>
          <w:p w14:paraId="424C7BBF" w14:textId="77777777" w:rsidR="000E27AB" w:rsidRPr="005E21A7" w:rsidRDefault="000E27AB" w:rsidP="00E66302">
            <w:pPr>
              <w:spacing w:before="0" w:after="0"/>
              <w:jc w:val="center"/>
              <w:rPr>
                <w:sz w:val="20"/>
                <w:szCs w:val="16"/>
              </w:rPr>
            </w:pPr>
            <w:r w:rsidRPr="005E21A7">
              <w:rPr>
                <w:sz w:val="20"/>
                <w:szCs w:val="16"/>
              </w:rPr>
              <w:t>265 748</w:t>
            </w:r>
          </w:p>
        </w:tc>
        <w:tc>
          <w:tcPr>
            <w:tcW w:w="943" w:type="dxa"/>
            <w:tcBorders>
              <w:top w:val="single" w:sz="4" w:space="0" w:color="auto"/>
              <w:left w:val="nil"/>
              <w:bottom w:val="single" w:sz="4" w:space="0" w:color="auto"/>
              <w:right w:val="single" w:sz="8" w:space="0" w:color="auto"/>
            </w:tcBorders>
            <w:shd w:val="clear" w:color="auto" w:fill="auto"/>
            <w:vAlign w:val="center"/>
          </w:tcPr>
          <w:p w14:paraId="0B3423F5" w14:textId="77777777" w:rsidR="000E27AB" w:rsidRPr="005E21A7" w:rsidRDefault="000E27AB" w:rsidP="00E66302">
            <w:pPr>
              <w:spacing w:before="0" w:after="0"/>
              <w:jc w:val="center"/>
              <w:rPr>
                <w:sz w:val="20"/>
                <w:szCs w:val="16"/>
              </w:rPr>
            </w:pPr>
            <w:r w:rsidRPr="005E21A7">
              <w:rPr>
                <w:sz w:val="20"/>
                <w:szCs w:val="16"/>
              </w:rPr>
              <w:t>1 250 000</w:t>
            </w:r>
          </w:p>
        </w:tc>
        <w:tc>
          <w:tcPr>
            <w:tcW w:w="701" w:type="dxa"/>
            <w:tcBorders>
              <w:top w:val="single" w:sz="4" w:space="0" w:color="auto"/>
              <w:left w:val="nil"/>
              <w:bottom w:val="single" w:sz="4" w:space="0" w:color="auto"/>
              <w:right w:val="single" w:sz="8" w:space="0" w:color="auto"/>
            </w:tcBorders>
            <w:shd w:val="clear" w:color="auto" w:fill="auto"/>
            <w:vAlign w:val="center"/>
          </w:tcPr>
          <w:p w14:paraId="6A54321D" w14:textId="77777777" w:rsidR="000E27AB" w:rsidRPr="005E21A7" w:rsidRDefault="000E27AB" w:rsidP="00E66302">
            <w:pPr>
              <w:spacing w:before="0" w:after="0"/>
              <w:jc w:val="center"/>
              <w:rPr>
                <w:sz w:val="20"/>
                <w:szCs w:val="16"/>
              </w:rPr>
            </w:pPr>
            <w:r w:rsidRPr="005E21A7">
              <w:rPr>
                <w:sz w:val="20"/>
                <w:szCs w:val="16"/>
              </w:rPr>
              <w:t>K</w:t>
            </w:r>
          </w:p>
        </w:tc>
      </w:tr>
      <w:tr w:rsidR="000E27AB" w:rsidRPr="00342F21" w14:paraId="2C9D2D7F" w14:textId="77777777" w:rsidTr="00E66302">
        <w:tc>
          <w:tcPr>
            <w:tcW w:w="983" w:type="dxa"/>
            <w:tcBorders>
              <w:top w:val="single" w:sz="4" w:space="0" w:color="auto"/>
              <w:left w:val="single" w:sz="8" w:space="0" w:color="auto"/>
              <w:bottom w:val="single" w:sz="4" w:space="0" w:color="auto"/>
              <w:right w:val="single" w:sz="8" w:space="0" w:color="auto"/>
            </w:tcBorders>
            <w:shd w:val="clear" w:color="auto" w:fill="auto"/>
            <w:vAlign w:val="center"/>
          </w:tcPr>
          <w:p w14:paraId="716F792C" w14:textId="77777777" w:rsidR="000E27AB" w:rsidRPr="00342F21" w:rsidRDefault="000E27AB" w:rsidP="00E66302">
            <w:pPr>
              <w:spacing w:before="0" w:after="0"/>
              <w:rPr>
                <w:i/>
                <w:iCs/>
                <w:sz w:val="20"/>
                <w:szCs w:val="16"/>
              </w:rPr>
            </w:pPr>
          </w:p>
        </w:tc>
        <w:tc>
          <w:tcPr>
            <w:tcW w:w="788" w:type="dxa"/>
            <w:tcBorders>
              <w:top w:val="nil"/>
              <w:left w:val="nil"/>
              <w:bottom w:val="nil"/>
              <w:right w:val="single" w:sz="8" w:space="0" w:color="auto"/>
            </w:tcBorders>
            <w:shd w:val="clear" w:color="auto" w:fill="auto"/>
            <w:vAlign w:val="center"/>
          </w:tcPr>
          <w:p w14:paraId="5C888804" w14:textId="77777777" w:rsidR="000E27AB" w:rsidRPr="00342F21" w:rsidRDefault="000E27AB" w:rsidP="00E66302">
            <w:pPr>
              <w:spacing w:before="0" w:after="0"/>
              <w:rPr>
                <w:i/>
                <w:iCs/>
                <w:sz w:val="20"/>
                <w:szCs w:val="16"/>
              </w:rPr>
            </w:pPr>
            <w:r w:rsidRPr="00342F21">
              <w:rPr>
                <w:i/>
                <w:iCs/>
                <w:sz w:val="20"/>
                <w:szCs w:val="16"/>
              </w:rPr>
              <w:t> </w:t>
            </w:r>
          </w:p>
        </w:tc>
        <w:tc>
          <w:tcPr>
            <w:tcW w:w="3779" w:type="dxa"/>
            <w:tcBorders>
              <w:top w:val="single" w:sz="4" w:space="0" w:color="auto"/>
              <w:left w:val="nil"/>
              <w:bottom w:val="single" w:sz="4" w:space="0" w:color="auto"/>
              <w:right w:val="nil"/>
            </w:tcBorders>
            <w:shd w:val="clear" w:color="auto" w:fill="auto"/>
            <w:vAlign w:val="center"/>
          </w:tcPr>
          <w:p w14:paraId="7CD6E52E" w14:textId="77777777" w:rsidR="000E27AB" w:rsidRPr="00342F21" w:rsidRDefault="000E27AB" w:rsidP="00E66302">
            <w:pPr>
              <w:spacing w:before="0" w:after="0"/>
              <w:rPr>
                <w:i/>
                <w:iCs/>
                <w:sz w:val="20"/>
                <w:szCs w:val="16"/>
              </w:rPr>
            </w:pPr>
            <w:r w:rsidRPr="00342F21">
              <w:rPr>
                <w:i/>
                <w:iCs/>
                <w:sz w:val="20"/>
                <w:szCs w:val="16"/>
              </w:rPr>
              <w:t>Energiahatékonysági és Klímavédelmi Alap</w:t>
            </w:r>
          </w:p>
        </w:tc>
        <w:tc>
          <w:tcPr>
            <w:tcW w:w="1071" w:type="dxa"/>
            <w:tcBorders>
              <w:top w:val="single" w:sz="4" w:space="0" w:color="auto"/>
              <w:left w:val="single" w:sz="8" w:space="0" w:color="auto"/>
              <w:bottom w:val="single" w:sz="4" w:space="0" w:color="auto"/>
              <w:right w:val="single" w:sz="8" w:space="0" w:color="auto"/>
            </w:tcBorders>
            <w:shd w:val="clear" w:color="auto" w:fill="auto"/>
            <w:vAlign w:val="center"/>
          </w:tcPr>
          <w:p w14:paraId="5B230CD8" w14:textId="77777777" w:rsidR="000E27AB" w:rsidRPr="00342F21" w:rsidRDefault="000E27AB" w:rsidP="00E66302">
            <w:pPr>
              <w:spacing w:before="0" w:after="0"/>
              <w:jc w:val="center"/>
              <w:rPr>
                <w:i/>
                <w:iCs/>
                <w:sz w:val="20"/>
                <w:szCs w:val="16"/>
              </w:rPr>
            </w:pPr>
          </w:p>
        </w:tc>
        <w:tc>
          <w:tcPr>
            <w:tcW w:w="1092" w:type="dxa"/>
            <w:tcBorders>
              <w:top w:val="single" w:sz="4" w:space="0" w:color="auto"/>
              <w:left w:val="nil"/>
              <w:bottom w:val="single" w:sz="4" w:space="0" w:color="auto"/>
              <w:right w:val="single" w:sz="8" w:space="0" w:color="auto"/>
            </w:tcBorders>
            <w:shd w:val="clear" w:color="auto" w:fill="auto"/>
            <w:vAlign w:val="center"/>
          </w:tcPr>
          <w:p w14:paraId="6AB0B37A" w14:textId="77777777" w:rsidR="000E27AB" w:rsidRPr="00342F21" w:rsidRDefault="000E27AB" w:rsidP="00E66302">
            <w:pPr>
              <w:spacing w:before="0" w:after="0"/>
              <w:jc w:val="center"/>
              <w:rPr>
                <w:i/>
                <w:iCs/>
                <w:sz w:val="20"/>
                <w:szCs w:val="16"/>
              </w:rPr>
            </w:pPr>
          </w:p>
        </w:tc>
        <w:tc>
          <w:tcPr>
            <w:tcW w:w="943" w:type="dxa"/>
            <w:tcBorders>
              <w:top w:val="single" w:sz="4" w:space="0" w:color="auto"/>
              <w:left w:val="nil"/>
              <w:bottom w:val="single" w:sz="4" w:space="0" w:color="auto"/>
              <w:right w:val="single" w:sz="8" w:space="0" w:color="auto"/>
            </w:tcBorders>
            <w:shd w:val="clear" w:color="auto" w:fill="auto"/>
            <w:vAlign w:val="center"/>
          </w:tcPr>
          <w:p w14:paraId="17E23693" w14:textId="77777777" w:rsidR="000E27AB" w:rsidRPr="00342F21" w:rsidRDefault="000E27AB" w:rsidP="00E66302">
            <w:pPr>
              <w:spacing w:before="0" w:after="0"/>
              <w:jc w:val="center"/>
              <w:rPr>
                <w:i/>
                <w:iCs/>
                <w:sz w:val="20"/>
                <w:szCs w:val="16"/>
              </w:rPr>
            </w:pPr>
          </w:p>
        </w:tc>
        <w:tc>
          <w:tcPr>
            <w:tcW w:w="701" w:type="dxa"/>
            <w:tcBorders>
              <w:top w:val="single" w:sz="4" w:space="0" w:color="auto"/>
              <w:left w:val="nil"/>
              <w:bottom w:val="single" w:sz="4" w:space="0" w:color="auto"/>
              <w:right w:val="single" w:sz="8" w:space="0" w:color="auto"/>
            </w:tcBorders>
            <w:shd w:val="clear" w:color="auto" w:fill="auto"/>
            <w:vAlign w:val="center"/>
          </w:tcPr>
          <w:p w14:paraId="5C54646A" w14:textId="77777777" w:rsidR="000E27AB" w:rsidRPr="00342F21" w:rsidRDefault="000E27AB" w:rsidP="00E66302">
            <w:pPr>
              <w:spacing w:before="0" w:after="0"/>
              <w:jc w:val="center"/>
              <w:rPr>
                <w:i/>
                <w:iCs/>
                <w:sz w:val="20"/>
                <w:szCs w:val="16"/>
              </w:rPr>
            </w:pPr>
          </w:p>
        </w:tc>
      </w:tr>
      <w:tr w:rsidR="00E66302" w:rsidRPr="00342F21" w14:paraId="263981F2" w14:textId="77777777" w:rsidTr="00E66302">
        <w:tc>
          <w:tcPr>
            <w:tcW w:w="983" w:type="dxa"/>
            <w:tcBorders>
              <w:top w:val="single" w:sz="4" w:space="0" w:color="auto"/>
              <w:left w:val="single" w:sz="8" w:space="0" w:color="auto"/>
              <w:bottom w:val="single" w:sz="4" w:space="0" w:color="auto"/>
              <w:right w:val="single" w:sz="8" w:space="0" w:color="auto"/>
            </w:tcBorders>
            <w:shd w:val="clear" w:color="auto" w:fill="auto"/>
            <w:vAlign w:val="center"/>
          </w:tcPr>
          <w:p w14:paraId="4A27C6D9" w14:textId="77777777" w:rsidR="00E66302" w:rsidRPr="00342F21" w:rsidRDefault="00E66302" w:rsidP="00E66302">
            <w:pPr>
              <w:spacing w:before="0" w:after="0"/>
              <w:rPr>
                <w:b/>
                <w:bCs/>
                <w:sz w:val="20"/>
                <w:szCs w:val="16"/>
              </w:rPr>
            </w:pPr>
            <w:r w:rsidRPr="00342F21">
              <w:rPr>
                <w:b/>
                <w:bCs/>
                <w:sz w:val="20"/>
                <w:szCs w:val="16"/>
              </w:rPr>
              <w:lastRenderedPageBreak/>
              <w:t>6303</w:t>
            </w:r>
          </w:p>
        </w:tc>
        <w:tc>
          <w:tcPr>
            <w:tcW w:w="788" w:type="dxa"/>
            <w:tcBorders>
              <w:top w:val="nil"/>
              <w:left w:val="nil"/>
              <w:bottom w:val="nil"/>
              <w:right w:val="single" w:sz="8" w:space="0" w:color="auto"/>
            </w:tcBorders>
            <w:shd w:val="clear" w:color="auto" w:fill="auto"/>
            <w:vAlign w:val="center"/>
          </w:tcPr>
          <w:p w14:paraId="73045EE0" w14:textId="77777777" w:rsidR="00E66302" w:rsidRPr="00342F21" w:rsidRDefault="00E66302" w:rsidP="00E66302">
            <w:pPr>
              <w:spacing w:before="0" w:after="0"/>
              <w:rPr>
                <w:b/>
                <w:bCs/>
                <w:sz w:val="20"/>
                <w:szCs w:val="16"/>
              </w:rPr>
            </w:pPr>
            <w:r w:rsidRPr="00342F21">
              <w:rPr>
                <w:b/>
                <w:bCs/>
                <w:sz w:val="20"/>
                <w:szCs w:val="16"/>
              </w:rPr>
              <w:t> </w:t>
            </w:r>
          </w:p>
        </w:tc>
        <w:tc>
          <w:tcPr>
            <w:tcW w:w="3779" w:type="dxa"/>
            <w:tcBorders>
              <w:top w:val="single" w:sz="4" w:space="0" w:color="auto"/>
              <w:left w:val="nil"/>
              <w:bottom w:val="single" w:sz="4" w:space="0" w:color="auto"/>
              <w:right w:val="nil"/>
            </w:tcBorders>
            <w:shd w:val="clear" w:color="auto" w:fill="auto"/>
            <w:vAlign w:val="center"/>
          </w:tcPr>
          <w:p w14:paraId="09B8B4BC" w14:textId="77777777" w:rsidR="00E66302" w:rsidRPr="00342F21" w:rsidRDefault="00E66302" w:rsidP="00E66302">
            <w:pPr>
              <w:spacing w:before="0" w:after="0"/>
              <w:rPr>
                <w:b/>
                <w:bCs/>
                <w:sz w:val="20"/>
                <w:szCs w:val="16"/>
              </w:rPr>
            </w:pPr>
            <w:r w:rsidRPr="00342F21">
              <w:rPr>
                <w:b/>
                <w:bCs/>
                <w:sz w:val="20"/>
                <w:szCs w:val="16"/>
              </w:rPr>
              <w:t>Önkormányzati felújítások összesen (1+…+26)</w:t>
            </w:r>
          </w:p>
        </w:tc>
        <w:tc>
          <w:tcPr>
            <w:tcW w:w="1071" w:type="dxa"/>
            <w:tcBorders>
              <w:top w:val="single" w:sz="4" w:space="0" w:color="auto"/>
              <w:left w:val="single" w:sz="8" w:space="0" w:color="auto"/>
              <w:bottom w:val="single" w:sz="4" w:space="0" w:color="auto"/>
              <w:right w:val="single" w:sz="8" w:space="0" w:color="auto"/>
            </w:tcBorders>
            <w:shd w:val="clear" w:color="auto" w:fill="auto"/>
            <w:vAlign w:val="bottom"/>
          </w:tcPr>
          <w:p w14:paraId="0DFA3F6E" w14:textId="39A32F6D" w:rsidR="00E66302" w:rsidRPr="00E66302" w:rsidRDefault="00E66302" w:rsidP="00E66302">
            <w:pPr>
              <w:spacing w:before="0" w:after="0"/>
              <w:jc w:val="center"/>
              <w:rPr>
                <w:b/>
                <w:bCs/>
                <w:sz w:val="20"/>
                <w:szCs w:val="16"/>
              </w:rPr>
            </w:pPr>
            <w:r w:rsidRPr="00E66302">
              <w:rPr>
                <w:rFonts w:ascii="Calibri" w:hAnsi="Calibri" w:cs="Calibri"/>
                <w:b/>
                <w:color w:val="000000"/>
                <w:sz w:val="20"/>
                <w:szCs w:val="22"/>
              </w:rPr>
              <w:t>1 278 647</w:t>
            </w:r>
          </w:p>
        </w:tc>
        <w:tc>
          <w:tcPr>
            <w:tcW w:w="1092" w:type="dxa"/>
            <w:tcBorders>
              <w:top w:val="single" w:sz="4" w:space="0" w:color="auto"/>
              <w:left w:val="nil"/>
              <w:bottom w:val="single" w:sz="4" w:space="0" w:color="auto"/>
              <w:right w:val="single" w:sz="8" w:space="0" w:color="auto"/>
            </w:tcBorders>
            <w:shd w:val="clear" w:color="auto" w:fill="auto"/>
            <w:vAlign w:val="bottom"/>
          </w:tcPr>
          <w:p w14:paraId="54601C1A" w14:textId="14B2BDCE" w:rsidR="00E66302" w:rsidRPr="00E66302" w:rsidRDefault="00E66302" w:rsidP="00E66302">
            <w:pPr>
              <w:spacing w:before="0" w:after="0"/>
              <w:jc w:val="center"/>
              <w:rPr>
                <w:b/>
                <w:bCs/>
                <w:sz w:val="20"/>
                <w:szCs w:val="16"/>
              </w:rPr>
            </w:pPr>
            <w:r w:rsidRPr="00E66302">
              <w:rPr>
                <w:rFonts w:ascii="Calibri" w:hAnsi="Calibri" w:cs="Calibri"/>
                <w:b/>
                <w:color w:val="000000"/>
                <w:sz w:val="20"/>
                <w:szCs w:val="22"/>
              </w:rPr>
              <w:t>345 235</w:t>
            </w:r>
          </w:p>
        </w:tc>
        <w:tc>
          <w:tcPr>
            <w:tcW w:w="943" w:type="dxa"/>
            <w:tcBorders>
              <w:top w:val="single" w:sz="4" w:space="0" w:color="auto"/>
              <w:left w:val="nil"/>
              <w:bottom w:val="single" w:sz="4" w:space="0" w:color="auto"/>
              <w:right w:val="single" w:sz="8" w:space="0" w:color="auto"/>
            </w:tcBorders>
            <w:shd w:val="clear" w:color="auto" w:fill="auto"/>
            <w:vAlign w:val="bottom"/>
          </w:tcPr>
          <w:p w14:paraId="0622F3AE" w14:textId="297E28FD" w:rsidR="00E66302" w:rsidRPr="00E66302" w:rsidRDefault="00E66302" w:rsidP="00E66302">
            <w:pPr>
              <w:spacing w:before="0" w:after="0"/>
              <w:jc w:val="center"/>
              <w:rPr>
                <w:b/>
                <w:bCs/>
                <w:sz w:val="20"/>
                <w:szCs w:val="16"/>
              </w:rPr>
            </w:pPr>
            <w:r w:rsidRPr="00E66302">
              <w:rPr>
                <w:rFonts w:ascii="Calibri" w:hAnsi="Calibri" w:cs="Calibri"/>
                <w:b/>
                <w:color w:val="000000"/>
                <w:sz w:val="20"/>
                <w:szCs w:val="22"/>
              </w:rPr>
              <w:t>1 623 882</w:t>
            </w:r>
          </w:p>
        </w:tc>
        <w:tc>
          <w:tcPr>
            <w:tcW w:w="701" w:type="dxa"/>
            <w:tcBorders>
              <w:top w:val="single" w:sz="4" w:space="0" w:color="auto"/>
              <w:left w:val="nil"/>
              <w:bottom w:val="single" w:sz="4" w:space="0" w:color="auto"/>
              <w:right w:val="single" w:sz="8" w:space="0" w:color="auto"/>
            </w:tcBorders>
            <w:shd w:val="clear" w:color="auto" w:fill="auto"/>
            <w:vAlign w:val="center"/>
          </w:tcPr>
          <w:p w14:paraId="05EB12B6" w14:textId="77777777" w:rsidR="00E66302" w:rsidRPr="00342F21" w:rsidRDefault="00E66302" w:rsidP="00E66302">
            <w:pPr>
              <w:spacing w:before="0" w:after="0"/>
              <w:jc w:val="center"/>
              <w:rPr>
                <w:b/>
                <w:bCs/>
                <w:sz w:val="20"/>
                <w:szCs w:val="16"/>
              </w:rPr>
            </w:pPr>
          </w:p>
        </w:tc>
      </w:tr>
      <w:tr w:rsidR="00E66302" w:rsidRPr="00342F21" w14:paraId="1C5CB635" w14:textId="77777777" w:rsidTr="00E66302">
        <w:tc>
          <w:tcPr>
            <w:tcW w:w="983" w:type="dxa"/>
            <w:tcBorders>
              <w:top w:val="single" w:sz="4" w:space="0" w:color="auto"/>
              <w:left w:val="single" w:sz="8" w:space="0" w:color="auto"/>
              <w:bottom w:val="single" w:sz="4" w:space="0" w:color="auto"/>
              <w:right w:val="single" w:sz="8" w:space="0" w:color="auto"/>
            </w:tcBorders>
            <w:shd w:val="clear" w:color="auto" w:fill="auto"/>
            <w:vAlign w:val="center"/>
          </w:tcPr>
          <w:p w14:paraId="073AF2BD" w14:textId="77777777" w:rsidR="00E66302" w:rsidRPr="00342F21" w:rsidRDefault="00E66302" w:rsidP="00E66302">
            <w:pPr>
              <w:spacing w:before="0" w:after="0"/>
              <w:rPr>
                <w:b/>
                <w:bCs/>
                <w:sz w:val="20"/>
                <w:szCs w:val="16"/>
              </w:rPr>
            </w:pPr>
            <w:r w:rsidRPr="00342F21">
              <w:rPr>
                <w:b/>
                <w:bCs/>
                <w:sz w:val="20"/>
                <w:szCs w:val="16"/>
              </w:rPr>
              <w:t> </w:t>
            </w:r>
          </w:p>
        </w:tc>
        <w:tc>
          <w:tcPr>
            <w:tcW w:w="788" w:type="dxa"/>
            <w:tcBorders>
              <w:top w:val="nil"/>
              <w:left w:val="nil"/>
              <w:bottom w:val="nil"/>
              <w:right w:val="single" w:sz="8" w:space="0" w:color="auto"/>
            </w:tcBorders>
            <w:shd w:val="clear" w:color="auto" w:fill="auto"/>
            <w:vAlign w:val="center"/>
          </w:tcPr>
          <w:p w14:paraId="7B7EFD9F" w14:textId="77777777" w:rsidR="00E66302" w:rsidRPr="00342F21" w:rsidRDefault="00E66302" w:rsidP="00E66302">
            <w:pPr>
              <w:spacing w:before="0" w:after="0"/>
              <w:rPr>
                <w:b/>
                <w:bCs/>
                <w:sz w:val="20"/>
                <w:szCs w:val="16"/>
              </w:rPr>
            </w:pPr>
            <w:r w:rsidRPr="00342F21">
              <w:rPr>
                <w:b/>
                <w:bCs/>
                <w:sz w:val="20"/>
                <w:szCs w:val="16"/>
              </w:rPr>
              <w:t> </w:t>
            </w:r>
          </w:p>
        </w:tc>
        <w:tc>
          <w:tcPr>
            <w:tcW w:w="3779" w:type="dxa"/>
            <w:tcBorders>
              <w:top w:val="single" w:sz="4" w:space="0" w:color="auto"/>
              <w:left w:val="nil"/>
              <w:bottom w:val="single" w:sz="4" w:space="0" w:color="auto"/>
              <w:right w:val="nil"/>
            </w:tcBorders>
            <w:shd w:val="clear" w:color="auto" w:fill="auto"/>
            <w:vAlign w:val="center"/>
          </w:tcPr>
          <w:p w14:paraId="51D4A91B" w14:textId="77777777" w:rsidR="00E66302" w:rsidRPr="00342F21" w:rsidRDefault="00E66302" w:rsidP="00E66302">
            <w:pPr>
              <w:spacing w:before="0" w:after="0"/>
              <w:rPr>
                <w:b/>
                <w:bCs/>
                <w:sz w:val="20"/>
                <w:szCs w:val="16"/>
              </w:rPr>
            </w:pPr>
            <w:r w:rsidRPr="00342F21">
              <w:rPr>
                <w:b/>
                <w:bCs/>
                <w:sz w:val="20"/>
                <w:szCs w:val="16"/>
              </w:rPr>
              <w:t xml:space="preserve">FELÚJÍTÁSI KIADÁSOK MINDÖSSZESEN </w:t>
            </w:r>
          </w:p>
        </w:tc>
        <w:tc>
          <w:tcPr>
            <w:tcW w:w="1071" w:type="dxa"/>
            <w:tcBorders>
              <w:top w:val="single" w:sz="4" w:space="0" w:color="auto"/>
              <w:left w:val="single" w:sz="8" w:space="0" w:color="auto"/>
              <w:bottom w:val="single" w:sz="4" w:space="0" w:color="auto"/>
              <w:right w:val="single" w:sz="8" w:space="0" w:color="auto"/>
            </w:tcBorders>
            <w:shd w:val="clear" w:color="auto" w:fill="auto"/>
            <w:vAlign w:val="bottom"/>
          </w:tcPr>
          <w:p w14:paraId="666863D2" w14:textId="40930D7E" w:rsidR="00E66302" w:rsidRPr="00342F21" w:rsidRDefault="00E66302" w:rsidP="00E66302">
            <w:pPr>
              <w:spacing w:before="0" w:after="0"/>
              <w:jc w:val="center"/>
              <w:rPr>
                <w:b/>
                <w:bCs/>
                <w:sz w:val="20"/>
                <w:szCs w:val="16"/>
              </w:rPr>
            </w:pPr>
            <w:r w:rsidRPr="00E66302">
              <w:rPr>
                <w:rFonts w:ascii="Calibri" w:hAnsi="Calibri" w:cs="Calibri"/>
                <w:b/>
                <w:color w:val="000000"/>
                <w:sz w:val="20"/>
                <w:szCs w:val="22"/>
              </w:rPr>
              <w:t>1 278 647</w:t>
            </w:r>
          </w:p>
        </w:tc>
        <w:tc>
          <w:tcPr>
            <w:tcW w:w="1092" w:type="dxa"/>
            <w:tcBorders>
              <w:top w:val="single" w:sz="4" w:space="0" w:color="auto"/>
              <w:left w:val="nil"/>
              <w:bottom w:val="single" w:sz="4" w:space="0" w:color="auto"/>
              <w:right w:val="single" w:sz="8" w:space="0" w:color="auto"/>
            </w:tcBorders>
            <w:shd w:val="clear" w:color="auto" w:fill="auto"/>
            <w:vAlign w:val="bottom"/>
          </w:tcPr>
          <w:p w14:paraId="4DCA6886" w14:textId="2286FC31" w:rsidR="00E66302" w:rsidRPr="00342F21" w:rsidRDefault="00E66302" w:rsidP="00E66302">
            <w:pPr>
              <w:spacing w:before="0" w:after="0"/>
              <w:jc w:val="center"/>
              <w:rPr>
                <w:b/>
                <w:bCs/>
                <w:sz w:val="20"/>
                <w:szCs w:val="16"/>
              </w:rPr>
            </w:pPr>
            <w:r w:rsidRPr="00E66302">
              <w:rPr>
                <w:rFonts w:ascii="Calibri" w:hAnsi="Calibri" w:cs="Calibri"/>
                <w:b/>
                <w:color w:val="000000"/>
                <w:sz w:val="20"/>
                <w:szCs w:val="22"/>
              </w:rPr>
              <w:t>345 235</w:t>
            </w:r>
          </w:p>
        </w:tc>
        <w:tc>
          <w:tcPr>
            <w:tcW w:w="943" w:type="dxa"/>
            <w:tcBorders>
              <w:top w:val="single" w:sz="4" w:space="0" w:color="auto"/>
              <w:left w:val="nil"/>
              <w:bottom w:val="single" w:sz="4" w:space="0" w:color="auto"/>
              <w:right w:val="single" w:sz="8" w:space="0" w:color="auto"/>
            </w:tcBorders>
            <w:shd w:val="clear" w:color="auto" w:fill="auto"/>
            <w:vAlign w:val="bottom"/>
          </w:tcPr>
          <w:p w14:paraId="6918B278" w14:textId="363F6B7B" w:rsidR="00E66302" w:rsidRPr="00342F21" w:rsidRDefault="00E66302" w:rsidP="00E66302">
            <w:pPr>
              <w:spacing w:before="0" w:after="0"/>
              <w:jc w:val="center"/>
              <w:rPr>
                <w:b/>
                <w:bCs/>
                <w:sz w:val="20"/>
                <w:szCs w:val="16"/>
              </w:rPr>
            </w:pPr>
            <w:r w:rsidRPr="00E66302">
              <w:rPr>
                <w:rFonts w:ascii="Calibri" w:hAnsi="Calibri" w:cs="Calibri"/>
                <w:b/>
                <w:color w:val="000000"/>
                <w:sz w:val="20"/>
                <w:szCs w:val="22"/>
              </w:rPr>
              <w:t>1 623 882</w:t>
            </w:r>
          </w:p>
        </w:tc>
        <w:tc>
          <w:tcPr>
            <w:tcW w:w="701" w:type="dxa"/>
            <w:tcBorders>
              <w:top w:val="single" w:sz="4" w:space="0" w:color="auto"/>
              <w:left w:val="nil"/>
              <w:bottom w:val="single" w:sz="4" w:space="0" w:color="auto"/>
              <w:right w:val="single" w:sz="8" w:space="0" w:color="auto"/>
            </w:tcBorders>
            <w:shd w:val="clear" w:color="auto" w:fill="auto"/>
            <w:vAlign w:val="center"/>
          </w:tcPr>
          <w:p w14:paraId="7383A4F8" w14:textId="77777777" w:rsidR="00E66302" w:rsidRPr="00342F21" w:rsidRDefault="00E66302" w:rsidP="00E66302">
            <w:pPr>
              <w:spacing w:before="0" w:after="0"/>
              <w:jc w:val="center"/>
              <w:rPr>
                <w:b/>
                <w:bCs/>
                <w:sz w:val="20"/>
                <w:szCs w:val="16"/>
              </w:rPr>
            </w:pPr>
          </w:p>
        </w:tc>
      </w:tr>
    </w:tbl>
    <w:p w14:paraId="2BC6C953" w14:textId="77777777" w:rsidR="000E27AB" w:rsidRDefault="000E27AB" w:rsidP="000E27AB">
      <w:pPr>
        <w:pStyle w:val="kepalairas"/>
      </w:pPr>
      <w:r>
        <w:t>Budapest Főváros VII. Kerület Erzsébetváros Önkormányzata 2023. évi költségvetésének 18. melléklete a tervezett felújítási kiadások előirányzatairól</w:t>
      </w:r>
    </w:p>
    <w:p w14:paraId="0426463B" w14:textId="706A9A5F" w:rsidR="000E27AB" w:rsidRDefault="000E27AB" w:rsidP="000E27AB">
      <w:pPr>
        <w:rPr>
          <w:b/>
          <w:bCs/>
        </w:rPr>
      </w:pPr>
      <w:r w:rsidRPr="000E27AB">
        <w:rPr>
          <w:b/>
          <w:bCs/>
        </w:rPr>
        <w:t>Ezáltal a 2023-as évben az Alapban r</w:t>
      </w:r>
      <w:r w:rsidR="00E66302">
        <w:rPr>
          <w:b/>
          <w:bCs/>
        </w:rPr>
        <w:t>endelkezésre álló összeg nettó 1 278 647 Ft + 345 235</w:t>
      </w:r>
      <w:r w:rsidRPr="000E27AB">
        <w:rPr>
          <w:b/>
          <w:bCs/>
        </w:rPr>
        <w:t xml:space="preserve"> Ft áfa, azaz brut</w:t>
      </w:r>
      <w:r w:rsidR="00E66302">
        <w:rPr>
          <w:b/>
          <w:bCs/>
        </w:rPr>
        <w:t xml:space="preserve">tó 1 </w:t>
      </w:r>
      <w:r w:rsidR="004219F5">
        <w:rPr>
          <w:b/>
          <w:bCs/>
        </w:rPr>
        <w:t>6</w:t>
      </w:r>
      <w:r w:rsidR="00E66302">
        <w:rPr>
          <w:b/>
          <w:bCs/>
        </w:rPr>
        <w:t>23</w:t>
      </w:r>
      <w:r w:rsidRPr="000E27AB">
        <w:rPr>
          <w:b/>
          <w:bCs/>
        </w:rPr>
        <w:t> 882 Ft keretösszeg.</w:t>
      </w:r>
    </w:p>
    <w:p w14:paraId="6ACEC252" w14:textId="47C086C3" w:rsidR="008A54EA" w:rsidRPr="008A54EA" w:rsidRDefault="008A54EA" w:rsidP="008A54EA">
      <w:pPr>
        <w:pStyle w:val="Cmsor3"/>
      </w:pPr>
      <w:bookmarkStart w:id="26" w:name="_Toc133257995"/>
      <w:bookmarkStart w:id="27" w:name="_GoBack"/>
      <w:bookmarkEnd w:id="27"/>
      <w:r w:rsidRPr="008A54EA">
        <w:t>Az Alap további forrásai</w:t>
      </w:r>
      <w:bookmarkEnd w:id="26"/>
      <w:r w:rsidRPr="008A54EA">
        <w:t xml:space="preserve"> </w:t>
      </w:r>
    </w:p>
    <w:p w14:paraId="5113F2FA" w14:textId="36BB19D6" w:rsidR="008A54EA" w:rsidRDefault="008A54EA" w:rsidP="008A54EA">
      <w:r w:rsidRPr="008A54EA">
        <w:t xml:space="preserve">Az Alap </w:t>
      </w:r>
      <w:r w:rsidR="00D6778F">
        <w:t xml:space="preserve">pénzügyi forrásai nem lehetnek általános adóbevételek, hiszen azok a kötelező feladatok ellátására szolgálnak. </w:t>
      </w:r>
    </w:p>
    <w:p w14:paraId="42DAE7B5" w14:textId="641D5D57" w:rsidR="00D6778F" w:rsidRDefault="00D6778F" w:rsidP="008A54EA">
      <w:r>
        <w:t>Minden olyan további forrással lehet számítani, amely a lakásgazdálkodás feladathoz köthető. Ilyenek lehetnek:</w:t>
      </w:r>
    </w:p>
    <w:p w14:paraId="0058796A" w14:textId="77777777" w:rsidR="00D6778F" w:rsidRDefault="00D6778F">
      <w:pPr>
        <w:pStyle w:val="Listaszerbekezds"/>
        <w:numPr>
          <w:ilvl w:val="0"/>
          <w:numId w:val="6"/>
        </w:numPr>
      </w:pPr>
      <w:r>
        <w:t>Ingatlanértékesítés</w:t>
      </w:r>
    </w:p>
    <w:p w14:paraId="5D368D15" w14:textId="10CF339A" w:rsidR="00D6778F" w:rsidRDefault="00D6778F">
      <w:pPr>
        <w:pStyle w:val="Listaszerbekezds"/>
        <w:numPr>
          <w:ilvl w:val="0"/>
          <w:numId w:val="6"/>
        </w:numPr>
      </w:pPr>
      <w:r>
        <w:t>Lakásértékesítés</w:t>
      </w:r>
    </w:p>
    <w:p w14:paraId="6809EE60" w14:textId="77777777" w:rsidR="00D6778F" w:rsidRDefault="00D6778F">
      <w:pPr>
        <w:pStyle w:val="Listaszerbekezds"/>
        <w:numPr>
          <w:ilvl w:val="0"/>
          <w:numId w:val="6"/>
        </w:numPr>
      </w:pPr>
      <w:r>
        <w:t>Önkormányzati tulajdonú épület bővítése, tetőtér beépítése</w:t>
      </w:r>
    </w:p>
    <w:p w14:paraId="77FB5C0E" w14:textId="710BA896" w:rsidR="00D6778F" w:rsidRDefault="00D6778F">
      <w:pPr>
        <w:pStyle w:val="Listaszerbekezds"/>
        <w:numPr>
          <w:ilvl w:val="0"/>
          <w:numId w:val="6"/>
        </w:numPr>
      </w:pPr>
      <w:r>
        <w:t>Önkormányzati tulajdonú foghíj, beépítetlen telek befektetési hasznosításából származó bevétel</w:t>
      </w:r>
    </w:p>
    <w:p w14:paraId="674F7069" w14:textId="29D6F559" w:rsidR="008E5BBF" w:rsidRDefault="008E5BBF">
      <w:pPr>
        <w:pStyle w:val="Listaszerbekezds"/>
        <w:numPr>
          <w:ilvl w:val="0"/>
          <w:numId w:val="6"/>
        </w:numPr>
      </w:pPr>
      <w:r>
        <w:t>Kamatbevételek</w:t>
      </w:r>
    </w:p>
    <w:p w14:paraId="368F2C60" w14:textId="2CDE778F" w:rsidR="008E5BBF" w:rsidRDefault="008E5BBF">
      <w:pPr>
        <w:pStyle w:val="Listaszerbekezds"/>
        <w:numPr>
          <w:ilvl w:val="0"/>
          <w:numId w:val="6"/>
        </w:numPr>
      </w:pPr>
      <w:r>
        <w:t>Állampapírok</w:t>
      </w:r>
    </w:p>
    <w:p w14:paraId="6D9D80FD" w14:textId="73F1FA85" w:rsidR="008E5BBF" w:rsidRDefault="008E5BBF">
      <w:pPr>
        <w:pStyle w:val="Listaszerbekezds"/>
        <w:numPr>
          <w:ilvl w:val="0"/>
          <w:numId w:val="6"/>
        </w:numPr>
      </w:pPr>
      <w:r>
        <w:t>Európai Uniós, nemzeti támogatások forrásai</w:t>
      </w:r>
    </w:p>
    <w:p w14:paraId="080FB17E" w14:textId="19541D15" w:rsidR="008E5BBF" w:rsidRDefault="00D6778F" w:rsidP="008A54EA">
      <w:r>
        <w:t xml:space="preserve">Erzsébetváros jelenleg </w:t>
      </w:r>
      <w:r w:rsidR="008E5BBF">
        <w:t xml:space="preserve">hatályos helyi adó rendeletei közül az ingatlanforgalmi adó nem köthető közvetlenül a feladathoz, azonban a </w:t>
      </w:r>
      <w:r>
        <w:t>két vagyoni adó</w:t>
      </w:r>
      <w:r w:rsidR="008E5BBF">
        <w:t xml:space="preserve"> – a telek- és </w:t>
      </w:r>
      <w:r w:rsidRPr="00D6778F">
        <w:t>építményadó</w:t>
      </w:r>
      <w:r w:rsidR="008E5BBF">
        <w:t xml:space="preserve"> – igen. Emellett a jelenleg nem bevezetett kommunális adó az </w:t>
      </w:r>
      <w:proofErr w:type="spellStart"/>
      <w:r w:rsidR="008E5BBF">
        <w:t>energiahatékonyággal</w:t>
      </w:r>
      <w:proofErr w:type="spellEnd"/>
      <w:r w:rsidR="008E5BBF">
        <w:t xml:space="preserve"> kapcsolatba hozható.</w:t>
      </w:r>
    </w:p>
    <w:p w14:paraId="34D123B7" w14:textId="6D6E846E" w:rsidR="00D6778F" w:rsidRDefault="008E5BBF" w:rsidP="008E5BBF">
      <w:r>
        <w:t xml:space="preserve">A </w:t>
      </w:r>
      <w:proofErr w:type="spellStart"/>
      <w:r>
        <w:t>Hetv</w:t>
      </w:r>
      <w:proofErr w:type="spellEnd"/>
      <w:r>
        <w:t>. előírja, hogy a</w:t>
      </w:r>
      <w:r w:rsidR="00D6778F" w:rsidRPr="00BF6370">
        <w:t xml:space="preserve"> korrigált forgalmi érték alapú építményadóban a lakás, illetve az egyéb építmény esetén egy-egy, a korrigált forgalmi érték alapú telekadóban a lakáshoz tartozó telek, illetve az egyéb telek esetén egy-egy adómérték alkalmazható.</w:t>
      </w:r>
      <w:r w:rsidR="00D6778F">
        <w:t xml:space="preserve"> Erzsébetváros</w:t>
      </w:r>
      <w:r>
        <w:t xml:space="preserve"> a </w:t>
      </w:r>
      <w:r w:rsidR="00D6778F">
        <w:t>tételes érték alapú</w:t>
      </w:r>
      <w:r>
        <w:t xml:space="preserve"> adózást követi, amely mind épülettípusokra, mind épületenergetikai </w:t>
      </w:r>
      <w:r w:rsidR="00D6778F">
        <w:t>sávos rendszer bevezetés</w:t>
      </w:r>
      <w:r>
        <w:t>ére ad lehetőséget.</w:t>
      </w:r>
    </w:p>
    <w:p w14:paraId="5653EA83" w14:textId="30F98FBA" w:rsidR="00D6778F" w:rsidRDefault="008E5BBF" w:rsidP="008E5BBF">
      <w:r>
        <w:t>T</w:t>
      </w:r>
      <w:r w:rsidR="00D6778F" w:rsidRPr="00BF6370">
        <w:t xml:space="preserve">öbb budapesti kerület az építményadó fizetés alól tárgyi mentességet biztosít a magánszemély tulajdonában álló lakásra (lakóházra), </w:t>
      </w:r>
      <w:r>
        <w:t xml:space="preserve">amellyel </w:t>
      </w:r>
      <w:proofErr w:type="spellStart"/>
      <w:r>
        <w:t>egyidőben</w:t>
      </w:r>
      <w:proofErr w:type="spellEnd"/>
      <w:r>
        <w:t xml:space="preserve"> </w:t>
      </w:r>
      <w:r w:rsidR="00D6778F" w:rsidRPr="00BF6370">
        <w:t>ezeket az adótárgyakat a magánszemély kommunális adójának hatálya alá von</w:t>
      </w:r>
      <w:r>
        <w:t>ja</w:t>
      </w:r>
      <w:r w:rsidR="00D6778F" w:rsidRPr="00BF6370">
        <w:t>.</w:t>
      </w:r>
    </w:p>
    <w:p w14:paraId="3A844158" w14:textId="34FB76B1" w:rsidR="00D6778F" w:rsidRDefault="00D6778F" w:rsidP="00D6778F">
      <w:pPr>
        <w:rPr>
          <w:noProof/>
        </w:rPr>
      </w:pPr>
      <w:r>
        <w:t xml:space="preserve">Javasoljuk Budapest Önkormányzatával való egyeztetést. Budapest </w:t>
      </w:r>
      <w:r w:rsidRPr="009D2986">
        <w:t>a</w:t>
      </w:r>
      <w:r w:rsidRPr="009D2986">
        <w:rPr>
          <w:noProof/>
        </w:rPr>
        <w:t xml:space="preserve">z Európai Befektetési Bank (EIB) által már felállított és működő Budapest Urban Development </w:t>
      </w:r>
      <w:r>
        <w:rPr>
          <w:noProof/>
        </w:rPr>
        <w:t>keretre érvényes szerződéssel rendelkezik</w:t>
      </w:r>
      <w:r>
        <w:rPr>
          <w:rStyle w:val="Lbjegyzet-hivatkozs"/>
          <w:noProof/>
        </w:rPr>
        <w:footnoteReference w:id="1"/>
      </w:r>
      <w:r>
        <w:rPr>
          <w:noProof/>
        </w:rPr>
        <w:t>, amely keretbe az Alap bekapcsolható, különösen, ha a belső kerületek összefogásával valósul meg.</w:t>
      </w:r>
    </w:p>
    <w:p w14:paraId="5A53C5EB" w14:textId="77777777" w:rsidR="00572C6C" w:rsidRDefault="00572C6C" w:rsidP="00572C6C">
      <w:pPr>
        <w:pStyle w:val="Cmsor3"/>
      </w:pPr>
      <w:bookmarkStart w:id="28" w:name="_Toc133257996"/>
      <w:r>
        <w:lastRenderedPageBreak/>
        <w:t>Az Alap kezelője</w:t>
      </w:r>
      <w:bookmarkEnd w:id="28"/>
    </w:p>
    <w:p w14:paraId="7988EBE2" w14:textId="77777777" w:rsidR="002813E7" w:rsidRDefault="002813E7" w:rsidP="002813E7">
      <w:pPr>
        <w:rPr>
          <w:shd w:val="clear" w:color="auto" w:fill="FFFFFF"/>
        </w:rPr>
      </w:pPr>
      <w:r>
        <w:rPr>
          <w:shd w:val="clear" w:color="auto" w:fill="FFFFFF"/>
        </w:rPr>
        <w:t>Jelenleg egy szervezeti egység és egy gazdasági társaság áll az Alappal kapcsolatos feladatok látókörében.</w:t>
      </w:r>
    </w:p>
    <w:p w14:paraId="1FDC0B24" w14:textId="23903D07" w:rsidR="002813E7" w:rsidRDefault="002813E7" w:rsidP="00AB781D">
      <w:pPr>
        <w:pStyle w:val="Cmsor4"/>
        <w:rPr>
          <w:shd w:val="clear" w:color="auto" w:fill="FFFFFF"/>
        </w:rPr>
      </w:pPr>
      <w:r w:rsidRPr="002813E7">
        <w:rPr>
          <w:shd w:val="clear" w:color="auto" w:fill="FFFFFF"/>
        </w:rPr>
        <w:t>Főépítészi és Vagyongazdálkodási Irod</w:t>
      </w:r>
      <w:r>
        <w:rPr>
          <w:shd w:val="clear" w:color="auto" w:fill="FFFFFF"/>
        </w:rPr>
        <w:t>a</w:t>
      </w:r>
      <w:r w:rsidRPr="001626D6">
        <w:rPr>
          <w:shd w:val="clear" w:color="auto" w:fill="FFFFFF"/>
        </w:rPr>
        <w:t xml:space="preserve"> </w:t>
      </w:r>
    </w:p>
    <w:p w14:paraId="367A8C26" w14:textId="7E8DC56E" w:rsidR="002813E7" w:rsidRDefault="002813E7" w:rsidP="002813E7">
      <w:pPr>
        <w:rPr>
          <w:shd w:val="clear" w:color="auto" w:fill="FFFFFF"/>
        </w:rPr>
      </w:pPr>
      <w:r w:rsidRPr="001626D6">
        <w:rPr>
          <w:shd w:val="clear" w:color="auto" w:fill="FFFFFF"/>
        </w:rPr>
        <w:t xml:space="preserve">Budapest Főváros VII. kerület Erzsébetváros Önkormányzata Hivatalának </w:t>
      </w:r>
      <w:r w:rsidRPr="002813E7">
        <w:rPr>
          <w:b/>
          <w:bCs/>
          <w:shd w:val="clear" w:color="auto" w:fill="FFFFFF"/>
        </w:rPr>
        <w:t xml:space="preserve">Főépítészi és Vagyongazdálkodási Irodája </w:t>
      </w:r>
      <w:r w:rsidRPr="001626D6">
        <w:rPr>
          <w:shd w:val="clear" w:color="auto" w:fill="FFFFFF"/>
        </w:rPr>
        <w:t>végzi a társasházi pályázatokkal kapcsolatos feladatokat a kiírástól az</w:t>
      </w:r>
      <w:r>
        <w:rPr>
          <w:shd w:val="clear" w:color="auto" w:fill="FFFFFF"/>
        </w:rPr>
        <w:t xml:space="preserve"> elbíráláson keresztül a lebonyolításig, ellenőrzésig és elszámolásig. A vagyongazdálkodási feladatok és tulajdonosi jogok gyakorlása keretében általános és </w:t>
      </w:r>
      <w:proofErr w:type="spellStart"/>
      <w:r>
        <w:rPr>
          <w:shd w:val="clear" w:color="auto" w:fill="FFFFFF"/>
        </w:rPr>
        <w:t>döntéselőkészítés</w:t>
      </w:r>
      <w:proofErr w:type="spellEnd"/>
      <w:r>
        <w:rPr>
          <w:shd w:val="clear" w:color="auto" w:fill="FFFFFF"/>
        </w:rPr>
        <w:t xml:space="preserve"> a feladata, kapcsolatot tart a gazdasági társaságokkal, valamint a vagyongazdálkodási koncepció elkészítéséért és vagyon kataszter folyamatos vezetéséért felelős. Közreműködik a lakás- és helyiséggazdálkodással, elidegenítéssel kapcsolatos feladatokban.</w:t>
      </w:r>
    </w:p>
    <w:p w14:paraId="53879398" w14:textId="24A92D2B" w:rsidR="002813E7" w:rsidRPr="002813E7" w:rsidRDefault="002813E7" w:rsidP="00AB781D">
      <w:pPr>
        <w:pStyle w:val="Cmsor4"/>
        <w:rPr>
          <w:shd w:val="clear" w:color="auto" w:fill="FFFFFF"/>
        </w:rPr>
      </w:pPr>
      <w:r w:rsidRPr="002813E7">
        <w:rPr>
          <w:shd w:val="clear" w:color="auto" w:fill="FFFFFF"/>
        </w:rPr>
        <w:t xml:space="preserve">Erzsébetvárosi Ingatlangazdálkodási Nonprofit </w:t>
      </w:r>
      <w:proofErr w:type="spellStart"/>
      <w:r w:rsidRPr="002813E7">
        <w:rPr>
          <w:shd w:val="clear" w:color="auto" w:fill="FFFFFF"/>
        </w:rPr>
        <w:t>Zrt</w:t>
      </w:r>
      <w:proofErr w:type="spellEnd"/>
      <w:r w:rsidRPr="002813E7">
        <w:rPr>
          <w:shd w:val="clear" w:color="auto" w:fill="FFFFFF"/>
        </w:rPr>
        <w:t>. (EVIN)</w:t>
      </w:r>
    </w:p>
    <w:p w14:paraId="5ADCB53E" w14:textId="0981CC4E" w:rsidR="00572C6C" w:rsidRPr="006572FC" w:rsidRDefault="00572C6C" w:rsidP="00572C6C">
      <w:pPr>
        <w:rPr>
          <w:shd w:val="clear" w:color="auto" w:fill="FFFFFF"/>
        </w:rPr>
      </w:pPr>
      <w:r w:rsidRPr="000727EC">
        <w:rPr>
          <w:shd w:val="clear" w:color="auto" w:fill="FFFFFF"/>
        </w:rPr>
        <w:t>Budapest F</w:t>
      </w:r>
      <w:r w:rsidRPr="000727EC">
        <w:rPr>
          <w:rFonts w:ascii="Calibri" w:hAnsi="Calibri" w:cs="Calibri"/>
          <w:shd w:val="clear" w:color="auto" w:fill="FFFFFF"/>
        </w:rPr>
        <w:t>ő</w:t>
      </w:r>
      <w:r w:rsidRPr="000727EC">
        <w:rPr>
          <w:shd w:val="clear" w:color="auto" w:fill="FFFFFF"/>
        </w:rPr>
        <w:t>v</w:t>
      </w:r>
      <w:r w:rsidRPr="000727EC">
        <w:rPr>
          <w:rFonts w:cs="Nunito Sans"/>
          <w:shd w:val="clear" w:color="auto" w:fill="FFFFFF"/>
        </w:rPr>
        <w:t>á</w:t>
      </w:r>
      <w:r w:rsidRPr="000727EC">
        <w:rPr>
          <w:shd w:val="clear" w:color="auto" w:fill="FFFFFF"/>
        </w:rPr>
        <w:t>ros VII. ker</w:t>
      </w:r>
      <w:r w:rsidRPr="000727EC">
        <w:rPr>
          <w:rFonts w:cs="Nunito Sans"/>
          <w:shd w:val="clear" w:color="auto" w:fill="FFFFFF"/>
        </w:rPr>
        <w:t>ü</w:t>
      </w:r>
      <w:r w:rsidRPr="000727EC">
        <w:rPr>
          <w:shd w:val="clear" w:color="auto" w:fill="FFFFFF"/>
        </w:rPr>
        <w:t>let Erzs</w:t>
      </w:r>
      <w:r w:rsidRPr="000727EC">
        <w:rPr>
          <w:rFonts w:cs="Nunito Sans"/>
          <w:shd w:val="clear" w:color="auto" w:fill="FFFFFF"/>
        </w:rPr>
        <w:t>é</w:t>
      </w:r>
      <w:r w:rsidRPr="000727EC">
        <w:rPr>
          <w:shd w:val="clear" w:color="auto" w:fill="FFFFFF"/>
        </w:rPr>
        <w:t>betv</w:t>
      </w:r>
      <w:r w:rsidRPr="000727EC">
        <w:rPr>
          <w:rFonts w:cs="Nunito Sans"/>
          <w:shd w:val="clear" w:color="auto" w:fill="FFFFFF"/>
        </w:rPr>
        <w:t>á</w:t>
      </w:r>
      <w:r w:rsidRPr="000727EC">
        <w:rPr>
          <w:shd w:val="clear" w:color="auto" w:fill="FFFFFF"/>
        </w:rPr>
        <w:t>ros Önkormányzata a tulajdonában álló köztulajdonok kezelése céljából létrehozta az ERVA Erzsébetvárosi Önkormányzati Vagyonkezel</w:t>
      </w:r>
      <w:r w:rsidRPr="000727EC">
        <w:rPr>
          <w:rFonts w:ascii="Calibri" w:hAnsi="Calibri" w:cs="Calibri"/>
          <w:shd w:val="clear" w:color="auto" w:fill="FFFFFF"/>
        </w:rPr>
        <w:t>ő</w:t>
      </w:r>
      <w:r w:rsidRPr="000727EC">
        <w:rPr>
          <w:shd w:val="clear" w:color="auto" w:fill="FFFFFF"/>
        </w:rPr>
        <w:t xml:space="preserve"> Nonprofit </w:t>
      </w:r>
      <w:proofErr w:type="spellStart"/>
      <w:r w:rsidRPr="000727EC">
        <w:rPr>
          <w:shd w:val="clear" w:color="auto" w:fill="FFFFFF"/>
        </w:rPr>
        <w:t>Zrt.-t</w:t>
      </w:r>
      <w:proofErr w:type="spellEnd"/>
      <w:r w:rsidRPr="000727EC">
        <w:rPr>
          <w:shd w:val="clear" w:color="auto" w:fill="FFFFFF"/>
        </w:rPr>
        <w:t>.</w:t>
      </w:r>
      <w:r>
        <w:rPr>
          <w:shd w:val="clear" w:color="auto" w:fill="FFFFFF"/>
        </w:rPr>
        <w:t xml:space="preserve"> </w:t>
      </w:r>
      <w:r w:rsidRPr="000727EC">
        <w:rPr>
          <w:shd w:val="clear" w:color="auto" w:fill="FFFFFF"/>
        </w:rPr>
        <w:t xml:space="preserve">Az ERVA Nonprofit </w:t>
      </w:r>
      <w:proofErr w:type="spellStart"/>
      <w:r w:rsidRPr="000727EC">
        <w:rPr>
          <w:shd w:val="clear" w:color="auto" w:fill="FFFFFF"/>
        </w:rPr>
        <w:t>Zrt</w:t>
      </w:r>
      <w:proofErr w:type="spellEnd"/>
      <w:r w:rsidRPr="000727EC">
        <w:rPr>
          <w:shd w:val="clear" w:color="auto" w:fill="FFFFFF"/>
        </w:rPr>
        <w:t>. tevékenységi köre kiterjedt az Önkormányzat ingatlanvagyonával kapcsolatos feladatok elvégzésére, így kiterjedt a lakások és nem lakás céljára szolgáló helyiségek és egyéb forgalomképes ingatlanok hasznosítására, az önkormányzati tulajdonban álló piacok üzemeltetésére, az Önkormányzat egyéb ingatlanvagyonára kiterjedő fenntartására, üzemeltetésére, felújítására, közüzemi szolgáltatások bonyolítására, kéményekkel kapcsolatos kötelezések végrehajtására, valamint az önkormányzati értéknyilvántartás vezetésére.</w:t>
      </w:r>
      <w:r>
        <w:rPr>
          <w:shd w:val="clear" w:color="auto" w:fill="FFFFFF"/>
        </w:rPr>
        <w:t xml:space="preserve"> Emellett ellátta a </w:t>
      </w:r>
      <w:r w:rsidRPr="000727EC">
        <w:rPr>
          <w:shd w:val="clear" w:color="auto" w:fill="FFFFFF"/>
        </w:rPr>
        <w:t>közterületek településtisztasági feladatait</w:t>
      </w:r>
      <w:r>
        <w:t xml:space="preserve">, </w:t>
      </w:r>
      <w:r w:rsidRPr="006572FC">
        <w:rPr>
          <w:shd w:val="clear" w:color="auto" w:fill="FFFFFF"/>
        </w:rPr>
        <w:t>részt vett a helyi közfoglalkoztatás megszervezésében és biztosításában</w:t>
      </w:r>
      <w:r>
        <w:rPr>
          <w:shd w:val="clear" w:color="auto" w:fill="FFFFFF"/>
        </w:rPr>
        <w:t xml:space="preserve"> és </w:t>
      </w:r>
      <w:r w:rsidRPr="006572FC">
        <w:rPr>
          <w:shd w:val="clear" w:color="auto" w:fill="FFFFFF"/>
        </w:rPr>
        <w:t xml:space="preserve">önálló üzletágként társasház-kezelési tevékenységet </w:t>
      </w:r>
      <w:r>
        <w:rPr>
          <w:shd w:val="clear" w:color="auto" w:fill="FFFFFF"/>
        </w:rPr>
        <w:t xml:space="preserve">is </w:t>
      </w:r>
      <w:r w:rsidRPr="006572FC">
        <w:rPr>
          <w:shd w:val="clear" w:color="auto" w:fill="FFFFFF"/>
        </w:rPr>
        <w:t>végzett</w:t>
      </w:r>
      <w:r>
        <w:rPr>
          <w:shd w:val="clear" w:color="auto" w:fill="FFFFFF"/>
        </w:rPr>
        <w:t xml:space="preserve">. A </w:t>
      </w:r>
      <w:r w:rsidRPr="006572FC">
        <w:rPr>
          <w:shd w:val="clear" w:color="auto" w:fill="FFFFFF"/>
        </w:rPr>
        <w:t>megnövekedett tevékenységi kör és a szerteágazó irodai felépítés indokolttá tette</w:t>
      </w:r>
      <w:r>
        <w:rPr>
          <w:shd w:val="clear" w:color="auto" w:fill="FFFFFF"/>
        </w:rPr>
        <w:t xml:space="preserve">, hogy </w:t>
      </w:r>
      <w:r w:rsidRPr="006572FC">
        <w:rPr>
          <w:shd w:val="clear" w:color="auto" w:fill="FFFFFF"/>
        </w:rPr>
        <w:t xml:space="preserve">az ERVA Nonprofit </w:t>
      </w:r>
      <w:proofErr w:type="spellStart"/>
      <w:r w:rsidRPr="006572FC">
        <w:rPr>
          <w:shd w:val="clear" w:color="auto" w:fill="FFFFFF"/>
        </w:rPr>
        <w:t>Zrt</w:t>
      </w:r>
      <w:proofErr w:type="spellEnd"/>
      <w:r w:rsidRPr="006572FC">
        <w:rPr>
          <w:shd w:val="clear" w:color="auto" w:fill="FFFFFF"/>
        </w:rPr>
        <w:t xml:space="preserve">. struktúráját </w:t>
      </w:r>
      <w:r>
        <w:rPr>
          <w:shd w:val="clear" w:color="auto" w:fill="FFFFFF"/>
        </w:rPr>
        <w:t xml:space="preserve">az önkormányzat </w:t>
      </w:r>
      <w:r w:rsidRPr="006572FC">
        <w:rPr>
          <w:shd w:val="clear" w:color="auto" w:fill="FFFFFF"/>
        </w:rPr>
        <w:t>különböző gazdasági társaságokra bont</w:t>
      </w:r>
      <w:r>
        <w:rPr>
          <w:shd w:val="clear" w:color="auto" w:fill="FFFFFF"/>
        </w:rPr>
        <w:t>s</w:t>
      </w:r>
      <w:r w:rsidRPr="006572FC">
        <w:rPr>
          <w:shd w:val="clear" w:color="auto" w:fill="FFFFFF"/>
        </w:rPr>
        <w:t xml:space="preserve">a, racionalizálva ezzel a feladatellátást. </w:t>
      </w:r>
    </w:p>
    <w:p w14:paraId="6021E270" w14:textId="77777777" w:rsidR="00572C6C" w:rsidRDefault="00572C6C" w:rsidP="00572C6C">
      <w:pPr>
        <w:rPr>
          <w:shd w:val="clear" w:color="auto" w:fill="FFFFFF"/>
        </w:rPr>
      </w:pPr>
      <w:r w:rsidRPr="006572FC">
        <w:rPr>
          <w:shd w:val="clear" w:color="auto" w:fill="FFFFFF"/>
        </w:rPr>
        <w:t xml:space="preserve">A döntés értelmében megalakításra került </w:t>
      </w:r>
      <w:r w:rsidRPr="002813E7">
        <w:rPr>
          <w:b/>
          <w:bCs/>
          <w:shd w:val="clear" w:color="auto" w:fill="FFFFFF"/>
        </w:rPr>
        <w:t xml:space="preserve">az Erzsébetvárosi Ingatlangazdálkodási Nonprofit </w:t>
      </w:r>
      <w:proofErr w:type="spellStart"/>
      <w:r w:rsidRPr="002813E7">
        <w:rPr>
          <w:b/>
          <w:bCs/>
          <w:shd w:val="clear" w:color="auto" w:fill="FFFFFF"/>
        </w:rPr>
        <w:t>Zrt</w:t>
      </w:r>
      <w:proofErr w:type="spellEnd"/>
      <w:proofErr w:type="gramStart"/>
      <w:r w:rsidRPr="006572FC">
        <w:rPr>
          <w:shd w:val="clear" w:color="auto" w:fill="FFFFFF"/>
        </w:rPr>
        <w:t>.</w:t>
      </w:r>
      <w:r>
        <w:rPr>
          <w:shd w:val="clear" w:color="auto" w:fill="FFFFFF"/>
        </w:rPr>
        <w:t>,</w:t>
      </w:r>
      <w:proofErr w:type="gramEnd"/>
      <w:r>
        <w:rPr>
          <w:shd w:val="clear" w:color="auto" w:fill="FFFFFF"/>
        </w:rPr>
        <w:t xml:space="preserve"> </w:t>
      </w:r>
      <w:r w:rsidRPr="006572FC">
        <w:rPr>
          <w:shd w:val="clear" w:color="auto" w:fill="FFFFFF"/>
        </w:rPr>
        <w:t xml:space="preserve">amely csökkentett feladatkörrel racionalizáltan folytatja tovább az önkormányzati ingatlanvagyon körüli tevékenységeket. Az EVIN Nonprofit </w:t>
      </w:r>
      <w:proofErr w:type="spellStart"/>
      <w:r w:rsidRPr="006572FC">
        <w:rPr>
          <w:shd w:val="clear" w:color="auto" w:fill="FFFFFF"/>
        </w:rPr>
        <w:t>Zrt</w:t>
      </w:r>
      <w:proofErr w:type="spellEnd"/>
      <w:r w:rsidRPr="006572FC">
        <w:rPr>
          <w:shd w:val="clear" w:color="auto" w:fill="FFFFFF"/>
        </w:rPr>
        <w:t xml:space="preserve">. </w:t>
      </w:r>
      <w:r>
        <w:rPr>
          <w:shd w:val="clear" w:color="auto" w:fill="FFFFFF"/>
        </w:rPr>
        <w:t xml:space="preserve">(továbbiakban: EVIN) </w:t>
      </w:r>
      <w:r w:rsidRPr="006572FC">
        <w:rPr>
          <w:shd w:val="clear" w:color="auto" w:fill="FFFFFF"/>
        </w:rPr>
        <w:t>feladatkörében marad</w:t>
      </w:r>
      <w:r>
        <w:rPr>
          <w:shd w:val="clear" w:color="auto" w:fill="FFFFFF"/>
        </w:rPr>
        <w:t>t</w:t>
      </w:r>
      <w:r w:rsidRPr="006572FC">
        <w:rPr>
          <w:shd w:val="clear" w:color="auto" w:fill="FFFFFF"/>
        </w:rPr>
        <w:t xml:space="preserve"> a lakásgazdálkodási és helyiséggazdálkodási tevékenység, a vagyongazdálkodási és ügyfélszolgálati feladatok ellátása</w:t>
      </w:r>
      <w:r>
        <w:rPr>
          <w:shd w:val="clear" w:color="auto" w:fill="FFFFFF"/>
        </w:rPr>
        <w:t xml:space="preserve">, valamint </w:t>
      </w:r>
      <w:r w:rsidRPr="006572FC">
        <w:rPr>
          <w:shd w:val="clear" w:color="auto" w:fill="FFFFFF"/>
        </w:rPr>
        <w:t xml:space="preserve">az önkormányzati érték-nyilvántartási és általános ellenőrzési tevékenység. </w:t>
      </w:r>
      <w:r>
        <w:rPr>
          <w:shd w:val="clear" w:color="auto" w:fill="FFFFFF"/>
        </w:rPr>
        <w:t xml:space="preserve">A társaság továbbra is végez </w:t>
      </w:r>
      <w:r w:rsidRPr="006572FC">
        <w:rPr>
          <w:shd w:val="clear" w:color="auto" w:fill="FFFFFF"/>
        </w:rPr>
        <w:t>önálló üzletágként társasház-kezelési tevékenységet is</w:t>
      </w:r>
      <w:r>
        <w:rPr>
          <w:shd w:val="clear" w:color="auto" w:fill="FFFFFF"/>
        </w:rPr>
        <w:t>.</w:t>
      </w:r>
    </w:p>
    <w:p w14:paraId="0EF8D781" w14:textId="7E78275B" w:rsidR="00572C6C" w:rsidRDefault="00572C6C" w:rsidP="00572C6C">
      <w:pPr>
        <w:rPr>
          <w:shd w:val="clear" w:color="auto" w:fill="FFFFFF"/>
        </w:rPr>
      </w:pPr>
      <w:r>
        <w:rPr>
          <w:shd w:val="clear" w:color="auto" w:fill="FFFFFF"/>
        </w:rPr>
        <w:t xml:space="preserve">Az EVIN fő tevékenysége a 6832 Ingatlankezelés, további tevékenységi körei az ingatlanokhoz kapcsolódó kezelés, kivitelezés, kapcsolódó szolgáltatások. A társaság 100%-os tulajdonosa </w:t>
      </w:r>
      <w:r w:rsidRPr="000727EC">
        <w:rPr>
          <w:shd w:val="clear" w:color="auto" w:fill="FFFFFF"/>
        </w:rPr>
        <w:t>Budapest F</w:t>
      </w:r>
      <w:r w:rsidRPr="000727EC">
        <w:rPr>
          <w:rFonts w:ascii="Calibri" w:hAnsi="Calibri" w:cs="Calibri"/>
          <w:shd w:val="clear" w:color="auto" w:fill="FFFFFF"/>
        </w:rPr>
        <w:t>ő</w:t>
      </w:r>
      <w:r w:rsidRPr="000727EC">
        <w:rPr>
          <w:shd w:val="clear" w:color="auto" w:fill="FFFFFF"/>
        </w:rPr>
        <w:t>v</w:t>
      </w:r>
      <w:r w:rsidRPr="000727EC">
        <w:rPr>
          <w:rFonts w:cs="Nunito Sans"/>
          <w:shd w:val="clear" w:color="auto" w:fill="FFFFFF"/>
        </w:rPr>
        <w:t>á</w:t>
      </w:r>
      <w:r w:rsidRPr="000727EC">
        <w:rPr>
          <w:shd w:val="clear" w:color="auto" w:fill="FFFFFF"/>
        </w:rPr>
        <w:t>ros VII. ker</w:t>
      </w:r>
      <w:r w:rsidRPr="000727EC">
        <w:rPr>
          <w:rFonts w:cs="Nunito Sans"/>
          <w:shd w:val="clear" w:color="auto" w:fill="FFFFFF"/>
        </w:rPr>
        <w:t>ü</w:t>
      </w:r>
      <w:r w:rsidRPr="000727EC">
        <w:rPr>
          <w:shd w:val="clear" w:color="auto" w:fill="FFFFFF"/>
        </w:rPr>
        <w:t>let Erzs</w:t>
      </w:r>
      <w:r w:rsidRPr="000727EC">
        <w:rPr>
          <w:rFonts w:cs="Nunito Sans"/>
          <w:shd w:val="clear" w:color="auto" w:fill="FFFFFF"/>
        </w:rPr>
        <w:t>é</w:t>
      </w:r>
      <w:r w:rsidRPr="000727EC">
        <w:rPr>
          <w:shd w:val="clear" w:color="auto" w:fill="FFFFFF"/>
        </w:rPr>
        <w:t>betv</w:t>
      </w:r>
      <w:r w:rsidRPr="000727EC">
        <w:rPr>
          <w:rFonts w:cs="Nunito Sans"/>
          <w:shd w:val="clear" w:color="auto" w:fill="FFFFFF"/>
        </w:rPr>
        <w:t>á</w:t>
      </w:r>
      <w:r w:rsidRPr="000727EC">
        <w:rPr>
          <w:shd w:val="clear" w:color="auto" w:fill="FFFFFF"/>
        </w:rPr>
        <w:t>ros Önkormányzat</w:t>
      </w:r>
      <w:r>
        <w:rPr>
          <w:shd w:val="clear" w:color="auto" w:fill="FFFFFF"/>
        </w:rPr>
        <w:t>a.</w:t>
      </w:r>
      <w:r w:rsidRPr="000727EC">
        <w:rPr>
          <w:shd w:val="clear" w:color="auto" w:fill="FFFFFF"/>
        </w:rPr>
        <w:t xml:space="preserve"> </w:t>
      </w:r>
    </w:p>
    <w:p w14:paraId="628AC318" w14:textId="0A12645A" w:rsidR="002813E7" w:rsidRDefault="002813E7" w:rsidP="00572C6C">
      <w:pPr>
        <w:rPr>
          <w:shd w:val="clear" w:color="auto" w:fill="FFFFFF"/>
        </w:rPr>
      </w:pPr>
      <w:r>
        <w:rPr>
          <w:shd w:val="clear" w:color="auto" w:fill="FFFFFF"/>
        </w:rPr>
        <w:lastRenderedPageBreak/>
        <w:t xml:space="preserve">Míg a Vagyongazdálkodási Iroda az előkészítés, elszámolás és nyilvántartás területén, az EVIN a beruházások és </w:t>
      </w:r>
      <w:proofErr w:type="spellStart"/>
      <w:r>
        <w:rPr>
          <w:shd w:val="clear" w:color="auto" w:fill="FFFFFF"/>
        </w:rPr>
        <w:t>beruházáslebonyolításban</w:t>
      </w:r>
      <w:proofErr w:type="spellEnd"/>
      <w:r>
        <w:rPr>
          <w:shd w:val="clear" w:color="auto" w:fill="FFFFFF"/>
        </w:rPr>
        <w:t xml:space="preserve"> </w:t>
      </w:r>
      <w:r w:rsidR="00D40F55">
        <w:rPr>
          <w:shd w:val="clear" w:color="auto" w:fill="FFFFFF"/>
        </w:rPr>
        <w:t>tapasztalt.</w:t>
      </w:r>
    </w:p>
    <w:p w14:paraId="40819454" w14:textId="4D24538F" w:rsidR="002813E7" w:rsidRPr="00D40F55" w:rsidRDefault="002813E7" w:rsidP="00AB781D">
      <w:pPr>
        <w:pStyle w:val="Cmsor4"/>
      </w:pPr>
      <w:r w:rsidRPr="00D40F55">
        <w:t>Városfejlesztő Társaság</w:t>
      </w:r>
    </w:p>
    <w:p w14:paraId="46241F73" w14:textId="77777777" w:rsidR="002813E7" w:rsidRDefault="002813E7" w:rsidP="002813E7">
      <w:r>
        <w:t>Mind a nemzetközi mind a sikeres ferencvárosi minta mutatják, hogy a jól működő támogatási rendszerek a közszféra és magánszféra együttműködésében kerülnek megvalósításra.</w:t>
      </w:r>
    </w:p>
    <w:p w14:paraId="72D75CCF" w14:textId="77777777" w:rsidR="002813E7" w:rsidRPr="002F1B9F" w:rsidRDefault="002813E7" w:rsidP="002813E7">
      <w:r>
        <w:t xml:space="preserve">Megfontolásra javasoljuk – különösen, ha Budapest és a belső kerületi önkormányzatok közös célok mentén hasonló feladatokat tűznek ki célul – </w:t>
      </w:r>
      <w:r w:rsidRPr="009D2986">
        <w:t>a közösségi és magán források bevonásának intézményrendszerét és ennek keretében a</w:t>
      </w:r>
      <w:r>
        <w:t xml:space="preserve">z </w:t>
      </w:r>
      <w:r w:rsidRPr="009D2986">
        <w:t xml:space="preserve">épületenergetikai </w:t>
      </w:r>
      <w:proofErr w:type="spellStart"/>
      <w:r w:rsidRPr="009D2986">
        <w:t>épületfelújításokat</w:t>
      </w:r>
      <w:proofErr w:type="spellEnd"/>
      <w:r w:rsidRPr="009D2986">
        <w:t xml:space="preserve"> hatékonyan menedzselő projektszervezet kettős pilléré</w:t>
      </w:r>
      <w:r>
        <w:t xml:space="preserve">t, egy </w:t>
      </w:r>
      <w:r w:rsidRPr="00FB1CB7">
        <w:rPr>
          <w:b/>
          <w:bCs/>
        </w:rPr>
        <w:t xml:space="preserve">vegyes tulajdonú </w:t>
      </w:r>
      <w:r>
        <w:rPr>
          <w:b/>
          <w:bCs/>
        </w:rPr>
        <w:t xml:space="preserve">városfejlesztő </w:t>
      </w:r>
      <w:r w:rsidRPr="00FB1CB7">
        <w:rPr>
          <w:b/>
          <w:bCs/>
        </w:rPr>
        <w:t>társaság</w:t>
      </w:r>
      <w:r>
        <w:rPr>
          <w:b/>
          <w:bCs/>
        </w:rPr>
        <w:t xml:space="preserve"> (továbbiakban Városfejlesztő Társaság)</w:t>
      </w:r>
      <w:r>
        <w:t xml:space="preserve"> létrehozását, önkormányzati tulajdonhányadi </w:t>
      </w:r>
      <w:r w:rsidRPr="00780B87">
        <w:t>többség biztosításával</w:t>
      </w:r>
      <w:r>
        <w:t xml:space="preserve">. </w:t>
      </w:r>
      <w:r w:rsidRPr="00780B87">
        <w:t xml:space="preserve">A társaság célja és feladata, hogy úgy tudjon komplex </w:t>
      </w:r>
      <w:proofErr w:type="spellStart"/>
      <w:r>
        <w:t>épületfelújítási</w:t>
      </w:r>
      <w:proofErr w:type="spellEnd"/>
      <w:r>
        <w:t xml:space="preserve"> projekteket</w:t>
      </w:r>
      <w:r w:rsidRPr="00780B87">
        <w:t xml:space="preserve"> végrehajtani, hogy a fejlesztések közérdekeinek képviseletét biztosít</w:t>
      </w:r>
      <w:r>
        <w:t xml:space="preserve">ja, miközben </w:t>
      </w:r>
      <w:r w:rsidRPr="00780B87">
        <w:t xml:space="preserve">piaci gondolkodással a beruházások </w:t>
      </w:r>
      <w:r>
        <w:t xml:space="preserve">projekt menedzsmentjét és </w:t>
      </w:r>
      <w:r w:rsidRPr="00780B87">
        <w:t xml:space="preserve">gazdasági fenntarthatóságát </w:t>
      </w:r>
      <w:r>
        <w:t>megalapozza</w:t>
      </w:r>
      <w:r w:rsidRPr="00780B87">
        <w:t>.</w:t>
      </w:r>
    </w:p>
    <w:p w14:paraId="4B106FD4" w14:textId="77777777" w:rsidR="002813E7" w:rsidRPr="00FB1CB7" w:rsidRDefault="002813E7" w:rsidP="002813E7">
      <w:r>
        <w:t>Jelenleg a</w:t>
      </w:r>
      <w:r w:rsidRPr="00FB1CB7">
        <w:t xml:space="preserve"> fővárosi historikus területen működő városfejlesztő társaságok:</w:t>
      </w:r>
    </w:p>
    <w:p w14:paraId="509EF0F4" w14:textId="77777777" w:rsidR="002813E7" w:rsidRPr="00FB1CB7" w:rsidRDefault="002813E7">
      <w:pPr>
        <w:pStyle w:val="Listaszerbekezds"/>
        <w:numPr>
          <w:ilvl w:val="0"/>
          <w:numId w:val="3"/>
        </w:numPr>
      </w:pPr>
      <w:r w:rsidRPr="00FB1CB7">
        <w:t>Belváros-Lipótváros Városfejlesztő Kft.</w:t>
      </w:r>
      <w:r>
        <w:t xml:space="preserve"> (BLVF, </w:t>
      </w:r>
      <w:hyperlink r:id="rId15" w:history="1">
        <w:r w:rsidRPr="007E3EC0">
          <w:rPr>
            <w:rStyle w:val="Hiperhivatkozs"/>
          </w:rPr>
          <w:t>http://blvf.hu/</w:t>
        </w:r>
      </w:hyperlink>
      <w:r>
        <w:t xml:space="preserve">), Belváros-Lipótváros Önkormányzata 100%-os tulajdona, A Budapest Szíve Programot követően továbbra is városfejlesztő és </w:t>
      </w:r>
      <w:proofErr w:type="spellStart"/>
      <w:r>
        <w:t>városrehabilitációs</w:t>
      </w:r>
      <w:proofErr w:type="spellEnd"/>
      <w:r>
        <w:t xml:space="preserve"> társaságként működik.</w:t>
      </w:r>
    </w:p>
    <w:p w14:paraId="7C8EB1C7" w14:textId="77777777" w:rsidR="002813E7" w:rsidRPr="00FB1CB7" w:rsidRDefault="002813E7">
      <w:pPr>
        <w:pStyle w:val="Listaszerbekezds"/>
        <w:numPr>
          <w:ilvl w:val="0"/>
          <w:numId w:val="3"/>
        </w:numPr>
      </w:pPr>
      <w:r w:rsidRPr="00FB1CB7">
        <w:t xml:space="preserve">FEV IX. Ferencvárosi Vagyonkezelő és Városfejlesztő </w:t>
      </w:r>
      <w:proofErr w:type="spellStart"/>
      <w:r w:rsidRPr="00FB1CB7">
        <w:t>Zrt</w:t>
      </w:r>
      <w:proofErr w:type="spellEnd"/>
      <w:r w:rsidRPr="00FB1CB7">
        <w:t>.</w:t>
      </w:r>
      <w:r>
        <w:t xml:space="preserve"> (FEVIX, </w:t>
      </w:r>
      <w:hyperlink r:id="rId16" w:history="1">
        <w:r w:rsidRPr="007E3EC0">
          <w:rPr>
            <w:rStyle w:val="Hiperhivatkozs"/>
          </w:rPr>
          <w:t>http://fevix.hu/</w:t>
        </w:r>
      </w:hyperlink>
      <w:r>
        <w:t xml:space="preserve">), Ferencvárosi Önkormányzat 100%-os tulajdona, a </w:t>
      </w:r>
      <w:proofErr w:type="spellStart"/>
      <w:r>
        <w:t>városrehabilitáción</w:t>
      </w:r>
      <w:proofErr w:type="spellEnd"/>
      <w:r>
        <w:t xml:space="preserve"> túl </w:t>
      </w:r>
      <w:r w:rsidRPr="00FB1CB7">
        <w:t>számos egyéb tevékenységet (vagyonkezelés, parkolás, közterületek</w:t>
      </w:r>
      <w:r>
        <w:t xml:space="preserve"> fenntartása</w:t>
      </w:r>
      <w:r w:rsidRPr="00FB1CB7">
        <w:t xml:space="preserve"> stb.) </w:t>
      </w:r>
      <w:r>
        <w:t>is ellát.</w:t>
      </w:r>
    </w:p>
    <w:p w14:paraId="09472A24" w14:textId="77777777" w:rsidR="002813E7" w:rsidRPr="00FB1CB7" w:rsidRDefault="002813E7">
      <w:pPr>
        <w:pStyle w:val="Listaszerbekezds"/>
        <w:numPr>
          <w:ilvl w:val="0"/>
          <w:numId w:val="3"/>
        </w:numPr>
      </w:pPr>
      <w:r w:rsidRPr="00FB1CB7">
        <w:t xml:space="preserve">Rév8, Józsefvárosi Rehabilitációs és Városfejlesztési </w:t>
      </w:r>
      <w:proofErr w:type="spellStart"/>
      <w:r w:rsidRPr="00FB1CB7">
        <w:t>Zrt</w:t>
      </w:r>
      <w:proofErr w:type="spellEnd"/>
      <w:r w:rsidRPr="00FB1CB7">
        <w:t>.</w:t>
      </w:r>
      <w:r>
        <w:t xml:space="preserve"> (REV8, </w:t>
      </w:r>
      <w:hyperlink r:id="rId17" w:history="1">
        <w:r w:rsidRPr="007E3EC0">
          <w:rPr>
            <w:rStyle w:val="Hiperhivatkozs"/>
          </w:rPr>
          <w:t>http://rev8.hu/</w:t>
        </w:r>
      </w:hyperlink>
      <w:r>
        <w:t xml:space="preserve">), a </w:t>
      </w:r>
      <w:r w:rsidRPr="00D90310">
        <w:t>Józsefvárosi Önkormányzat 60%</w:t>
      </w:r>
      <w:r>
        <w:t>-os</w:t>
      </w:r>
      <w:r w:rsidRPr="00D90310">
        <w:t xml:space="preserve"> és a Fővárosi Önkormányzat 40%</w:t>
      </w:r>
      <w:r>
        <w:t>-os</w:t>
      </w:r>
      <w:r w:rsidRPr="00D90310">
        <w:t xml:space="preserve"> tulajdon</w:t>
      </w:r>
      <w:r>
        <w:t xml:space="preserve">a, továbbra is városfejlesztő és </w:t>
      </w:r>
      <w:proofErr w:type="spellStart"/>
      <w:r>
        <w:t>városrehabilitációs</w:t>
      </w:r>
      <w:proofErr w:type="spellEnd"/>
      <w:r>
        <w:t xml:space="preserve"> társaságként működik.</w:t>
      </w:r>
    </w:p>
    <w:p w14:paraId="0A284A86" w14:textId="77777777" w:rsidR="002813E7" w:rsidRDefault="002813E7" w:rsidP="002813E7">
      <w:r>
        <w:t xml:space="preserve">További </w:t>
      </w:r>
      <w:r w:rsidRPr="00FB1CB7">
        <w:t xml:space="preserve">városfejlesztő társaságokat, </w:t>
      </w:r>
      <w:r>
        <w:t xml:space="preserve">amelyek a </w:t>
      </w:r>
      <w:proofErr w:type="spellStart"/>
      <w:r w:rsidRPr="00FB1CB7">
        <w:t>városrehabilitációs</w:t>
      </w:r>
      <w:proofErr w:type="spellEnd"/>
      <w:r w:rsidRPr="00FB1CB7">
        <w:t xml:space="preserve"> projektek végrehajtására lettek felállítva</w:t>
      </w:r>
      <w:r>
        <w:t xml:space="preserve">, </w:t>
      </w:r>
      <w:r w:rsidRPr="00FB1CB7">
        <w:t>a projekt végezetével az önkormányzat megsz</w:t>
      </w:r>
      <w:r>
        <w:t>ü</w:t>
      </w:r>
      <w:r w:rsidRPr="00FB1CB7">
        <w:t>ntette</w:t>
      </w:r>
      <w:r>
        <w:t xml:space="preserve"> (</w:t>
      </w:r>
      <w:r w:rsidRPr="00FB1CB7">
        <w:t xml:space="preserve">Budapest Szíve </w:t>
      </w:r>
      <w:r>
        <w:t xml:space="preserve">Program fővárosi) vagy más gazdálkodó szervezetébe beolvasztotta. </w:t>
      </w:r>
    </w:p>
    <w:p w14:paraId="46BFA6EF" w14:textId="426C1423" w:rsidR="002813E7" w:rsidRDefault="002813E7" w:rsidP="002813E7">
      <w:proofErr w:type="gramStart"/>
      <w:r>
        <w:t>Rövid távon</w:t>
      </w:r>
      <w:proofErr w:type="gramEnd"/>
      <w:r>
        <w:t xml:space="preserve"> az önkormányzat a vagyongazdálkodási és üzemeltetéssel megbízott, az aktuális </w:t>
      </w:r>
      <w:r w:rsidR="00D40F55">
        <w:t xml:space="preserve">politikai és </w:t>
      </w:r>
      <w:r>
        <w:t xml:space="preserve">pénzügyi szempontok alapján működő </w:t>
      </w:r>
      <w:r w:rsidR="00D40F55">
        <w:t xml:space="preserve">Főépítészi és Vagyongazdálkodási Iroda és az </w:t>
      </w:r>
      <w:r>
        <w:t xml:space="preserve">EVIN el tudja látni, megfontolásra javasoljuk e Társaság létrehozását (vagy leválasztását) a közép és hosszú távú folyamatosság érdekében. </w:t>
      </w:r>
    </w:p>
    <w:p w14:paraId="18F4E4FC" w14:textId="36CB3A65" w:rsidR="002813E7" w:rsidRPr="00A038D5" w:rsidRDefault="002813E7" w:rsidP="002813E7">
      <w:r w:rsidRPr="00D40F55">
        <w:t>A Városfejlesztő Társaság önkormányzati, min. 51%-os tulajdon</w:t>
      </w:r>
      <w:r w:rsidR="00D40F55" w:rsidRPr="00D40F55">
        <w:t>a mellett a</w:t>
      </w:r>
      <w:r w:rsidRPr="00D40F55">
        <w:t xml:space="preserve"> gazdasági, </w:t>
      </w:r>
      <w:proofErr w:type="spellStart"/>
      <w:r w:rsidRPr="00D40F55">
        <w:t>max</w:t>
      </w:r>
      <w:proofErr w:type="spellEnd"/>
      <w:r w:rsidRPr="00D40F55">
        <w:t xml:space="preserve">. 49%-os részére a városmegújításban és </w:t>
      </w:r>
      <w:proofErr w:type="spellStart"/>
      <w:r w:rsidRPr="00D40F55">
        <w:t>energiahatékony</w:t>
      </w:r>
      <w:proofErr w:type="spellEnd"/>
      <w:r w:rsidRPr="00D40F55">
        <w:t xml:space="preserve"> </w:t>
      </w:r>
      <w:proofErr w:type="spellStart"/>
      <w:r w:rsidRPr="00D40F55">
        <w:t>épületfelújításban</w:t>
      </w:r>
      <w:proofErr w:type="spellEnd"/>
      <w:r w:rsidRPr="00D40F55">
        <w:t xml:space="preserve"> érdekelt piaci szereplőt javasolt bevonni (pl. bankok, biztosítótársaságok </w:t>
      </w:r>
      <w:proofErr w:type="spellStart"/>
      <w:r w:rsidRPr="00D40F55">
        <w:t>stb</w:t>
      </w:r>
      <w:proofErr w:type="spellEnd"/>
      <w:r w:rsidRPr="00D40F55">
        <w:t>). A pénzügyi</w:t>
      </w:r>
      <w:r>
        <w:t xml:space="preserve"> befektető</w:t>
      </w:r>
      <w:r w:rsidRPr="00A038D5">
        <w:t xml:space="preserve"> a projektben való érdekeltsége miatt alacsonyabb kamatot tud biztosítani, az önkormányzati irányítással lebonyolított projekt biztonságos pénzkihelyezést jelent, a városfejlesztési folyamat részeseként információk birtokában van, és a projekthez kapcsolódó nagy volumenű pénzkihelyezésre (vállalkozások, lakásvásárlók stb.) is lehetősége nyílik. </w:t>
      </w:r>
    </w:p>
    <w:p w14:paraId="060155AB" w14:textId="77777777" w:rsidR="002813E7" w:rsidRPr="00327352" w:rsidRDefault="002813E7" w:rsidP="002813E7">
      <w:r w:rsidRPr="00327352">
        <w:t>Az ingatlanok és vagyon nem kerül a fejlesztő társaság tulajdonába, hanem az eljárási és rendelkezési jogot kap. A fejlesztések pénzügyi terheit és hasznát a</w:t>
      </w:r>
      <w:r>
        <w:t>z önkormányzat</w:t>
      </w:r>
      <w:r w:rsidRPr="00327352">
        <w:t xml:space="preserve"> viseli, miközben a társaság a fejlesztési folyamatot kézben tudja tartani. A vegyes tulajdonú társaságban részt vevő befektetők a piaci megvalósíthatóságot képviselik. Az önkormányzat nem közvetlen utasítással, hanem a döntéseknél a </w:t>
      </w:r>
      <w:r>
        <w:t xml:space="preserve">Társaság </w:t>
      </w:r>
      <w:r w:rsidRPr="00327352">
        <w:t>többségi tulajdona révén biztosítj</w:t>
      </w:r>
      <w:r>
        <w:t>a</w:t>
      </w:r>
      <w:r w:rsidRPr="00327352">
        <w:t xml:space="preserve"> a </w:t>
      </w:r>
      <w:r>
        <w:t>kerületi érdekeket</w:t>
      </w:r>
      <w:r w:rsidRPr="00327352">
        <w:t>.</w:t>
      </w:r>
    </w:p>
    <w:p w14:paraId="7C40247C" w14:textId="6F1A487F" w:rsidR="002813E7" w:rsidRDefault="002813E7" w:rsidP="002813E7">
      <w:r w:rsidRPr="00327352">
        <w:lastRenderedPageBreak/>
        <w:t>A társaság a piaci cégekhez hasonló rugalmassággal tud dolgozni, átlátszó működést biztosít, és annak ellenére, hogy piaci viszonyok közt működik, nem profitmaximalizálás az elsődleges célja.</w:t>
      </w:r>
    </w:p>
    <w:p w14:paraId="5E5C2E50" w14:textId="015BBEBC" w:rsidR="00AB781D" w:rsidRPr="00AB781D" w:rsidRDefault="00AB781D" w:rsidP="002813E7">
      <w:pPr>
        <w:rPr>
          <w:b/>
          <w:bCs/>
        </w:rPr>
      </w:pPr>
      <w:r w:rsidRPr="00AB781D">
        <w:rPr>
          <w:b/>
          <w:bCs/>
        </w:rPr>
        <w:t xml:space="preserve">Az Alap felelősének kijelölése az Alap feladatainak meghatározásától függ. Önkormányzati hatáskör és pályáztatás esetén a Főépítészi és Vagyongazdálkodási Iroda, az önkormányzati tulajdonú ingatlanok felújításának hangsúlya esetén az EVIN, további támogatásokkal és beruházásokkal növelt feladatellátás esetén egy erre dedikált Városfejlesztő Társaság (akár </w:t>
      </w:r>
      <w:proofErr w:type="spellStart"/>
      <w:r w:rsidRPr="00AB781D">
        <w:rPr>
          <w:b/>
          <w:bCs/>
        </w:rPr>
        <w:t>EVIN-ből</w:t>
      </w:r>
      <w:proofErr w:type="spellEnd"/>
      <w:r w:rsidRPr="00AB781D">
        <w:rPr>
          <w:b/>
          <w:bCs/>
        </w:rPr>
        <w:t xml:space="preserve"> leválasztva) javasolható.</w:t>
      </w:r>
    </w:p>
    <w:p w14:paraId="58AB855D" w14:textId="5C3EC3AC" w:rsidR="009D2986" w:rsidRDefault="00572C6C" w:rsidP="00572C6C">
      <w:pPr>
        <w:pStyle w:val="Cmsor3"/>
      </w:pPr>
      <w:bookmarkStart w:id="29" w:name="_Toc133257997"/>
      <w:r>
        <w:t>Az Alap felhasználása</w:t>
      </w:r>
      <w:bookmarkEnd w:id="29"/>
      <w:r w:rsidR="009D2986" w:rsidRPr="00D139B5">
        <w:t xml:space="preserve"> </w:t>
      </w:r>
    </w:p>
    <w:p w14:paraId="472833BA" w14:textId="667CBF12" w:rsidR="009D2986" w:rsidRDefault="009D2986" w:rsidP="009D2986">
      <w:r>
        <w:t xml:space="preserve">Az Alap két egymástól független eljárásban kell, hogy felhasználásra kerüljön. </w:t>
      </w:r>
      <w:r w:rsidR="00572C6C">
        <w:t xml:space="preserve">Míg az önkormányzat 100%-os tulajdonában levő lakóépületek önkormányzati saját projektként működnek, a társasházi felújítások az Alap költségvetési forrásoktól való függőség idejéig éves, majd annak stabil forgótőke rendszerré </w:t>
      </w:r>
      <w:r w:rsidR="00BF633F">
        <w:t>válás</w:t>
      </w:r>
      <w:r w:rsidR="00572C6C">
        <w:t>át követően folyamatos pályáztatás során kerülnek kiválasztásra.</w:t>
      </w:r>
    </w:p>
    <w:p w14:paraId="1B7E25E0" w14:textId="3C36130D" w:rsidR="009D2986" w:rsidRDefault="00572C6C" w:rsidP="009D2986">
      <w:r>
        <w:t>Mindkét esetben az alábbi szempontokat javasoljuk a folyamatba beépíteni</w:t>
      </w:r>
      <w:r w:rsidR="00ED461E">
        <w:t>.</w:t>
      </w:r>
    </w:p>
    <w:p w14:paraId="0283548C" w14:textId="77777777" w:rsidR="00ED461E" w:rsidRPr="00ED461E" w:rsidRDefault="00ED461E" w:rsidP="00ED461E">
      <w:pPr>
        <w:rPr>
          <w:b/>
          <w:bCs/>
        </w:rPr>
      </w:pPr>
      <w:r w:rsidRPr="00ED461E">
        <w:rPr>
          <w:b/>
          <w:bCs/>
        </w:rPr>
        <w:t>Előkészítés</w:t>
      </w:r>
    </w:p>
    <w:p w14:paraId="615C91B0" w14:textId="11EC66E6" w:rsidR="00572C6C" w:rsidRDefault="00572C6C">
      <w:pPr>
        <w:pStyle w:val="Listaszerbekezds"/>
        <w:numPr>
          <w:ilvl w:val="0"/>
          <w:numId w:val="9"/>
        </w:numPr>
      </w:pPr>
      <w:r>
        <w:t>A helyszíni felmérés és előzetes értékelés, valamint a felújítás előtti energiafelhasználási profil és energiafogyasztás mérése</w:t>
      </w:r>
    </w:p>
    <w:p w14:paraId="35344997" w14:textId="7466C352" w:rsidR="00ED461E" w:rsidRDefault="00ED461E">
      <w:pPr>
        <w:pStyle w:val="Listaszerbekezds"/>
        <w:numPr>
          <w:ilvl w:val="0"/>
          <w:numId w:val="9"/>
        </w:numPr>
      </w:pPr>
      <w:r>
        <w:t>Az energiahatékonyságot növelő intézkedések azonosítása, opciók értékelése</w:t>
      </w:r>
    </w:p>
    <w:p w14:paraId="25601A79" w14:textId="6A148551" w:rsidR="00ED461E" w:rsidRDefault="00ED461E">
      <w:pPr>
        <w:pStyle w:val="Listaszerbekezds"/>
        <w:numPr>
          <w:ilvl w:val="0"/>
          <w:numId w:val="9"/>
        </w:numPr>
      </w:pPr>
      <w:r>
        <w:t>A lehetséges megtakarítások mértéke a jelenlegi energiafogyasztási értékhez viszonyítva</w:t>
      </w:r>
    </w:p>
    <w:p w14:paraId="5293B8BF" w14:textId="304B72AE" w:rsidR="00ED461E" w:rsidRDefault="00ED461E">
      <w:pPr>
        <w:pStyle w:val="Listaszerbekezds"/>
        <w:numPr>
          <w:ilvl w:val="0"/>
          <w:numId w:val="9"/>
        </w:numPr>
      </w:pPr>
      <w:r>
        <w:t>Energiatanúsítvány, energetikai audit</w:t>
      </w:r>
    </w:p>
    <w:p w14:paraId="3E4A00ED" w14:textId="544CA336" w:rsidR="00ED461E" w:rsidRPr="00ED461E" w:rsidRDefault="00ED461E" w:rsidP="00ED461E">
      <w:pPr>
        <w:rPr>
          <w:b/>
          <w:bCs/>
        </w:rPr>
      </w:pPr>
      <w:r w:rsidRPr="00ED461E">
        <w:rPr>
          <w:b/>
          <w:bCs/>
        </w:rPr>
        <w:t>Megtakarítások garanciavállalása</w:t>
      </w:r>
    </w:p>
    <w:p w14:paraId="1EDBA9AF" w14:textId="539D505A" w:rsidR="00ED461E" w:rsidRDefault="00ED461E" w:rsidP="00ED461E">
      <w:r>
        <w:t xml:space="preserve">A forgó alap egyik kritikus pontja, hogy a beruházási költségek a megtakarításokból vagy a bérleti díjakból visszaforgatásra kerüljenek. </w:t>
      </w:r>
      <w:r w:rsidRPr="00D566CE">
        <w:rPr>
          <w:b/>
          <w:bCs/>
        </w:rPr>
        <w:t xml:space="preserve">Míg a 100% önkormányzati épületeknél a bérleti díj emelése lehetséges megoldás, a társasházaknál a kamatmentes kölcsön visszafizetési ütemezése </w:t>
      </w:r>
      <w:r w:rsidR="00D566CE">
        <w:rPr>
          <w:b/>
          <w:bCs/>
        </w:rPr>
        <w:t>az elsődlegesen javasolt megoldás</w:t>
      </w:r>
      <w:r w:rsidRPr="00D566CE">
        <w:rPr>
          <w:b/>
          <w:bCs/>
        </w:rPr>
        <w:t>.</w:t>
      </w:r>
    </w:p>
    <w:p w14:paraId="4D97FD7B" w14:textId="77777777" w:rsidR="00CD2A00" w:rsidRDefault="00ED461E" w:rsidP="00ED461E">
      <w:r>
        <w:t xml:space="preserve">Sajnálatosan </w:t>
      </w:r>
      <w:r w:rsidR="00CD2A00">
        <w:t>az energiaszolgáltató elválik az ingatlan tulajdonjogától, így a felújítás előtti és utáni energiaköltségek különbözete Magyarországon sok bizonytalanságot eredményez.</w:t>
      </w:r>
    </w:p>
    <w:p w14:paraId="3CBCAAA7" w14:textId="0D01D395" w:rsidR="00CD2A00" w:rsidRDefault="00CD2A00" w:rsidP="00D566CE">
      <w:r>
        <w:t xml:space="preserve">Ennek ellenére a kölcsön alternatívájának egy </w:t>
      </w:r>
      <w:r w:rsidRPr="00CD2A00">
        <w:t xml:space="preserve">energiahatékonyságra vonatkozó szerződés </w:t>
      </w:r>
      <w:r>
        <w:t xml:space="preserve">(EPC, </w:t>
      </w:r>
      <w:proofErr w:type="spellStart"/>
      <w:r>
        <w:t>energy</w:t>
      </w:r>
      <w:proofErr w:type="spellEnd"/>
      <w:r>
        <w:t xml:space="preserve"> performance </w:t>
      </w:r>
      <w:proofErr w:type="spellStart"/>
      <w:r>
        <w:t>contract</w:t>
      </w:r>
      <w:proofErr w:type="spellEnd"/>
      <w:r>
        <w:t>) részleteit érdemes kidolgozni,</w:t>
      </w:r>
      <w:r w:rsidRPr="00CD2A00">
        <w:t xml:space="preserve"> </w:t>
      </w:r>
      <w:r>
        <w:t xml:space="preserve">ahol az </w:t>
      </w:r>
      <w:proofErr w:type="gramStart"/>
      <w:r>
        <w:t>önkormányzat</w:t>
      </w:r>
      <w:proofErr w:type="gramEnd"/>
      <w:r>
        <w:t xml:space="preserve"> mint </w:t>
      </w:r>
      <w:r w:rsidRPr="00CD2A00">
        <w:t>energiahatékonysági szolgáltató</w:t>
      </w:r>
      <w:r>
        <w:t xml:space="preserve"> és a társasház mint ügyfél közötti </w:t>
      </w:r>
      <w:proofErr w:type="spellStart"/>
      <w:r>
        <w:t>szeződéses</w:t>
      </w:r>
      <w:proofErr w:type="spellEnd"/>
      <w:r>
        <w:t xml:space="preserve"> kapcsolatban valósul meg a komplex </w:t>
      </w:r>
      <w:proofErr w:type="spellStart"/>
      <w:r>
        <w:t>épületfelújítás</w:t>
      </w:r>
      <w:proofErr w:type="spellEnd"/>
      <w:r>
        <w:t xml:space="preserve">. </w:t>
      </w:r>
      <w:r w:rsidR="00D566CE">
        <w:t xml:space="preserve">Az önkormányzat a befektetett pénzösszeget (teljes projektfinanszírozás) a szerződéssel elért </w:t>
      </w:r>
      <w:proofErr w:type="spellStart"/>
      <w:r w:rsidR="00D566CE">
        <w:t>energiamegtakarítások</w:t>
      </w:r>
      <w:proofErr w:type="spellEnd"/>
      <w:r w:rsidR="00D566CE">
        <w:t xml:space="preserve"> révén kapja vissza. A befektetés megtérülésen felüli nyereséget az önkormányzat és a társasház osztja szét a szerződésben előre meghatározott arány alapján. A szolgáltatásért és a megtakarításokért járó díjazást meg kell határozni a szerződésben. Az ügyfél, azaz a társasház havi rendszerességgel fizet fix összeget az üzemeltetési időszak kezdetétől a szerződéses időszak végéig. A teljes futamidőre vonatkozó terv vagy éves szintű jelentés alapján kerül meghatározásra a havonta fizetendő fix összeget. A szerződésben meghatározásra kerül, hogy a garantált érték elérésének elmaradása esetén a szolgáltató miként kárpótolja az ügyfelet.</w:t>
      </w:r>
    </w:p>
    <w:p w14:paraId="2B85F418" w14:textId="6E28A2B2" w:rsidR="00ED461E" w:rsidRDefault="00D566CE" w:rsidP="00572C6C">
      <w:r>
        <w:t>Az ellenőrzés</w:t>
      </w:r>
      <w:r w:rsidR="00C77D34">
        <w:t xml:space="preserve">hez </w:t>
      </w:r>
      <w:r w:rsidR="00C77D34" w:rsidRPr="00C77D34">
        <w:t>harmadik fél</w:t>
      </w:r>
      <w:r w:rsidR="00C77D34">
        <w:t xml:space="preserve">t - </w:t>
      </w:r>
      <w:r w:rsidR="00C77D34" w:rsidRPr="00C77D34">
        <w:t xml:space="preserve">független tanácsadók, energetikai szolgáltató vállalatok vagy más piaci szereplők </w:t>
      </w:r>
      <w:r w:rsidR="00C77D34">
        <w:t>- kell bevonni. Hazai tanácsadók egyre nagyobb tudással rendelkeznek ezeken a te</w:t>
      </w:r>
      <w:r w:rsidR="00EE4CEE">
        <w:t>r</w:t>
      </w:r>
      <w:r w:rsidR="00C77D34">
        <w:t xml:space="preserve">ületeken. Az ellenőrzések átláthatósága növelhető nemzetközi teljesítménymérési és ellenőrzési </w:t>
      </w:r>
      <w:r w:rsidR="00C77D34">
        <w:lastRenderedPageBreak/>
        <w:t xml:space="preserve">protokoll használatával. A </w:t>
      </w:r>
      <w:r w:rsidR="00EE4CEE">
        <w:t xml:space="preserve">Magyar Energetikai és </w:t>
      </w:r>
      <w:proofErr w:type="spellStart"/>
      <w:r w:rsidR="00EE4CEE">
        <w:t>Közműszabályozási</w:t>
      </w:r>
      <w:proofErr w:type="spellEnd"/>
      <w:r w:rsidR="00EE4CEE">
        <w:t xml:space="preserve"> Hivatal (</w:t>
      </w:r>
      <w:r w:rsidR="00C77D34">
        <w:t>MEKH</w:t>
      </w:r>
      <w:r w:rsidR="00EE4CEE">
        <w:t>)</w:t>
      </w:r>
      <w:r w:rsidR="00C77D34">
        <w:t xml:space="preserve"> által javasolt IPMVP – International Performance </w:t>
      </w:r>
      <w:proofErr w:type="spellStart"/>
      <w:r w:rsidR="00C77D34">
        <w:t>Measurement</w:t>
      </w:r>
      <w:proofErr w:type="spellEnd"/>
      <w:r w:rsidR="00C77D34">
        <w:t xml:space="preserve"> and </w:t>
      </w:r>
      <w:proofErr w:type="spellStart"/>
      <w:r w:rsidR="00C77D34">
        <w:t>Verification</w:t>
      </w:r>
      <w:proofErr w:type="spellEnd"/>
      <w:r w:rsidR="00C77D34">
        <w:t xml:space="preserve"> </w:t>
      </w:r>
      <w:proofErr w:type="spellStart"/>
      <w:r w:rsidR="00C77D34">
        <w:t>Protocol</w:t>
      </w:r>
      <w:proofErr w:type="spellEnd"/>
      <w:r w:rsidR="00C77D34">
        <w:t xml:space="preserve"> (</w:t>
      </w:r>
      <w:hyperlink r:id="rId18" w:history="1">
        <w:r w:rsidR="00C77D34" w:rsidRPr="007E3EC0">
          <w:rPr>
            <w:rStyle w:val="Hiperhivatkozs"/>
          </w:rPr>
          <w:t>https://evo-world.org/en/products-services-mainmenu-en/protocols/ipmvp</w:t>
        </w:r>
      </w:hyperlink>
      <w:r w:rsidR="00C77D34">
        <w:t>) általános alapelveket tartalmaz, amelyek széleskörűen elfogadottak. Az IPMVP nem határoz meg konkrét eljárást, hiszen minden eset egyedi, a konkrét eljárást a szerződés mellékletét képező tervben kell rögzíteni.</w:t>
      </w:r>
      <w:r w:rsidR="00EE4CEE">
        <w:t xml:space="preserve"> A szerződés előkészítésébe a </w:t>
      </w:r>
      <w:proofErr w:type="spellStart"/>
      <w:r w:rsidR="00EE4CEE">
        <w:t>MEKH-et</w:t>
      </w:r>
      <w:proofErr w:type="spellEnd"/>
      <w:r w:rsidR="00EE4CEE">
        <w:t xml:space="preserve"> érdemes bevonni (</w:t>
      </w:r>
      <w:hyperlink r:id="rId19" w:history="1">
        <w:r w:rsidR="00EE4CEE" w:rsidRPr="007E3EC0">
          <w:rPr>
            <w:rStyle w:val="Hiperhivatkozs"/>
          </w:rPr>
          <w:t>https://www.enhat.mekh.hu/esco</w:t>
        </w:r>
      </w:hyperlink>
      <w:r w:rsidR="00EE4CEE">
        <w:t xml:space="preserve">). </w:t>
      </w:r>
    </w:p>
    <w:p w14:paraId="7D24AB75" w14:textId="2AE3C83B" w:rsidR="00ED461E" w:rsidRPr="0026278E" w:rsidRDefault="0026278E" w:rsidP="00572C6C">
      <w:pPr>
        <w:rPr>
          <w:b/>
          <w:bCs/>
        </w:rPr>
      </w:pPr>
      <w:r w:rsidRPr="0026278E">
        <w:rPr>
          <w:b/>
          <w:bCs/>
        </w:rPr>
        <w:t>Támogatásra javasolt projektek</w:t>
      </w:r>
    </w:p>
    <w:p w14:paraId="7F853FB8" w14:textId="4F6C0BC4" w:rsidR="0026278E" w:rsidRPr="00E311B1" w:rsidRDefault="0026278E" w:rsidP="00572C6C">
      <w:r>
        <w:t xml:space="preserve">Az energiahatékonysági megtakarítások eléréséhez javasoljuk első körben a teljes komplex </w:t>
      </w:r>
      <w:proofErr w:type="spellStart"/>
      <w:r>
        <w:t>hőtechnikai</w:t>
      </w:r>
      <w:proofErr w:type="spellEnd"/>
      <w:r>
        <w:t xml:space="preserve"> (épületburok, nyílászáró csere, tető és pincefödém szigetelés) és megújuló energiára való gépészeti felújítást (hőszivattyú, napelem) tervező társasházakat előnyben részesíteni.</w:t>
      </w:r>
    </w:p>
    <w:p w14:paraId="7E48CF97" w14:textId="22281FDF" w:rsidR="009D2986" w:rsidRDefault="009D2986" w:rsidP="009D2986">
      <w:pPr>
        <w:pStyle w:val="Cmsor2"/>
      </w:pPr>
      <w:bookmarkStart w:id="30" w:name="_Toc133257998"/>
      <w:r w:rsidRPr="00D139B5">
        <w:t xml:space="preserve">Az </w:t>
      </w:r>
      <w:r w:rsidR="00BF633F">
        <w:t>A</w:t>
      </w:r>
      <w:r w:rsidRPr="00D139B5">
        <w:t>lap működésének pénzügyi modellezése</w:t>
      </w:r>
      <w:bookmarkEnd w:id="30"/>
      <w:r w:rsidRPr="00D139B5">
        <w:t xml:space="preserve"> </w:t>
      </w:r>
    </w:p>
    <w:p w14:paraId="191DBE32" w14:textId="77777777" w:rsidR="009D2986" w:rsidRDefault="009D2986" w:rsidP="009D2986">
      <w:pPr>
        <w:pStyle w:val="Cmsor3"/>
      </w:pPr>
      <w:bookmarkStart w:id="31" w:name="_Toc133257999"/>
      <w:r>
        <w:t>29 épület energetikai számítás</w:t>
      </w:r>
      <w:bookmarkEnd w:id="31"/>
    </w:p>
    <w:p w14:paraId="64C54DAE" w14:textId="05AAB02A" w:rsidR="009D2986" w:rsidRPr="00CF77A7" w:rsidRDefault="009D2986" w:rsidP="009D2986">
      <w:r>
        <w:t>Az energetikai számítások az önkormányzat 100%-os tulajdonában levő 29 épületre, valamint két konkrét épületre megtörtént.</w:t>
      </w:r>
    </w:p>
    <w:p w14:paraId="00420BE5" w14:textId="77777777" w:rsidR="009D2986" w:rsidRDefault="009D2986" w:rsidP="009D2986">
      <w:pPr>
        <w:pStyle w:val="Cmsor3"/>
      </w:pPr>
      <w:bookmarkStart w:id="32" w:name="_Toc133258000"/>
      <w:r>
        <w:t>Teljes kerültre vonatkozó energetikai becslés</w:t>
      </w:r>
      <w:bookmarkEnd w:id="32"/>
    </w:p>
    <w:p w14:paraId="00CEF117" w14:textId="77777777" w:rsidR="009D2986" w:rsidRDefault="009D2986" w:rsidP="009D2986">
      <w:r w:rsidRPr="00785F72">
        <w:t>Az energetikai számítások kivetítése a kerület lakóépületeire</w:t>
      </w:r>
      <w:r>
        <w:t xml:space="preserve"> az alábbi szempontok és feltételek mentén történt:</w:t>
      </w:r>
    </w:p>
    <w:p w14:paraId="1E03A8DF" w14:textId="77777777" w:rsidR="009D2986" w:rsidRDefault="009D2986">
      <w:pPr>
        <w:pStyle w:val="Listaszerbekezds"/>
        <w:numPr>
          <w:ilvl w:val="0"/>
          <w:numId w:val="3"/>
        </w:numPr>
      </w:pPr>
      <w:r>
        <w:t>A lakóingatlanok állományát a Belügyminisztérium lakcímnyilvántartása és a Földhivatal nyilvántartása alapján határoztuk meg. A jelentős változással érintett területeken eltérések lehetnek, amelyeket jelen munka becsléséhez megfelelőnek ítéltünk. A jövőben a pontosítás és az épületállomány adatok karbantartását javasoljuk folyamatossá tenni.</w:t>
      </w:r>
    </w:p>
    <w:p w14:paraId="0D7226A1" w14:textId="77777777" w:rsidR="009D2986" w:rsidRDefault="009D2986">
      <w:pPr>
        <w:pStyle w:val="Listaszerbekezds"/>
        <w:numPr>
          <w:ilvl w:val="0"/>
          <w:numId w:val="3"/>
        </w:numPr>
      </w:pPr>
      <w:r>
        <w:t xml:space="preserve">A lakóépületek épületkerületeit és lehűlő felületeit a </w:t>
      </w:r>
      <w:r w:rsidRPr="00785F72">
        <w:t>Budapest Főváros Önkormányzata</w:t>
      </w:r>
      <w:r>
        <w:t xml:space="preserve"> </w:t>
      </w:r>
      <w:r w:rsidRPr="00785F72">
        <w:t xml:space="preserve">térinformatikai Budapest </w:t>
      </w:r>
      <w:proofErr w:type="spellStart"/>
      <w:r w:rsidRPr="00785F72">
        <w:t>Szolár-Térkép</w:t>
      </w:r>
      <w:r>
        <w:t>e</w:t>
      </w:r>
      <w:proofErr w:type="spellEnd"/>
      <w:r>
        <w:t xml:space="preserve"> (</w:t>
      </w:r>
      <w:hyperlink r:id="rId20" w:history="1">
        <w:r w:rsidRPr="007E3EC0">
          <w:rPr>
            <w:rStyle w:val="Hiperhivatkozs"/>
          </w:rPr>
          <w:t>https://nappalhajtva.budapest.hu/</w:t>
        </w:r>
      </w:hyperlink>
      <w:r>
        <w:t xml:space="preserve">) alapján számítottuk. E térkép alapja a Földhivatali alaptérkép </w:t>
      </w:r>
      <w:r w:rsidRPr="00785F72">
        <w:t>2021-es</w:t>
      </w:r>
      <w:r>
        <w:t xml:space="preserve"> épület állománya, a hiányos adatoknál az </w:t>
      </w:r>
      <w:proofErr w:type="spellStart"/>
      <w:r>
        <w:t>OpenStreetMap</w:t>
      </w:r>
      <w:proofErr w:type="spellEnd"/>
      <w:r>
        <w:t xml:space="preserve"> alkalmazásból származó kiegészítéssel. A homlokzatokat, a hátsó falakat és a tetőfelületet tekintettük lehűlő felületeknek (a szomszédos épületekkel határos falakat nem).</w:t>
      </w:r>
    </w:p>
    <w:p w14:paraId="6F409C58" w14:textId="77777777" w:rsidR="009D2986" w:rsidRDefault="009D2986">
      <w:pPr>
        <w:pStyle w:val="Listaszerbekezds"/>
        <w:numPr>
          <w:ilvl w:val="0"/>
          <w:numId w:val="3"/>
        </w:numPr>
      </w:pPr>
      <w:r>
        <w:t>A lakóépületek szintszámára és lakásszámára két forrás állt rendelkezésre: egyrészt a Kerületi Építési Szabályzat épület- és párkánymagassági értékelése, másrészt az önkormányzat személyes bejáráson alapuló felmérése. Az adatok értékelésénél az utóbbi mellett döntöttünk, amely a tetőtéri beépítésekre vonatkozóan adott többlet információt. Későbbi pontosítás során a két adatforrás adatait javasoljuk összevetni és a pontosítást elvégezni.</w:t>
      </w:r>
    </w:p>
    <w:p w14:paraId="1CBABC1B" w14:textId="77777777" w:rsidR="009D2986" w:rsidRDefault="009D2986">
      <w:pPr>
        <w:pStyle w:val="Listaszerbekezds"/>
        <w:numPr>
          <w:ilvl w:val="0"/>
          <w:numId w:val="3"/>
        </w:numPr>
      </w:pPr>
      <w:r>
        <w:t>A fűtött terület és fűtött térfogat két feltételezés került számításra. A szintmagasságot 4 méter átlagos magasságúnak vettük egységesen. A nettó szintterületre nem állt rendelkezésre információ, így azt a külső bruttó szintterület 80%-ával számoltuk.</w:t>
      </w:r>
    </w:p>
    <w:p w14:paraId="42CF0D15" w14:textId="77777777" w:rsidR="009D2986" w:rsidRDefault="009D2986">
      <w:pPr>
        <w:pStyle w:val="Listaszerbekezds"/>
        <w:numPr>
          <w:ilvl w:val="0"/>
          <w:numId w:val="3"/>
        </w:numPr>
      </w:pPr>
      <w:r>
        <w:t xml:space="preserve">A Lechner Tudásközpont adatbázisából lekérdezhető 2016 és 2022 közti Energetikai Tanúsítványok betűjelét hozzárendeltük az épületekhez. A 2016 előttieket, annak eltérő jogszabályi előírása miatt nem használtuk. Amennyiben több tanúsítás is rendelkezésre állt egy épület esetén, a betűjeleket sorba rendezve a középsőt tekintettük az épületre jellemző </w:t>
      </w:r>
      <w:r>
        <w:lastRenderedPageBreak/>
        <w:t>besorolásnak. A kerület energetikai besorolásai az alábbiak szerint oszlik meg:</w:t>
      </w:r>
      <w:r>
        <w:br/>
      </w:r>
      <w:r>
        <w:rPr>
          <w:noProof/>
        </w:rPr>
        <w:drawing>
          <wp:inline distT="0" distB="0" distL="0" distR="0" wp14:anchorId="3E5E5EF5" wp14:editId="17FD6618">
            <wp:extent cx="4202091" cy="2524836"/>
            <wp:effectExtent l="0" t="0" r="8255" b="8890"/>
            <wp:docPr id="4" name="Kép 4" descr="A képen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A képen diagram látható&#10;&#10;Automatikusan generált leírá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26383" cy="2539432"/>
                    </a:xfrm>
                    <a:prstGeom prst="rect">
                      <a:avLst/>
                    </a:prstGeom>
                    <a:noFill/>
                  </pic:spPr>
                </pic:pic>
              </a:graphicData>
            </a:graphic>
          </wp:inline>
        </w:drawing>
      </w:r>
    </w:p>
    <w:p w14:paraId="1C35BE17" w14:textId="4B684897" w:rsidR="009D2986" w:rsidRDefault="009D2986" w:rsidP="00334AA4">
      <w:pPr>
        <w:pStyle w:val="Listaszerbekezds"/>
        <w:numPr>
          <w:ilvl w:val="0"/>
          <w:numId w:val="3"/>
        </w:numPr>
      </w:pPr>
      <w:r w:rsidRPr="006E3063">
        <w:t>Az energetikai tanúsítás betűjel</w:t>
      </w:r>
      <w:r>
        <w:t xml:space="preserve">e </w:t>
      </w:r>
      <w:r w:rsidR="00334AA4">
        <w:t>a költségoptimalizált</w:t>
      </w:r>
      <w:r>
        <w:t xml:space="preserve"> követelményértékhez viszonyított </w:t>
      </w:r>
      <w:proofErr w:type="spellStart"/>
      <w:r>
        <w:t>primér</w:t>
      </w:r>
      <w:proofErr w:type="spellEnd"/>
      <w:r>
        <w:t xml:space="preserve"> energiafogyasztási </w:t>
      </w:r>
      <w:r w:rsidR="00334AA4">
        <w:t xml:space="preserve">százalékos viszonyított </w:t>
      </w:r>
      <w:r>
        <w:t xml:space="preserve">sávot jelent. A </w:t>
      </w:r>
      <w:r w:rsidRPr="006E3063">
        <w:t>követelményérték</w:t>
      </w:r>
      <w:r>
        <w:t xml:space="preserve"> sávok alsó határával számoltunk, tekintettel a tanúsítási gyakorlatra.</w:t>
      </w:r>
    </w:p>
    <w:p w14:paraId="54CA3B91" w14:textId="77777777" w:rsidR="009D2986" w:rsidRDefault="009D2986">
      <w:pPr>
        <w:pStyle w:val="Listaszerbekezds"/>
        <w:numPr>
          <w:ilvl w:val="0"/>
          <w:numId w:val="3"/>
        </w:numPr>
      </w:pPr>
      <w:r>
        <w:t>Az épület geometriai jellemzői alapján kiszámítottuk a követelményértéket. Az épületeknél nem tekintettünk hűtési igényt, szellőzés igényt, a HMV felhasználást 60kWh/m2/év értékre becsültük. Mindezen feltételezésekkel számítottuk ki az épületek jelenlegi hőigényét.</w:t>
      </w:r>
    </w:p>
    <w:p w14:paraId="6D5C00E4" w14:textId="77777777" w:rsidR="009D2986" w:rsidRDefault="009D2986" w:rsidP="009D2986">
      <w:r>
        <w:t xml:space="preserve">A </w:t>
      </w:r>
      <w:proofErr w:type="spellStart"/>
      <w:r>
        <w:t>hőtechnikai</w:t>
      </w:r>
      <w:proofErr w:type="spellEnd"/>
      <w:r>
        <w:t xml:space="preserve"> felújításnál az alábbi megtakarítási lehetőségeket alkalmaztuk:</w:t>
      </w:r>
    </w:p>
    <w:tbl>
      <w:tblPr>
        <w:tblStyle w:val="Tblzatrcsos5stt6jellszn"/>
        <w:tblW w:w="0" w:type="auto"/>
        <w:jc w:val="center"/>
        <w:tblLook w:val="04A0" w:firstRow="1" w:lastRow="0" w:firstColumn="1" w:lastColumn="0" w:noHBand="0" w:noVBand="1"/>
      </w:tblPr>
      <w:tblGrid>
        <w:gridCol w:w="472"/>
        <w:gridCol w:w="2405"/>
        <w:gridCol w:w="2440"/>
      </w:tblGrid>
      <w:tr w:rsidR="009D2986" w:rsidRPr="002B5894" w14:paraId="06A92150" w14:textId="77777777" w:rsidTr="00E66302">
        <w:trPr>
          <w:cnfStyle w:val="100000000000" w:firstRow="1" w:lastRow="0" w:firstColumn="0" w:lastColumn="0" w:oddVBand="0" w:evenVBand="0" w:oddHBand="0"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D9B1526" w14:textId="77777777" w:rsidR="009D2986" w:rsidRPr="00CF77A7" w:rsidRDefault="009D2986" w:rsidP="00E66302">
            <w:pPr>
              <w:pStyle w:val="tablazat"/>
            </w:pPr>
          </w:p>
        </w:tc>
        <w:tc>
          <w:tcPr>
            <w:tcW w:w="0" w:type="auto"/>
            <w:noWrap/>
            <w:hideMark/>
          </w:tcPr>
          <w:p w14:paraId="4187496B" w14:textId="77777777" w:rsidR="009D2986" w:rsidRPr="00CF77A7" w:rsidRDefault="009D2986" w:rsidP="00E66302">
            <w:pPr>
              <w:pStyle w:val="tablazat"/>
              <w:cnfStyle w:val="100000000000" w:firstRow="1" w:lastRow="0" w:firstColumn="0" w:lastColumn="0" w:oddVBand="0" w:evenVBand="0" w:oddHBand="0" w:evenHBand="0" w:firstRowFirstColumn="0" w:firstRowLastColumn="0" w:lastRowFirstColumn="0" w:lastRowLastColumn="0"/>
            </w:pPr>
            <w:r w:rsidRPr="00CF77A7">
              <w:t>követelményérték százaléka</w:t>
            </w:r>
          </w:p>
        </w:tc>
        <w:tc>
          <w:tcPr>
            <w:tcW w:w="0" w:type="auto"/>
            <w:noWrap/>
            <w:hideMark/>
          </w:tcPr>
          <w:p w14:paraId="7E185606" w14:textId="77777777" w:rsidR="009D2986" w:rsidRPr="00CF77A7" w:rsidRDefault="009D2986" w:rsidP="00E66302">
            <w:pPr>
              <w:pStyle w:val="tablazat"/>
              <w:cnfStyle w:val="100000000000" w:firstRow="1" w:lastRow="0" w:firstColumn="0" w:lastColumn="0" w:oddVBand="0" w:evenVBand="0" w:oddHBand="0" w:evenHBand="0" w:firstRowFirstColumn="0" w:firstRowLastColumn="0" w:lastRowFirstColumn="0" w:lastRowLastColumn="0"/>
            </w:pPr>
            <w:proofErr w:type="spellStart"/>
            <w:r w:rsidRPr="00CF77A7">
              <w:t>energiamegtakarítás</w:t>
            </w:r>
            <w:proofErr w:type="spellEnd"/>
            <w:r w:rsidRPr="00CF77A7">
              <w:t xml:space="preserve"> (Q-ban)</w:t>
            </w:r>
          </w:p>
        </w:tc>
      </w:tr>
      <w:tr w:rsidR="009D2986" w:rsidRPr="002B5894" w14:paraId="022492FD" w14:textId="77777777" w:rsidTr="00E66302">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16FBABA" w14:textId="77777777" w:rsidR="009D2986" w:rsidRPr="00CF77A7" w:rsidRDefault="009D2986" w:rsidP="00E66302">
            <w:pPr>
              <w:pStyle w:val="tablazat"/>
            </w:pPr>
            <w:r w:rsidRPr="00CF77A7">
              <w:t>CC</w:t>
            </w:r>
          </w:p>
        </w:tc>
        <w:tc>
          <w:tcPr>
            <w:tcW w:w="0" w:type="auto"/>
            <w:noWrap/>
            <w:hideMark/>
          </w:tcPr>
          <w:p w14:paraId="565B420B" w14:textId="77777777" w:rsidR="009D2986" w:rsidRPr="00CF77A7" w:rsidRDefault="009D2986" w:rsidP="00E66302">
            <w:pPr>
              <w:pStyle w:val="tablazat"/>
              <w:cnfStyle w:val="000000100000" w:firstRow="0" w:lastRow="0" w:firstColumn="0" w:lastColumn="0" w:oddVBand="0" w:evenVBand="0" w:oddHBand="1" w:evenHBand="0" w:firstRowFirstColumn="0" w:firstRowLastColumn="0" w:lastRowFirstColumn="0" w:lastRowLastColumn="0"/>
            </w:pPr>
            <w:r w:rsidRPr="00CF77A7">
              <w:t>130%</w:t>
            </w:r>
          </w:p>
        </w:tc>
        <w:tc>
          <w:tcPr>
            <w:tcW w:w="0" w:type="auto"/>
            <w:noWrap/>
            <w:hideMark/>
          </w:tcPr>
          <w:p w14:paraId="06017CFC" w14:textId="77777777" w:rsidR="009D2986" w:rsidRPr="00CF77A7" w:rsidRDefault="009D2986" w:rsidP="00E66302">
            <w:pPr>
              <w:pStyle w:val="tablazat"/>
              <w:cnfStyle w:val="000000100000" w:firstRow="0" w:lastRow="0" w:firstColumn="0" w:lastColumn="0" w:oddVBand="0" w:evenVBand="0" w:oddHBand="1" w:evenHBand="0" w:firstRowFirstColumn="0" w:firstRowLastColumn="0" w:lastRowFirstColumn="0" w:lastRowLastColumn="0"/>
            </w:pPr>
            <w:r w:rsidRPr="00CF77A7">
              <w:t>0.3</w:t>
            </w:r>
          </w:p>
        </w:tc>
      </w:tr>
      <w:tr w:rsidR="009D2986" w:rsidRPr="002B5894" w14:paraId="0BE05A7E" w14:textId="77777777" w:rsidTr="00E66302">
        <w:trPr>
          <w:trHeight w:val="29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027934E" w14:textId="77777777" w:rsidR="009D2986" w:rsidRPr="00CF77A7" w:rsidRDefault="009D2986" w:rsidP="00E66302">
            <w:pPr>
              <w:pStyle w:val="tablazat"/>
            </w:pPr>
            <w:r w:rsidRPr="00CF77A7">
              <w:t>DD</w:t>
            </w:r>
          </w:p>
        </w:tc>
        <w:tc>
          <w:tcPr>
            <w:tcW w:w="0" w:type="auto"/>
            <w:noWrap/>
            <w:hideMark/>
          </w:tcPr>
          <w:p w14:paraId="194AF54D" w14:textId="77777777" w:rsidR="009D2986" w:rsidRPr="00CF77A7" w:rsidRDefault="009D2986" w:rsidP="00E66302">
            <w:pPr>
              <w:pStyle w:val="tablazat"/>
              <w:cnfStyle w:val="000000000000" w:firstRow="0" w:lastRow="0" w:firstColumn="0" w:lastColumn="0" w:oddVBand="0" w:evenVBand="0" w:oddHBand="0" w:evenHBand="0" w:firstRowFirstColumn="0" w:firstRowLastColumn="0" w:lastRowFirstColumn="0" w:lastRowLastColumn="0"/>
            </w:pPr>
            <w:r w:rsidRPr="00CF77A7">
              <w:t>160%</w:t>
            </w:r>
          </w:p>
        </w:tc>
        <w:tc>
          <w:tcPr>
            <w:tcW w:w="0" w:type="auto"/>
            <w:noWrap/>
            <w:hideMark/>
          </w:tcPr>
          <w:p w14:paraId="6BB14CE8" w14:textId="77777777" w:rsidR="009D2986" w:rsidRPr="00CF77A7" w:rsidRDefault="009D2986" w:rsidP="00E66302">
            <w:pPr>
              <w:pStyle w:val="tablazat"/>
              <w:cnfStyle w:val="000000000000" w:firstRow="0" w:lastRow="0" w:firstColumn="0" w:lastColumn="0" w:oddVBand="0" w:evenVBand="0" w:oddHBand="0" w:evenHBand="0" w:firstRowFirstColumn="0" w:firstRowLastColumn="0" w:lastRowFirstColumn="0" w:lastRowLastColumn="0"/>
            </w:pPr>
            <w:r w:rsidRPr="00CF77A7">
              <w:t>0.4</w:t>
            </w:r>
          </w:p>
        </w:tc>
      </w:tr>
      <w:tr w:rsidR="009D2986" w:rsidRPr="002B5894" w14:paraId="77DDFA9D" w14:textId="77777777" w:rsidTr="00E66302">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8FC5124" w14:textId="77777777" w:rsidR="009D2986" w:rsidRPr="00CF77A7" w:rsidRDefault="009D2986" w:rsidP="00E66302">
            <w:pPr>
              <w:pStyle w:val="tablazat"/>
            </w:pPr>
            <w:r w:rsidRPr="00CF77A7">
              <w:t>EE</w:t>
            </w:r>
          </w:p>
        </w:tc>
        <w:tc>
          <w:tcPr>
            <w:tcW w:w="0" w:type="auto"/>
            <w:noWrap/>
            <w:hideMark/>
          </w:tcPr>
          <w:p w14:paraId="42C1A2DA" w14:textId="77777777" w:rsidR="009D2986" w:rsidRPr="00CF77A7" w:rsidRDefault="009D2986" w:rsidP="00E66302">
            <w:pPr>
              <w:pStyle w:val="tablazat"/>
              <w:cnfStyle w:val="000000100000" w:firstRow="0" w:lastRow="0" w:firstColumn="0" w:lastColumn="0" w:oddVBand="0" w:evenVBand="0" w:oddHBand="1" w:evenHBand="0" w:firstRowFirstColumn="0" w:firstRowLastColumn="0" w:lastRowFirstColumn="0" w:lastRowLastColumn="0"/>
            </w:pPr>
            <w:r w:rsidRPr="00CF77A7">
              <w:t>200%</w:t>
            </w:r>
          </w:p>
        </w:tc>
        <w:tc>
          <w:tcPr>
            <w:tcW w:w="0" w:type="auto"/>
            <w:noWrap/>
            <w:hideMark/>
          </w:tcPr>
          <w:p w14:paraId="199157B2" w14:textId="77777777" w:rsidR="009D2986" w:rsidRPr="00CF77A7" w:rsidRDefault="009D2986" w:rsidP="00E66302">
            <w:pPr>
              <w:pStyle w:val="tablazat"/>
              <w:cnfStyle w:val="000000100000" w:firstRow="0" w:lastRow="0" w:firstColumn="0" w:lastColumn="0" w:oddVBand="0" w:evenVBand="0" w:oddHBand="1" w:evenHBand="0" w:firstRowFirstColumn="0" w:firstRowLastColumn="0" w:lastRowFirstColumn="0" w:lastRowLastColumn="0"/>
            </w:pPr>
            <w:r w:rsidRPr="00CF77A7">
              <w:t>0.4</w:t>
            </w:r>
          </w:p>
        </w:tc>
      </w:tr>
      <w:tr w:rsidR="009D2986" w:rsidRPr="002B5894" w14:paraId="62FA5965" w14:textId="77777777" w:rsidTr="00E66302">
        <w:trPr>
          <w:trHeight w:val="29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9E446A8" w14:textId="77777777" w:rsidR="009D2986" w:rsidRPr="00CF77A7" w:rsidRDefault="009D2986" w:rsidP="00E66302">
            <w:pPr>
              <w:pStyle w:val="tablazat"/>
            </w:pPr>
            <w:r w:rsidRPr="00CF77A7">
              <w:t>FF</w:t>
            </w:r>
          </w:p>
        </w:tc>
        <w:tc>
          <w:tcPr>
            <w:tcW w:w="0" w:type="auto"/>
            <w:noWrap/>
            <w:hideMark/>
          </w:tcPr>
          <w:p w14:paraId="65776AFA" w14:textId="77777777" w:rsidR="009D2986" w:rsidRPr="00CF77A7" w:rsidRDefault="009D2986" w:rsidP="00E66302">
            <w:pPr>
              <w:pStyle w:val="tablazat"/>
              <w:cnfStyle w:val="000000000000" w:firstRow="0" w:lastRow="0" w:firstColumn="0" w:lastColumn="0" w:oddVBand="0" w:evenVBand="0" w:oddHBand="0" w:evenHBand="0" w:firstRowFirstColumn="0" w:firstRowLastColumn="0" w:lastRowFirstColumn="0" w:lastRowLastColumn="0"/>
            </w:pPr>
            <w:r w:rsidRPr="00CF77A7">
              <w:t>250%</w:t>
            </w:r>
          </w:p>
        </w:tc>
        <w:tc>
          <w:tcPr>
            <w:tcW w:w="0" w:type="auto"/>
            <w:noWrap/>
            <w:hideMark/>
          </w:tcPr>
          <w:p w14:paraId="314FF1C1" w14:textId="77777777" w:rsidR="009D2986" w:rsidRPr="00CF77A7" w:rsidRDefault="009D2986" w:rsidP="00E66302">
            <w:pPr>
              <w:pStyle w:val="tablazat"/>
              <w:cnfStyle w:val="000000000000" w:firstRow="0" w:lastRow="0" w:firstColumn="0" w:lastColumn="0" w:oddVBand="0" w:evenVBand="0" w:oddHBand="0" w:evenHBand="0" w:firstRowFirstColumn="0" w:firstRowLastColumn="0" w:lastRowFirstColumn="0" w:lastRowLastColumn="0"/>
            </w:pPr>
            <w:r w:rsidRPr="00CF77A7">
              <w:t>0.5</w:t>
            </w:r>
          </w:p>
        </w:tc>
      </w:tr>
      <w:tr w:rsidR="009D2986" w:rsidRPr="002B5894" w14:paraId="189A8DA3" w14:textId="77777777" w:rsidTr="00E66302">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9446131" w14:textId="77777777" w:rsidR="009D2986" w:rsidRPr="00CF77A7" w:rsidRDefault="009D2986" w:rsidP="00E66302">
            <w:pPr>
              <w:pStyle w:val="tablazat"/>
            </w:pPr>
            <w:r w:rsidRPr="00CF77A7">
              <w:t>GG</w:t>
            </w:r>
          </w:p>
        </w:tc>
        <w:tc>
          <w:tcPr>
            <w:tcW w:w="0" w:type="auto"/>
            <w:noWrap/>
            <w:hideMark/>
          </w:tcPr>
          <w:p w14:paraId="0F51650D" w14:textId="77777777" w:rsidR="009D2986" w:rsidRPr="00CF77A7" w:rsidRDefault="009D2986" w:rsidP="00E66302">
            <w:pPr>
              <w:pStyle w:val="tablazat"/>
              <w:cnfStyle w:val="000000100000" w:firstRow="0" w:lastRow="0" w:firstColumn="0" w:lastColumn="0" w:oddVBand="0" w:evenVBand="0" w:oddHBand="1" w:evenHBand="0" w:firstRowFirstColumn="0" w:firstRowLastColumn="0" w:lastRowFirstColumn="0" w:lastRowLastColumn="0"/>
            </w:pPr>
            <w:r w:rsidRPr="00CF77A7">
              <w:t>310%</w:t>
            </w:r>
          </w:p>
        </w:tc>
        <w:tc>
          <w:tcPr>
            <w:tcW w:w="0" w:type="auto"/>
            <w:noWrap/>
            <w:hideMark/>
          </w:tcPr>
          <w:p w14:paraId="409E6BCE" w14:textId="77777777" w:rsidR="009D2986" w:rsidRPr="00CF77A7" w:rsidRDefault="009D2986" w:rsidP="00E66302">
            <w:pPr>
              <w:pStyle w:val="tablazat"/>
              <w:cnfStyle w:val="000000100000" w:firstRow="0" w:lastRow="0" w:firstColumn="0" w:lastColumn="0" w:oddVBand="0" w:evenVBand="0" w:oddHBand="1" w:evenHBand="0" w:firstRowFirstColumn="0" w:firstRowLastColumn="0" w:lastRowFirstColumn="0" w:lastRowLastColumn="0"/>
            </w:pPr>
            <w:r w:rsidRPr="00CF77A7">
              <w:t>0.6</w:t>
            </w:r>
          </w:p>
        </w:tc>
      </w:tr>
      <w:tr w:rsidR="009D2986" w:rsidRPr="002B5894" w14:paraId="7582E25C" w14:textId="77777777" w:rsidTr="00E66302">
        <w:trPr>
          <w:trHeight w:val="29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C386AD9" w14:textId="77777777" w:rsidR="009D2986" w:rsidRPr="00CF77A7" w:rsidRDefault="009D2986" w:rsidP="00E66302">
            <w:pPr>
              <w:pStyle w:val="tablazat"/>
            </w:pPr>
            <w:r w:rsidRPr="00CF77A7">
              <w:t>HH</w:t>
            </w:r>
          </w:p>
        </w:tc>
        <w:tc>
          <w:tcPr>
            <w:tcW w:w="0" w:type="auto"/>
            <w:noWrap/>
            <w:hideMark/>
          </w:tcPr>
          <w:p w14:paraId="1B67EF5C" w14:textId="77777777" w:rsidR="009D2986" w:rsidRPr="00CF77A7" w:rsidRDefault="009D2986" w:rsidP="00E66302">
            <w:pPr>
              <w:pStyle w:val="tablazat"/>
              <w:cnfStyle w:val="000000000000" w:firstRow="0" w:lastRow="0" w:firstColumn="0" w:lastColumn="0" w:oddVBand="0" w:evenVBand="0" w:oddHBand="0" w:evenHBand="0" w:firstRowFirstColumn="0" w:firstRowLastColumn="0" w:lastRowFirstColumn="0" w:lastRowLastColumn="0"/>
            </w:pPr>
            <w:r w:rsidRPr="00CF77A7">
              <w:t>400%</w:t>
            </w:r>
          </w:p>
        </w:tc>
        <w:tc>
          <w:tcPr>
            <w:tcW w:w="0" w:type="auto"/>
            <w:noWrap/>
            <w:hideMark/>
          </w:tcPr>
          <w:p w14:paraId="7D565EE1" w14:textId="77777777" w:rsidR="009D2986" w:rsidRPr="00CF77A7" w:rsidRDefault="009D2986" w:rsidP="00E66302">
            <w:pPr>
              <w:pStyle w:val="tablazat"/>
              <w:cnfStyle w:val="000000000000" w:firstRow="0" w:lastRow="0" w:firstColumn="0" w:lastColumn="0" w:oddVBand="0" w:evenVBand="0" w:oddHBand="0" w:evenHBand="0" w:firstRowFirstColumn="0" w:firstRowLastColumn="0" w:lastRowFirstColumn="0" w:lastRowLastColumn="0"/>
            </w:pPr>
            <w:r w:rsidRPr="00CF77A7">
              <w:t>0.6</w:t>
            </w:r>
          </w:p>
        </w:tc>
      </w:tr>
      <w:tr w:rsidR="009D2986" w:rsidRPr="002B5894" w14:paraId="020824AC" w14:textId="77777777" w:rsidTr="00E66302">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932D0BE" w14:textId="77777777" w:rsidR="009D2986" w:rsidRPr="00CF77A7" w:rsidRDefault="009D2986" w:rsidP="00E66302">
            <w:pPr>
              <w:pStyle w:val="tablazat"/>
            </w:pPr>
            <w:r w:rsidRPr="00CF77A7">
              <w:t>II</w:t>
            </w:r>
          </w:p>
        </w:tc>
        <w:tc>
          <w:tcPr>
            <w:tcW w:w="0" w:type="auto"/>
            <w:noWrap/>
            <w:hideMark/>
          </w:tcPr>
          <w:p w14:paraId="6D7EE376" w14:textId="77777777" w:rsidR="009D2986" w:rsidRPr="00CF77A7" w:rsidRDefault="009D2986" w:rsidP="00E66302">
            <w:pPr>
              <w:pStyle w:val="tablazat"/>
              <w:cnfStyle w:val="000000100000" w:firstRow="0" w:lastRow="0" w:firstColumn="0" w:lastColumn="0" w:oddVBand="0" w:evenVBand="0" w:oddHBand="1" w:evenHBand="0" w:firstRowFirstColumn="0" w:firstRowLastColumn="0" w:lastRowFirstColumn="0" w:lastRowLastColumn="0"/>
            </w:pPr>
            <w:r w:rsidRPr="00CF77A7">
              <w:t>500%</w:t>
            </w:r>
          </w:p>
        </w:tc>
        <w:tc>
          <w:tcPr>
            <w:tcW w:w="0" w:type="auto"/>
            <w:noWrap/>
            <w:hideMark/>
          </w:tcPr>
          <w:p w14:paraId="37E908EC" w14:textId="77777777" w:rsidR="009D2986" w:rsidRPr="00CF77A7" w:rsidRDefault="009D2986" w:rsidP="00E66302">
            <w:pPr>
              <w:pStyle w:val="tablazat"/>
              <w:cnfStyle w:val="000000100000" w:firstRow="0" w:lastRow="0" w:firstColumn="0" w:lastColumn="0" w:oddVBand="0" w:evenVBand="0" w:oddHBand="1" w:evenHBand="0" w:firstRowFirstColumn="0" w:firstRowLastColumn="0" w:lastRowFirstColumn="0" w:lastRowLastColumn="0"/>
            </w:pPr>
            <w:r w:rsidRPr="00CF77A7">
              <w:t>0.6</w:t>
            </w:r>
          </w:p>
        </w:tc>
      </w:tr>
      <w:tr w:rsidR="009D2986" w:rsidRPr="002B5894" w14:paraId="57B5E819" w14:textId="77777777" w:rsidTr="00E66302">
        <w:trPr>
          <w:trHeight w:val="29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D739349" w14:textId="77777777" w:rsidR="009D2986" w:rsidRPr="00CF77A7" w:rsidRDefault="009D2986" w:rsidP="00E66302">
            <w:pPr>
              <w:pStyle w:val="tablazat"/>
            </w:pPr>
            <w:r w:rsidRPr="00CF77A7">
              <w:t>JJ</w:t>
            </w:r>
          </w:p>
        </w:tc>
        <w:tc>
          <w:tcPr>
            <w:tcW w:w="0" w:type="auto"/>
            <w:noWrap/>
            <w:hideMark/>
          </w:tcPr>
          <w:p w14:paraId="25E5FEDC" w14:textId="77777777" w:rsidR="009D2986" w:rsidRPr="00CF77A7" w:rsidRDefault="009D2986" w:rsidP="00E66302">
            <w:pPr>
              <w:pStyle w:val="tablazat"/>
              <w:cnfStyle w:val="000000000000" w:firstRow="0" w:lastRow="0" w:firstColumn="0" w:lastColumn="0" w:oddVBand="0" w:evenVBand="0" w:oddHBand="0" w:evenHBand="0" w:firstRowFirstColumn="0" w:firstRowLastColumn="0" w:lastRowFirstColumn="0" w:lastRowLastColumn="0"/>
            </w:pPr>
            <w:r w:rsidRPr="00CF77A7">
              <w:t>600%</w:t>
            </w:r>
          </w:p>
        </w:tc>
        <w:tc>
          <w:tcPr>
            <w:tcW w:w="0" w:type="auto"/>
            <w:noWrap/>
            <w:hideMark/>
          </w:tcPr>
          <w:p w14:paraId="036F1644" w14:textId="77777777" w:rsidR="009D2986" w:rsidRPr="00CF77A7" w:rsidRDefault="009D2986" w:rsidP="00E66302">
            <w:pPr>
              <w:pStyle w:val="tablazat"/>
              <w:cnfStyle w:val="000000000000" w:firstRow="0" w:lastRow="0" w:firstColumn="0" w:lastColumn="0" w:oddVBand="0" w:evenVBand="0" w:oddHBand="0" w:evenHBand="0" w:firstRowFirstColumn="0" w:firstRowLastColumn="0" w:lastRowFirstColumn="0" w:lastRowLastColumn="0"/>
            </w:pPr>
            <w:r w:rsidRPr="00CF77A7">
              <w:t>0.6</w:t>
            </w:r>
          </w:p>
        </w:tc>
      </w:tr>
    </w:tbl>
    <w:p w14:paraId="7895E62A" w14:textId="77777777" w:rsidR="009D2986" w:rsidRDefault="009D2986">
      <w:pPr>
        <w:pStyle w:val="Listaszerbekezds"/>
        <w:numPr>
          <w:ilvl w:val="0"/>
          <w:numId w:val="3"/>
        </w:numPr>
      </w:pPr>
      <w:r>
        <w:t xml:space="preserve">Ezen feltételezésekkel számítottuk ki a </w:t>
      </w:r>
      <w:proofErr w:type="spellStart"/>
      <w:r>
        <w:t>hőtechnikai</w:t>
      </w:r>
      <w:proofErr w:type="spellEnd"/>
      <w:r>
        <w:t xml:space="preserve"> és a hőszivattyús korszerűsítés értékét.</w:t>
      </w:r>
    </w:p>
    <w:p w14:paraId="29ABC65B" w14:textId="77777777" w:rsidR="009D2986" w:rsidRDefault="009D2986">
      <w:pPr>
        <w:pStyle w:val="Listaszerbekezds"/>
        <w:numPr>
          <w:ilvl w:val="0"/>
          <w:numId w:val="3"/>
        </w:numPr>
      </w:pPr>
      <w:r>
        <w:t xml:space="preserve">A napelem felszerelést a </w:t>
      </w:r>
      <w:r w:rsidRPr="00785F72">
        <w:t>Budapest Főváros Önkormányzata</w:t>
      </w:r>
      <w:r>
        <w:t xml:space="preserve"> </w:t>
      </w:r>
      <w:r w:rsidRPr="00785F72">
        <w:t xml:space="preserve">térinformatikai Budapest </w:t>
      </w:r>
      <w:proofErr w:type="spellStart"/>
      <w:r w:rsidRPr="00785F72">
        <w:t>Szolár-Térkép</w:t>
      </w:r>
      <w:r>
        <w:t>e</w:t>
      </w:r>
      <w:proofErr w:type="spellEnd"/>
      <w:r>
        <w:t xml:space="preserve"> (</w:t>
      </w:r>
      <w:hyperlink r:id="rId22" w:history="1">
        <w:r w:rsidRPr="007E3EC0">
          <w:rPr>
            <w:rStyle w:val="Hiperhivatkozs"/>
          </w:rPr>
          <w:t>https://nappalhajtva.budapest.hu/</w:t>
        </w:r>
      </w:hyperlink>
      <w:r>
        <w:t>) kerületi összesített adata alapján kalkuláltuk.</w:t>
      </w:r>
    </w:p>
    <w:p w14:paraId="3DE55684" w14:textId="77777777" w:rsidR="009D2986" w:rsidRDefault="009D2986">
      <w:pPr>
        <w:pStyle w:val="Listaszerbekezds"/>
        <w:numPr>
          <w:ilvl w:val="0"/>
          <w:numId w:val="3"/>
        </w:numPr>
      </w:pPr>
      <w:r>
        <w:t>A számítások további része és a karbantartási költségek megegyezik a mintaépületek számításaiban alkalmazott módszertannal.</w:t>
      </w:r>
    </w:p>
    <w:p w14:paraId="2234EE68" w14:textId="326147F6" w:rsidR="009D2986" w:rsidRDefault="009D2986" w:rsidP="009D2986">
      <w:pPr>
        <w:pStyle w:val="Cmsor3"/>
      </w:pPr>
      <w:bookmarkStart w:id="33" w:name="_Toc133258001"/>
      <w:r>
        <w:t>A</w:t>
      </w:r>
      <w:r w:rsidR="00031B8B">
        <w:t xml:space="preserve"> </w:t>
      </w:r>
      <w:r>
        <w:t>pénzügyi modell</w:t>
      </w:r>
      <w:bookmarkEnd w:id="33"/>
    </w:p>
    <w:p w14:paraId="63AAC733" w14:textId="77777777" w:rsidR="009D2986" w:rsidRDefault="009D2986" w:rsidP="009D2986">
      <w:r>
        <w:t>A pénzügyei alap modellje a fenti becslések alapján történt.</w:t>
      </w:r>
    </w:p>
    <w:p w14:paraId="29A8CAF1" w14:textId="77777777" w:rsidR="009D2986" w:rsidRPr="008A54EA" w:rsidRDefault="009D2986" w:rsidP="009D2986">
      <w:r w:rsidRPr="008A54EA">
        <w:t>A modell kiinduló értéknek a 2023-as évben az Alapban rendelkezésre álló összeg nettó 2 132 977 Ft + 575 905 Ft áfa, azaz bruttó 2 708 882 Ft keretösszegét vette alapul.</w:t>
      </w:r>
    </w:p>
    <w:p w14:paraId="4B7E4A1B" w14:textId="17761A7C" w:rsidR="009D2986" w:rsidRDefault="00031B8B" w:rsidP="009D2986">
      <w:r>
        <w:t>A modellben 29 önkormányzati tulajdonú társasházzal és 120 társasházzal számoltunk a tervezett energiahatékonysági eredmények elérése végett.</w:t>
      </w:r>
    </w:p>
    <w:p w14:paraId="3F68534C" w14:textId="55B2955B" w:rsidR="00031B8B" w:rsidRDefault="00031B8B" w:rsidP="00031B8B">
      <w:r>
        <w:lastRenderedPageBreak/>
        <w:t>A modellhez egy Excel tábla készült, amely mutatja meg, hogy bizonyos feltételek és döntések mellett hogyan alakul az elkülönített pénzalap, illetve a projekt pénzáramlása. (Melléklet)</w:t>
      </w:r>
      <w:r w:rsidR="00392599">
        <w:t xml:space="preserve"> A táblázatban a sárga mezők változtathatók.</w:t>
      </w:r>
    </w:p>
    <w:p w14:paraId="039200D5" w14:textId="0FACA165" w:rsidR="00031B8B" w:rsidRPr="00031B8B" w:rsidRDefault="00031B8B" w:rsidP="00031B8B">
      <w:pPr>
        <w:rPr>
          <w:b/>
          <w:bCs/>
        </w:rPr>
      </w:pPr>
      <w:r w:rsidRPr="00031B8B">
        <w:rPr>
          <w:b/>
          <w:bCs/>
        </w:rPr>
        <w:t>Az önkormányzat döntései</w:t>
      </w:r>
      <w:r>
        <w:rPr>
          <w:b/>
          <w:bCs/>
        </w:rPr>
        <w:t xml:space="preserve"> az alábbiak szerint állíthatók:</w:t>
      </w:r>
    </w:p>
    <w:p w14:paraId="06779442" w14:textId="77777777" w:rsidR="00031B8B" w:rsidRDefault="00031B8B">
      <w:pPr>
        <w:pStyle w:val="Listaszerbekezds"/>
        <w:numPr>
          <w:ilvl w:val="0"/>
          <w:numId w:val="3"/>
        </w:numPr>
      </w:pPr>
      <w:r>
        <w:t>Mekkora támogatási intenzitással indítja az egyes projekteket?</w:t>
      </w:r>
    </w:p>
    <w:p w14:paraId="347F5FCD" w14:textId="64A62238" w:rsidR="00031B8B" w:rsidRDefault="00031B8B" w:rsidP="00031B8B">
      <w:pPr>
        <w:pStyle w:val="Listaszerbekezds"/>
        <w:ind w:left="0"/>
        <w:jc w:val="center"/>
      </w:pPr>
      <w:r w:rsidRPr="00D37121">
        <w:rPr>
          <w:noProof/>
        </w:rPr>
        <w:drawing>
          <wp:inline distT="0" distB="0" distL="0" distR="0" wp14:anchorId="46F99FDB" wp14:editId="71767F8E">
            <wp:extent cx="4406900" cy="927100"/>
            <wp:effectExtent l="0" t="0" r="0" b="635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06900" cy="927100"/>
                    </a:xfrm>
                    <a:prstGeom prst="rect">
                      <a:avLst/>
                    </a:prstGeom>
                    <a:noFill/>
                    <a:ln>
                      <a:noFill/>
                    </a:ln>
                  </pic:spPr>
                </pic:pic>
              </a:graphicData>
            </a:graphic>
          </wp:inline>
        </w:drawing>
      </w:r>
    </w:p>
    <w:p w14:paraId="547BBC13" w14:textId="62E688DB" w:rsidR="00031B8B" w:rsidRDefault="003625C7" w:rsidP="00B65C47">
      <w:pPr>
        <w:ind w:left="709"/>
      </w:pPr>
      <w:r>
        <w:t>A számításokban az önkormányzat saját forrásaival számolunk (önkormányzati házak esetén ezért 100%</w:t>
      </w:r>
      <w:r w:rsidR="00B65C47">
        <w:t>)</w:t>
      </w:r>
    </w:p>
    <w:p w14:paraId="5EAF08C0" w14:textId="60B48549" w:rsidR="00031B8B" w:rsidRDefault="00031B8B">
      <w:pPr>
        <w:pStyle w:val="Listaszerbekezds"/>
        <w:numPr>
          <w:ilvl w:val="0"/>
          <w:numId w:val="3"/>
        </w:numPr>
      </w:pPr>
      <w:r>
        <w:t>Hány év alatt kell visszafizetni az önkormányzat által nyújtott kamatmentes kölcsönt?</w:t>
      </w:r>
    </w:p>
    <w:tbl>
      <w:tblPr>
        <w:tblW w:w="4972" w:type="dxa"/>
        <w:jc w:val="center"/>
        <w:tblCellMar>
          <w:left w:w="70" w:type="dxa"/>
          <w:right w:w="70" w:type="dxa"/>
        </w:tblCellMar>
        <w:tblLook w:val="04A0" w:firstRow="1" w:lastRow="0" w:firstColumn="1" w:lastColumn="0" w:noHBand="0" w:noVBand="1"/>
      </w:tblPr>
      <w:tblGrid>
        <w:gridCol w:w="3296"/>
        <w:gridCol w:w="1676"/>
      </w:tblGrid>
      <w:tr w:rsidR="00031B8B" w:rsidRPr="00031B8B" w14:paraId="19C0A7C9" w14:textId="77777777" w:rsidTr="00031B8B">
        <w:trPr>
          <w:trHeight w:val="300"/>
          <w:jc w:val="center"/>
        </w:trPr>
        <w:tc>
          <w:tcPr>
            <w:tcW w:w="3296" w:type="dxa"/>
            <w:tcBorders>
              <w:top w:val="nil"/>
              <w:left w:val="nil"/>
              <w:bottom w:val="nil"/>
              <w:right w:val="nil"/>
            </w:tcBorders>
            <w:shd w:val="clear" w:color="000000" w:fill="FFFF00"/>
            <w:noWrap/>
            <w:vAlign w:val="bottom"/>
            <w:hideMark/>
          </w:tcPr>
          <w:p w14:paraId="7DF5AEFB" w14:textId="77777777" w:rsidR="00031B8B" w:rsidRPr="00031B8B" w:rsidRDefault="00031B8B" w:rsidP="00031B8B">
            <w:pPr>
              <w:autoSpaceDE/>
              <w:autoSpaceDN/>
              <w:spacing w:before="0" w:after="0" w:line="240" w:lineRule="auto"/>
              <w:rPr>
                <w:rFonts w:ascii="Calibri" w:hAnsi="Calibri" w:cs="Calibri"/>
                <w:b/>
                <w:bCs/>
                <w:color w:val="000000"/>
                <w:sz w:val="22"/>
                <w:szCs w:val="22"/>
              </w:rPr>
            </w:pPr>
            <w:r w:rsidRPr="00031B8B">
              <w:rPr>
                <w:rFonts w:ascii="Calibri" w:hAnsi="Calibri" w:cs="Calibri"/>
                <w:b/>
                <w:bCs/>
                <w:color w:val="000000"/>
                <w:sz w:val="22"/>
                <w:szCs w:val="22"/>
              </w:rPr>
              <w:t>visszafizetési idő (év)</w:t>
            </w:r>
          </w:p>
        </w:tc>
        <w:tc>
          <w:tcPr>
            <w:tcW w:w="1676" w:type="dxa"/>
            <w:tcBorders>
              <w:top w:val="nil"/>
              <w:left w:val="nil"/>
              <w:bottom w:val="nil"/>
              <w:right w:val="nil"/>
            </w:tcBorders>
            <w:shd w:val="clear" w:color="000000" w:fill="FFFF00"/>
            <w:noWrap/>
            <w:vAlign w:val="bottom"/>
            <w:hideMark/>
          </w:tcPr>
          <w:p w14:paraId="5546D75B" w14:textId="77777777" w:rsidR="00031B8B" w:rsidRPr="00031B8B" w:rsidRDefault="00031B8B" w:rsidP="00031B8B">
            <w:pPr>
              <w:autoSpaceDE/>
              <w:autoSpaceDN/>
              <w:spacing w:before="0" w:after="0" w:line="240" w:lineRule="auto"/>
              <w:jc w:val="right"/>
              <w:rPr>
                <w:rFonts w:ascii="Calibri" w:hAnsi="Calibri" w:cs="Calibri"/>
                <w:color w:val="000000"/>
                <w:sz w:val="22"/>
                <w:szCs w:val="22"/>
              </w:rPr>
            </w:pPr>
            <w:r w:rsidRPr="00031B8B">
              <w:rPr>
                <w:rFonts w:ascii="Calibri" w:hAnsi="Calibri" w:cs="Calibri"/>
                <w:color w:val="000000"/>
                <w:sz w:val="22"/>
                <w:szCs w:val="22"/>
              </w:rPr>
              <w:t>10</w:t>
            </w:r>
          </w:p>
        </w:tc>
      </w:tr>
    </w:tbl>
    <w:p w14:paraId="026FF80C" w14:textId="77777777" w:rsidR="00031B8B" w:rsidRDefault="00031B8B">
      <w:pPr>
        <w:pStyle w:val="Listaszerbekezds"/>
        <w:numPr>
          <w:ilvl w:val="0"/>
          <w:numId w:val="3"/>
        </w:numPr>
      </w:pPr>
      <w:r>
        <w:t>Hány projektet indít az egyes típusokból évente?</w:t>
      </w:r>
    </w:p>
    <w:p w14:paraId="1C8B9F68" w14:textId="77777777" w:rsidR="00031B8B" w:rsidRDefault="00031B8B" w:rsidP="00031B8B">
      <w:r w:rsidRPr="00F34932">
        <w:rPr>
          <w:noProof/>
        </w:rPr>
        <w:drawing>
          <wp:inline distT="0" distB="0" distL="0" distR="0" wp14:anchorId="4D15B1E5" wp14:editId="54568B5C">
            <wp:extent cx="5760720" cy="647700"/>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0720" cy="647700"/>
                    </a:xfrm>
                    <a:prstGeom prst="rect">
                      <a:avLst/>
                    </a:prstGeom>
                    <a:noFill/>
                    <a:ln>
                      <a:noFill/>
                    </a:ln>
                  </pic:spPr>
                </pic:pic>
              </a:graphicData>
            </a:graphic>
          </wp:inline>
        </w:drawing>
      </w:r>
    </w:p>
    <w:p w14:paraId="336F115B" w14:textId="76E1B11D" w:rsidR="00031B8B" w:rsidRPr="00031B8B" w:rsidRDefault="00031B8B" w:rsidP="00031B8B">
      <w:pPr>
        <w:rPr>
          <w:b/>
          <w:bCs/>
        </w:rPr>
      </w:pPr>
      <w:r w:rsidRPr="00031B8B">
        <w:rPr>
          <w:b/>
          <w:bCs/>
        </w:rPr>
        <w:t>A számítások eredménye automatikusan kiszámításra kerül</w:t>
      </w:r>
    </w:p>
    <w:p w14:paraId="3BAE2DBF" w14:textId="4F69BE5D" w:rsidR="00031B8B" w:rsidRDefault="00031B8B" w:rsidP="00031B8B">
      <w:r>
        <w:t xml:space="preserve">Az alap éves </w:t>
      </w:r>
      <w:proofErr w:type="spellStart"/>
      <w:r>
        <w:t>cash-flowját</w:t>
      </w:r>
      <w:proofErr w:type="spellEnd"/>
      <w:r>
        <w:t xml:space="preserve"> kétféle – támogatott és piaci – energiaár mellett.</w:t>
      </w:r>
    </w:p>
    <w:p w14:paraId="241DCAF6" w14:textId="77777777" w:rsidR="00031B8B" w:rsidRDefault="00031B8B" w:rsidP="00031B8B">
      <w:pPr>
        <w:jc w:val="center"/>
      </w:pPr>
      <w:r>
        <w:rPr>
          <w:noProof/>
        </w:rPr>
        <w:drawing>
          <wp:inline distT="0" distB="0" distL="0" distR="0" wp14:anchorId="6206D2C6" wp14:editId="1A744030">
            <wp:extent cx="3684895" cy="2407465"/>
            <wp:effectExtent l="0" t="0" r="0" b="0"/>
            <wp:docPr id="14" name="Kép 14" descr="A képen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ép 14" descr="A képen diagram látható&#10;&#10;Automatikusan generált leírá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91188" cy="2411576"/>
                    </a:xfrm>
                    <a:prstGeom prst="rect">
                      <a:avLst/>
                    </a:prstGeom>
                    <a:noFill/>
                  </pic:spPr>
                </pic:pic>
              </a:graphicData>
            </a:graphic>
          </wp:inline>
        </w:drawing>
      </w:r>
    </w:p>
    <w:p w14:paraId="25FFF94A" w14:textId="5271A520" w:rsidR="00031B8B" w:rsidRDefault="00031B8B" w:rsidP="00031B8B">
      <w:r>
        <w:t>Az alap tőkéjének éves alakulását kétféle – támogatott és piaci – energiaár mellett.</w:t>
      </w:r>
    </w:p>
    <w:p w14:paraId="680B4F04" w14:textId="77777777" w:rsidR="00031B8B" w:rsidRDefault="00031B8B" w:rsidP="00031B8B">
      <w:pPr>
        <w:jc w:val="center"/>
      </w:pPr>
      <w:r>
        <w:rPr>
          <w:noProof/>
        </w:rPr>
        <w:lastRenderedPageBreak/>
        <w:drawing>
          <wp:inline distT="0" distB="0" distL="0" distR="0" wp14:anchorId="7A54AC7D" wp14:editId="140FCC24">
            <wp:extent cx="3835020" cy="2505546"/>
            <wp:effectExtent l="0" t="0" r="0" b="9525"/>
            <wp:docPr id="15" name="Kép 15" descr="A képen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ép 15" descr="A képen diagram látható&#10;&#10;Automatikusan generált leírá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842933" cy="2510716"/>
                    </a:xfrm>
                    <a:prstGeom prst="rect">
                      <a:avLst/>
                    </a:prstGeom>
                    <a:noFill/>
                  </pic:spPr>
                </pic:pic>
              </a:graphicData>
            </a:graphic>
          </wp:inline>
        </w:drawing>
      </w:r>
    </w:p>
    <w:p w14:paraId="6D90AB41" w14:textId="2D80B8AD" w:rsidR="00031B8B" w:rsidRDefault="00031B8B" w:rsidP="00031B8B">
      <w:r>
        <w:t>A beruházások eredményeképpen elért CO</w:t>
      </w:r>
      <w:r w:rsidRPr="007C1784">
        <w:rPr>
          <w:vertAlign w:val="subscript"/>
        </w:rPr>
        <w:t>2</w:t>
      </w:r>
      <w:r>
        <w:t xml:space="preserve"> csökkenést.</w:t>
      </w:r>
    </w:p>
    <w:p w14:paraId="0B5B0F58" w14:textId="38D71B90" w:rsidR="00031B8B" w:rsidRDefault="00031B8B" w:rsidP="00031B8B">
      <w:pPr>
        <w:jc w:val="center"/>
      </w:pPr>
      <w:r>
        <w:rPr>
          <w:noProof/>
        </w:rPr>
        <w:drawing>
          <wp:inline distT="0" distB="0" distL="0" distR="0" wp14:anchorId="02E42259" wp14:editId="262EF5EC">
            <wp:extent cx="4221790" cy="2756847"/>
            <wp:effectExtent l="0" t="0" r="7620" b="5715"/>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27368" cy="2760489"/>
                    </a:xfrm>
                    <a:prstGeom prst="rect">
                      <a:avLst/>
                    </a:prstGeom>
                    <a:noFill/>
                  </pic:spPr>
                </pic:pic>
              </a:graphicData>
            </a:graphic>
          </wp:inline>
        </w:drawing>
      </w:r>
    </w:p>
    <w:p w14:paraId="2F493B0E" w14:textId="77777777" w:rsidR="00031B8B" w:rsidRDefault="00031B8B" w:rsidP="00031B8B">
      <w:pPr>
        <w:jc w:val="center"/>
      </w:pPr>
    </w:p>
    <w:p w14:paraId="46EDBD62" w14:textId="1144C3B5" w:rsidR="009D2986" w:rsidRPr="00031B8B" w:rsidRDefault="00031B8B" w:rsidP="009D2986">
      <w:pPr>
        <w:rPr>
          <w:b/>
          <w:bCs/>
        </w:rPr>
      </w:pPr>
      <w:r w:rsidRPr="00031B8B">
        <w:rPr>
          <w:b/>
          <w:bCs/>
        </w:rPr>
        <w:t xml:space="preserve">A számítás mögött álló </w:t>
      </w:r>
      <w:proofErr w:type="spellStart"/>
      <w:r w:rsidRPr="00031B8B">
        <w:rPr>
          <w:b/>
          <w:bCs/>
        </w:rPr>
        <w:t>parametrizálás</w:t>
      </w:r>
      <w:proofErr w:type="spellEnd"/>
    </w:p>
    <w:p w14:paraId="7059654C" w14:textId="0A7DA437" w:rsidR="00031B8B" w:rsidRDefault="00031B8B" w:rsidP="00031B8B">
      <w:r>
        <w:t>A modell három projekttípussal számol</w:t>
      </w:r>
      <w:r w:rsidR="00392599">
        <w:t>, mind az önkormányzati, mind a magántulajdonú társasházak esetében</w:t>
      </w:r>
      <w:r>
        <w:t xml:space="preserve">: </w:t>
      </w:r>
    </w:p>
    <w:p w14:paraId="308FF8DD" w14:textId="77777777" w:rsidR="00031B8B" w:rsidRDefault="00031B8B">
      <w:pPr>
        <w:pStyle w:val="Listaszerbekezds"/>
        <w:numPr>
          <w:ilvl w:val="0"/>
          <w:numId w:val="3"/>
        </w:numPr>
      </w:pPr>
      <w:proofErr w:type="spellStart"/>
      <w:r>
        <w:t>Hőtechnikai</w:t>
      </w:r>
      <w:proofErr w:type="spellEnd"/>
      <w:r>
        <w:t xml:space="preserve"> korszerűsítés: szigetelés, nyílászáró-csere.</w:t>
      </w:r>
    </w:p>
    <w:p w14:paraId="1E4B11A0" w14:textId="77777777" w:rsidR="00031B8B" w:rsidRDefault="00031B8B">
      <w:pPr>
        <w:pStyle w:val="Listaszerbekezds"/>
        <w:numPr>
          <w:ilvl w:val="0"/>
          <w:numId w:val="3"/>
        </w:numPr>
      </w:pPr>
      <w:r>
        <w:t>VRF (központi ellátás) levegő-levegő hőszivattyúval.</w:t>
      </w:r>
    </w:p>
    <w:p w14:paraId="40EFEAB6" w14:textId="77777777" w:rsidR="00031B8B" w:rsidRDefault="00031B8B">
      <w:pPr>
        <w:pStyle w:val="Listaszerbekezds"/>
        <w:numPr>
          <w:ilvl w:val="0"/>
          <w:numId w:val="3"/>
        </w:numPr>
      </w:pPr>
      <w:r>
        <w:t>Napelem telepítése.</w:t>
      </w:r>
    </w:p>
    <w:p w14:paraId="1E93D048" w14:textId="3D740F86" w:rsidR="00031B8B" w:rsidRDefault="00031B8B" w:rsidP="00031B8B">
      <w:r>
        <w:t xml:space="preserve">Az </w:t>
      </w:r>
      <w:r w:rsidR="00392599">
        <w:t xml:space="preserve">előző fejezetekben leírtak alapján és becslésekkel </w:t>
      </w:r>
      <w:r>
        <w:t>energetikai számításokból származnak a tipikus projektekre vonatkozó átlagos értékek.</w:t>
      </w:r>
      <w:r w:rsidR="00392599">
        <w:t xml:space="preserve"> </w:t>
      </w:r>
      <w:r>
        <w:t xml:space="preserve">A </w:t>
      </w:r>
      <w:r w:rsidR="00392599">
        <w:t xml:space="preserve">részletes </w:t>
      </w:r>
      <w:r>
        <w:t>számításban található, elektromos fűtésű épületet (Szövetség utca 15.) nem vettük figyelembe.</w:t>
      </w:r>
    </w:p>
    <w:p w14:paraId="2CB7E2D1" w14:textId="77777777" w:rsidR="00392599" w:rsidRDefault="00392599" w:rsidP="00392599">
      <w:r w:rsidRPr="00392599">
        <w:rPr>
          <w:b/>
          <w:bCs/>
        </w:rPr>
        <w:t xml:space="preserve">A </w:t>
      </w:r>
      <w:proofErr w:type="spellStart"/>
      <w:r w:rsidRPr="00392599">
        <w:rPr>
          <w:b/>
          <w:bCs/>
        </w:rPr>
        <w:t>hőtechnikai</w:t>
      </w:r>
      <w:proofErr w:type="spellEnd"/>
      <w:r w:rsidRPr="00392599">
        <w:rPr>
          <w:b/>
          <w:bCs/>
        </w:rPr>
        <w:t xml:space="preserve"> korszerűsítés</w:t>
      </w:r>
      <w:r>
        <w:t xml:space="preserve"> esetén a 30 épület átlaga, illetve a kerületi állományra kivetített átlag érték került be az alábbi paraméterekre:</w:t>
      </w:r>
    </w:p>
    <w:p w14:paraId="25853761" w14:textId="6D4B21F4" w:rsidR="00392599" w:rsidRDefault="00392599">
      <w:pPr>
        <w:pStyle w:val="Listaszerbekezds"/>
        <w:numPr>
          <w:ilvl w:val="0"/>
          <w:numId w:val="10"/>
        </w:numPr>
      </w:pPr>
      <w:r>
        <w:t>beruházási költség</w:t>
      </w:r>
    </w:p>
    <w:p w14:paraId="02AA5AB6" w14:textId="76626EF8" w:rsidR="00392599" w:rsidRDefault="00392599">
      <w:pPr>
        <w:pStyle w:val="Listaszerbekezds"/>
        <w:numPr>
          <w:ilvl w:val="0"/>
          <w:numId w:val="10"/>
        </w:numPr>
      </w:pPr>
      <w:r>
        <w:lastRenderedPageBreak/>
        <w:t>lakásszám</w:t>
      </w:r>
    </w:p>
    <w:p w14:paraId="5C669CC1" w14:textId="39481E80" w:rsidR="00392599" w:rsidRDefault="00392599">
      <w:pPr>
        <w:pStyle w:val="Listaszerbekezds"/>
        <w:numPr>
          <w:ilvl w:val="0"/>
          <w:numId w:val="10"/>
        </w:numPr>
      </w:pPr>
      <w:r>
        <w:t>fűtési hőigény csökkenés</w:t>
      </w:r>
    </w:p>
    <w:p w14:paraId="7E954DFB" w14:textId="1EC6D876" w:rsidR="00572C6C" w:rsidRDefault="00392599">
      <w:pPr>
        <w:pStyle w:val="Listaszerbekezds"/>
        <w:numPr>
          <w:ilvl w:val="0"/>
          <w:numId w:val="10"/>
        </w:numPr>
      </w:pPr>
      <w:r>
        <w:t>CO2 csökkenés</w:t>
      </w:r>
    </w:p>
    <w:p w14:paraId="1B94221D" w14:textId="4A1D5005" w:rsidR="00392599" w:rsidRDefault="00392599" w:rsidP="00392599">
      <w:pPr>
        <w:jc w:val="center"/>
      </w:pPr>
      <w:r w:rsidRPr="001D772A">
        <w:rPr>
          <w:noProof/>
        </w:rPr>
        <w:drawing>
          <wp:inline distT="0" distB="0" distL="0" distR="0" wp14:anchorId="6193B7F7" wp14:editId="6C4048A4">
            <wp:extent cx="3536830" cy="2679537"/>
            <wp:effectExtent l="0" t="0" r="6985" b="6985"/>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549414" cy="2689071"/>
                    </a:xfrm>
                    <a:prstGeom prst="rect">
                      <a:avLst/>
                    </a:prstGeom>
                    <a:noFill/>
                    <a:ln>
                      <a:noFill/>
                    </a:ln>
                  </pic:spPr>
                </pic:pic>
              </a:graphicData>
            </a:graphic>
          </wp:inline>
        </w:drawing>
      </w:r>
    </w:p>
    <w:p w14:paraId="598C3CFA" w14:textId="77777777" w:rsidR="00392599" w:rsidRDefault="00392599" w:rsidP="00572C6C"/>
    <w:p w14:paraId="76875014" w14:textId="77777777" w:rsidR="00392599" w:rsidRDefault="00392599" w:rsidP="00392599">
      <w:r w:rsidRPr="00392599">
        <w:rPr>
          <w:b/>
          <w:bCs/>
        </w:rPr>
        <w:t xml:space="preserve">A hőszivattyú telepítése </w:t>
      </w:r>
      <w:r>
        <w:t>esetén a jelenleg is központi fűtéses (5 db) és a jelenleg nem központi fűtéses épületek (25 db) esetén a projektek átlag értéke került be, illetve a kerületi állományra kivetített értékek az alábbi paraméterekre:</w:t>
      </w:r>
    </w:p>
    <w:p w14:paraId="40180F78" w14:textId="77777777" w:rsidR="00392599" w:rsidRDefault="00392599">
      <w:pPr>
        <w:pStyle w:val="Listaszerbekezds"/>
        <w:numPr>
          <w:ilvl w:val="0"/>
          <w:numId w:val="10"/>
        </w:numPr>
      </w:pPr>
      <w:r>
        <w:t>beruházási költség</w:t>
      </w:r>
    </w:p>
    <w:p w14:paraId="76164056" w14:textId="77777777" w:rsidR="00392599" w:rsidRDefault="00392599">
      <w:pPr>
        <w:pStyle w:val="Listaszerbekezds"/>
        <w:numPr>
          <w:ilvl w:val="0"/>
          <w:numId w:val="10"/>
        </w:numPr>
      </w:pPr>
      <w:r>
        <w:t>lakásszám</w:t>
      </w:r>
    </w:p>
    <w:p w14:paraId="4EAF29F6" w14:textId="77777777" w:rsidR="00392599" w:rsidRDefault="00392599">
      <w:pPr>
        <w:pStyle w:val="Listaszerbekezds"/>
        <w:numPr>
          <w:ilvl w:val="0"/>
          <w:numId w:val="10"/>
        </w:numPr>
      </w:pPr>
      <w:r>
        <w:t>fűtési energia csökkenés</w:t>
      </w:r>
    </w:p>
    <w:p w14:paraId="30E9B2FC" w14:textId="77777777" w:rsidR="00392599" w:rsidRDefault="00392599">
      <w:pPr>
        <w:pStyle w:val="Listaszerbekezds"/>
        <w:numPr>
          <w:ilvl w:val="0"/>
          <w:numId w:val="10"/>
        </w:numPr>
      </w:pPr>
      <w:r>
        <w:t>CO</w:t>
      </w:r>
      <w:r w:rsidRPr="00392599">
        <w:t>2</w:t>
      </w:r>
      <w:r>
        <w:t xml:space="preserve"> megtakarítást</w:t>
      </w:r>
    </w:p>
    <w:p w14:paraId="1084479D" w14:textId="77777777" w:rsidR="00392599" w:rsidRDefault="00392599">
      <w:pPr>
        <w:pStyle w:val="Listaszerbekezds"/>
        <w:numPr>
          <w:ilvl w:val="0"/>
          <w:numId w:val="10"/>
        </w:numPr>
      </w:pPr>
      <w:r>
        <w:t>hőszivattyú beüzemelése miatti áramigény növekedés</w:t>
      </w:r>
    </w:p>
    <w:p w14:paraId="126ED1A5" w14:textId="729D1C53" w:rsidR="00392599" w:rsidRDefault="00392599" w:rsidP="00392599">
      <w:pPr>
        <w:jc w:val="center"/>
      </w:pPr>
      <w:r w:rsidRPr="00176517">
        <w:rPr>
          <w:noProof/>
        </w:rPr>
        <w:drawing>
          <wp:inline distT="0" distB="0" distL="0" distR="0" wp14:anchorId="7CF003AA" wp14:editId="54018D85">
            <wp:extent cx="3632248" cy="2751827"/>
            <wp:effectExtent l="0" t="0" r="6350" b="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649087" cy="2764585"/>
                    </a:xfrm>
                    <a:prstGeom prst="rect">
                      <a:avLst/>
                    </a:prstGeom>
                    <a:noFill/>
                    <a:ln>
                      <a:noFill/>
                    </a:ln>
                  </pic:spPr>
                </pic:pic>
              </a:graphicData>
            </a:graphic>
          </wp:inline>
        </w:drawing>
      </w:r>
    </w:p>
    <w:p w14:paraId="105481D5" w14:textId="77777777" w:rsidR="00D40F55" w:rsidRDefault="00D40F55" w:rsidP="00392599">
      <w:pPr>
        <w:jc w:val="center"/>
      </w:pPr>
    </w:p>
    <w:p w14:paraId="4164E89F" w14:textId="77777777" w:rsidR="00392599" w:rsidRDefault="00392599" w:rsidP="00392599">
      <w:r>
        <w:lastRenderedPageBreak/>
        <w:t xml:space="preserve">A </w:t>
      </w:r>
      <w:r>
        <w:rPr>
          <w:b/>
          <w:bCs/>
        </w:rPr>
        <w:t>napelem</w:t>
      </w:r>
      <w:r w:rsidRPr="005C2FF5">
        <w:rPr>
          <w:b/>
          <w:bCs/>
        </w:rPr>
        <w:t xml:space="preserve"> telepítése</w:t>
      </w:r>
      <w:r>
        <w:t xml:space="preserve"> esetén annak a 15 db épületnek az átlagértékei kerültek a cash-flow táblába, amelyekre lehet napelemet telepíteni (mert nem műemlékek és a tető is használható erre a célra), illetve a kerületi átlag alapján végzett becslés:</w:t>
      </w:r>
    </w:p>
    <w:p w14:paraId="573CE74A" w14:textId="77777777" w:rsidR="00392599" w:rsidRDefault="00392599">
      <w:pPr>
        <w:pStyle w:val="Listaszerbekezds"/>
        <w:numPr>
          <w:ilvl w:val="0"/>
          <w:numId w:val="10"/>
        </w:numPr>
      </w:pPr>
      <w:r>
        <w:t>beruházási költség</w:t>
      </w:r>
    </w:p>
    <w:p w14:paraId="5681DF51" w14:textId="77777777" w:rsidR="00392599" w:rsidRDefault="00392599">
      <w:pPr>
        <w:pStyle w:val="Listaszerbekezds"/>
        <w:numPr>
          <w:ilvl w:val="0"/>
          <w:numId w:val="10"/>
        </w:numPr>
      </w:pPr>
      <w:r>
        <w:t>lakásszám</w:t>
      </w:r>
    </w:p>
    <w:p w14:paraId="4F6113AC" w14:textId="77777777" w:rsidR="00392599" w:rsidRDefault="00392599">
      <w:pPr>
        <w:pStyle w:val="Listaszerbekezds"/>
        <w:numPr>
          <w:ilvl w:val="0"/>
          <w:numId w:val="10"/>
        </w:numPr>
      </w:pPr>
      <w:r>
        <w:t>termelt villamos energia</w:t>
      </w:r>
    </w:p>
    <w:p w14:paraId="5A3C80E1" w14:textId="77777777" w:rsidR="00392599" w:rsidRDefault="00392599">
      <w:pPr>
        <w:pStyle w:val="Listaszerbekezds"/>
        <w:numPr>
          <w:ilvl w:val="0"/>
          <w:numId w:val="10"/>
        </w:numPr>
      </w:pPr>
      <w:r>
        <w:t xml:space="preserve">karbantartási költség (a termelt </w:t>
      </w:r>
      <w:proofErr w:type="spellStart"/>
      <w:r>
        <w:t>villamosenergia</w:t>
      </w:r>
      <w:proofErr w:type="spellEnd"/>
      <w:r>
        <w:t xml:space="preserve"> értékének %-ában)</w:t>
      </w:r>
    </w:p>
    <w:p w14:paraId="3D8BD40B" w14:textId="348E30F7" w:rsidR="00392599" w:rsidRDefault="00392599" w:rsidP="00392599">
      <w:pPr>
        <w:jc w:val="center"/>
      </w:pPr>
      <w:r w:rsidRPr="00113CC0">
        <w:rPr>
          <w:noProof/>
        </w:rPr>
        <w:drawing>
          <wp:inline distT="0" distB="0" distL="0" distR="0" wp14:anchorId="4DF94C5F" wp14:editId="3828CA8B">
            <wp:extent cx="5524154" cy="2225615"/>
            <wp:effectExtent l="0" t="0" r="635" b="381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536714" cy="2230675"/>
                    </a:xfrm>
                    <a:prstGeom prst="rect">
                      <a:avLst/>
                    </a:prstGeom>
                    <a:noFill/>
                    <a:ln>
                      <a:noFill/>
                    </a:ln>
                  </pic:spPr>
                </pic:pic>
              </a:graphicData>
            </a:graphic>
          </wp:inline>
        </w:drawing>
      </w:r>
    </w:p>
    <w:p w14:paraId="51DA6BEE" w14:textId="77777777" w:rsidR="00392599" w:rsidRDefault="00392599" w:rsidP="00572C6C"/>
    <w:p w14:paraId="3823DC3C" w14:textId="77777777" w:rsidR="00392599" w:rsidRPr="00392599" w:rsidRDefault="00392599" w:rsidP="00392599">
      <w:pPr>
        <w:rPr>
          <w:b/>
          <w:bCs/>
        </w:rPr>
      </w:pPr>
      <w:r w:rsidRPr="00392599">
        <w:rPr>
          <w:b/>
          <w:bCs/>
        </w:rPr>
        <w:t>Energiaárak mögötti feltevések</w:t>
      </w:r>
    </w:p>
    <w:p w14:paraId="52C4AC8F" w14:textId="77777777" w:rsidR="00392599" w:rsidRDefault="00392599" w:rsidP="00392599">
      <w:r>
        <w:t>A cash-flow tábla a műszaki számításokban is szereplő energiaárakra épül, melyek változtatásával az eredmények módosulnak:</w:t>
      </w:r>
    </w:p>
    <w:p w14:paraId="5E1CBDB8" w14:textId="77777777" w:rsidR="00392599" w:rsidRDefault="00392599" w:rsidP="00392599">
      <w:pPr>
        <w:jc w:val="center"/>
      </w:pPr>
      <w:r w:rsidRPr="000D211B">
        <w:rPr>
          <w:noProof/>
        </w:rPr>
        <w:drawing>
          <wp:inline distT="0" distB="0" distL="0" distR="0" wp14:anchorId="3BC24152" wp14:editId="14A7BB70">
            <wp:extent cx="2794958" cy="790821"/>
            <wp:effectExtent l="0" t="0" r="5715" b="952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17160" cy="797103"/>
                    </a:xfrm>
                    <a:prstGeom prst="rect">
                      <a:avLst/>
                    </a:prstGeom>
                    <a:noFill/>
                    <a:ln>
                      <a:noFill/>
                    </a:ln>
                  </pic:spPr>
                </pic:pic>
              </a:graphicData>
            </a:graphic>
          </wp:inline>
        </w:drawing>
      </w:r>
    </w:p>
    <w:p w14:paraId="1864E756" w14:textId="77777777" w:rsidR="00392599" w:rsidRPr="00392599" w:rsidRDefault="00392599" w:rsidP="00392599">
      <w:pPr>
        <w:rPr>
          <w:b/>
          <w:bCs/>
        </w:rPr>
      </w:pPr>
      <w:r w:rsidRPr="00392599">
        <w:rPr>
          <w:b/>
          <w:bCs/>
        </w:rPr>
        <w:t>Pénzügyi feltevések</w:t>
      </w:r>
    </w:p>
    <w:p w14:paraId="720B7E1E" w14:textId="77777777" w:rsidR="00392599" w:rsidRDefault="00392599" w:rsidP="00392599">
      <w:r>
        <w:t xml:space="preserve">Az </w:t>
      </w:r>
      <w:proofErr w:type="spellStart"/>
      <w:r>
        <w:t>excelben</w:t>
      </w:r>
      <w:proofErr w:type="spellEnd"/>
      <w:r>
        <w:t xml:space="preserve"> szerepel egy inflációs pálya, amely szabadon megadható.</w:t>
      </w:r>
    </w:p>
    <w:p w14:paraId="3DF247B9" w14:textId="77777777" w:rsidR="00392599" w:rsidRDefault="00392599" w:rsidP="00392599">
      <w:r>
        <w:t>Az inflációs pálya szerint emelkednek a rezsiköltségek (így a megtakarítás), az újonnan induló beruházási projektek értéke, a pénzügyi alap működési költsége és a pénzügyi alap kamatozásának mértéke.</w:t>
      </w:r>
    </w:p>
    <w:p w14:paraId="12B663BE" w14:textId="77777777" w:rsidR="00392599" w:rsidRDefault="00392599" w:rsidP="00392599">
      <w:r>
        <w:t>Az önkormányzat a magánprojekteknek kamatmentes kölcsönt nyújt.</w:t>
      </w:r>
    </w:p>
    <w:p w14:paraId="7A1D3A33" w14:textId="77777777" w:rsidR="00392599" w:rsidRDefault="00392599" w:rsidP="00392599">
      <w:r>
        <w:t xml:space="preserve">Az önkormányzat a saját tulajdonú épületekben a </w:t>
      </w:r>
      <w:proofErr w:type="spellStart"/>
      <w:r>
        <w:t>rezsimegtakarítás</w:t>
      </w:r>
      <w:proofErr w:type="spellEnd"/>
      <w:r>
        <w:t xml:space="preserve"> mértékével megegyező bevételi többletet könyvelhet el.</w:t>
      </w:r>
    </w:p>
    <w:p w14:paraId="399EF012" w14:textId="3AC30613" w:rsidR="00392599" w:rsidRDefault="00392599" w:rsidP="00392599">
      <w:r>
        <w:t>A pénzügyi modellben jelenleg szervezeten belüli megvalósulást vettünk – a sor betervezésre került, így beírható költség</w:t>
      </w:r>
      <w:r w:rsidR="00AE305E">
        <w:t>.</w:t>
      </w:r>
    </w:p>
    <w:p w14:paraId="59391456" w14:textId="1DE308BB" w:rsidR="00AE305E" w:rsidRDefault="00AE305E" w:rsidP="00392599">
      <w:pPr>
        <w:rPr>
          <w:shd w:val="clear" w:color="auto" w:fill="FFFFFF"/>
        </w:rPr>
      </w:pPr>
      <w:r>
        <w:t>A pénzügyi modellben további tőkebevonások bevehetők, feltételezve a 2050-ig tartó időszakban az önkormányzat további tőkebevonásait, az önkormányzaton kívüli forrásokat (EU, nemzeti) és az önkormányzat vállalkozói/beruházói bevételeit, amelyet az Alapba kíván becsatornázni.</w:t>
      </w:r>
    </w:p>
    <w:p w14:paraId="29872EB2" w14:textId="2D4B8018" w:rsidR="009D2986" w:rsidRDefault="00C45A7D" w:rsidP="00C45A7D">
      <w:pPr>
        <w:pStyle w:val="Cmsor3"/>
      </w:pPr>
      <w:bookmarkStart w:id="34" w:name="_Toc133258002"/>
      <w:r>
        <w:lastRenderedPageBreak/>
        <w:t>Önkormányzati projektek megtérülése</w:t>
      </w:r>
      <w:bookmarkEnd w:id="34"/>
      <w:r>
        <w:t xml:space="preserve"> </w:t>
      </w:r>
    </w:p>
    <w:p w14:paraId="68849A79" w14:textId="7578EA76" w:rsidR="006467F1" w:rsidRDefault="00451ECA" w:rsidP="00C45A7D">
      <w:r w:rsidRPr="00451ECA">
        <w:t xml:space="preserve">A beruházási projekt </w:t>
      </w:r>
      <w:r>
        <w:t>a</w:t>
      </w:r>
      <w:r w:rsidRPr="00451ECA">
        <w:t xml:space="preserve">z 1.1-es alfejezetben </w:t>
      </w:r>
      <w:r>
        <w:t>leírtak szerint</w:t>
      </w:r>
      <w:r w:rsidRPr="00451ECA">
        <w:t xml:space="preserve">, az Önkormányzat a saját tulajdonban lévő </w:t>
      </w:r>
      <w:r>
        <w:t xml:space="preserve">29 </w:t>
      </w:r>
      <w:r w:rsidRPr="00451ECA">
        <w:t>épület</w:t>
      </w:r>
      <w:r>
        <w:t xml:space="preserve"> </w:t>
      </w:r>
      <w:r w:rsidRPr="00451ECA">
        <w:t xml:space="preserve">felújításával indítaná a projektet, melyek pontos műszaki paramétereit </w:t>
      </w:r>
      <w:r>
        <w:t xml:space="preserve">az </w:t>
      </w:r>
      <w:r w:rsidRPr="00451ECA">
        <w:t>1.3-as alfejezet</w:t>
      </w:r>
      <w:r>
        <w:t xml:space="preserve"> </w:t>
      </w:r>
      <w:r w:rsidRPr="00451ECA">
        <w:t>tartalmazza</w:t>
      </w:r>
      <w:r>
        <w:t>.</w:t>
      </w:r>
      <w:r w:rsidR="006467F1">
        <w:t xml:space="preserve"> </w:t>
      </w:r>
      <w:r w:rsidR="006467F1" w:rsidRPr="006467F1">
        <w:t xml:space="preserve">A tervezett intézkedések hőszigetelést, nyílászárócserét, valamint </w:t>
      </w:r>
      <w:r w:rsidR="006467F1">
        <w:t xml:space="preserve">a nem műemléki épületekre </w:t>
      </w:r>
      <w:r w:rsidR="006467F1" w:rsidRPr="006467F1">
        <w:t xml:space="preserve">szerelt napelemes rendszerek kialakítását foglalja magában. </w:t>
      </w:r>
    </w:p>
    <w:tbl>
      <w:tblPr>
        <w:tblW w:w="9657" w:type="dxa"/>
        <w:tblInd w:w="-426" w:type="dxa"/>
        <w:tblCellMar>
          <w:left w:w="70" w:type="dxa"/>
          <w:right w:w="70" w:type="dxa"/>
        </w:tblCellMar>
        <w:tblLook w:val="04A0" w:firstRow="1" w:lastRow="0" w:firstColumn="1" w:lastColumn="0" w:noHBand="0" w:noVBand="1"/>
      </w:tblPr>
      <w:tblGrid>
        <w:gridCol w:w="2835"/>
        <w:gridCol w:w="1134"/>
        <w:gridCol w:w="1152"/>
        <w:gridCol w:w="267"/>
        <w:gridCol w:w="849"/>
        <w:gridCol w:w="1152"/>
        <w:gridCol w:w="1116"/>
        <w:gridCol w:w="1152"/>
      </w:tblGrid>
      <w:tr w:rsidR="00BE641A" w:rsidRPr="00BE641A" w14:paraId="115ABB7C" w14:textId="77777777" w:rsidTr="00D7063F">
        <w:tc>
          <w:tcPr>
            <w:tcW w:w="283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9A1004C" w14:textId="77777777" w:rsidR="00BE641A" w:rsidRPr="00BE641A" w:rsidRDefault="00BE641A" w:rsidP="00B354CE">
            <w:pPr>
              <w:autoSpaceDE/>
              <w:autoSpaceDN/>
              <w:spacing w:before="0" w:after="0" w:line="240" w:lineRule="auto"/>
              <w:jc w:val="center"/>
              <w:rPr>
                <w:rFonts w:cs="Calibri"/>
                <w:b/>
                <w:bCs/>
                <w:sz w:val="20"/>
              </w:rPr>
            </w:pPr>
            <w:r w:rsidRPr="00BE641A">
              <w:rPr>
                <w:rFonts w:cs="Calibri"/>
                <w:b/>
                <w:bCs/>
                <w:sz w:val="20"/>
              </w:rPr>
              <w:t xml:space="preserve">Az energiahatékonysági fejlesztések és az </w:t>
            </w:r>
            <w:proofErr w:type="spellStart"/>
            <w:r w:rsidRPr="00BE641A">
              <w:rPr>
                <w:rFonts w:cs="Calibri"/>
                <w:b/>
                <w:bCs/>
                <w:sz w:val="20"/>
              </w:rPr>
              <w:t>energiamegtakarítás</w:t>
            </w:r>
            <w:proofErr w:type="spellEnd"/>
            <w:r w:rsidRPr="00BE641A">
              <w:rPr>
                <w:rFonts w:cs="Calibri"/>
                <w:b/>
                <w:bCs/>
                <w:sz w:val="20"/>
              </w:rPr>
              <w:t xml:space="preserve"> összesítése</w:t>
            </w:r>
          </w:p>
        </w:tc>
        <w:tc>
          <w:tcPr>
            <w:tcW w:w="1134" w:type="dxa"/>
            <w:tcBorders>
              <w:top w:val="single" w:sz="4" w:space="0" w:color="auto"/>
              <w:left w:val="single" w:sz="4" w:space="0" w:color="auto"/>
              <w:bottom w:val="single" w:sz="4" w:space="0" w:color="auto"/>
              <w:right w:val="single" w:sz="4" w:space="0" w:color="auto"/>
            </w:tcBorders>
            <w:shd w:val="clear" w:color="000000" w:fill="C6E0B4"/>
            <w:vAlign w:val="center"/>
            <w:hideMark/>
          </w:tcPr>
          <w:p w14:paraId="60955E0A" w14:textId="01EF0391" w:rsidR="00BE641A" w:rsidRPr="00BE641A" w:rsidRDefault="00BE641A" w:rsidP="00B354CE">
            <w:pPr>
              <w:autoSpaceDE/>
              <w:autoSpaceDN/>
              <w:spacing w:before="0" w:after="0" w:line="240" w:lineRule="auto"/>
              <w:jc w:val="center"/>
              <w:rPr>
                <w:rFonts w:cs="Calibri"/>
                <w:b/>
                <w:bCs/>
                <w:color w:val="000000"/>
                <w:sz w:val="20"/>
              </w:rPr>
            </w:pPr>
            <w:r w:rsidRPr="00BE641A">
              <w:rPr>
                <w:rFonts w:cs="Calibri"/>
                <w:b/>
                <w:bCs/>
                <w:color w:val="000000"/>
                <w:sz w:val="20"/>
              </w:rPr>
              <w:t>Fűtési hőigény csökkenés</w:t>
            </w:r>
          </w:p>
        </w:tc>
        <w:tc>
          <w:tcPr>
            <w:tcW w:w="1152" w:type="dxa"/>
            <w:tcBorders>
              <w:top w:val="single" w:sz="4" w:space="0" w:color="auto"/>
              <w:left w:val="single" w:sz="4" w:space="0" w:color="auto"/>
              <w:bottom w:val="single" w:sz="4" w:space="0" w:color="auto"/>
              <w:right w:val="single" w:sz="4" w:space="0" w:color="auto"/>
            </w:tcBorders>
            <w:shd w:val="clear" w:color="000000" w:fill="C6E0B4"/>
            <w:vAlign w:val="center"/>
            <w:hideMark/>
          </w:tcPr>
          <w:p w14:paraId="5D459E31" w14:textId="702E9BF6" w:rsidR="00BE641A" w:rsidRPr="00BE641A" w:rsidRDefault="00BE641A" w:rsidP="00B354CE">
            <w:pPr>
              <w:autoSpaceDE/>
              <w:autoSpaceDN/>
              <w:spacing w:before="0" w:after="0" w:line="240" w:lineRule="auto"/>
              <w:jc w:val="center"/>
              <w:rPr>
                <w:rFonts w:cs="Calibri"/>
                <w:b/>
                <w:bCs/>
                <w:color w:val="000000"/>
                <w:sz w:val="20"/>
              </w:rPr>
            </w:pPr>
            <w:r w:rsidRPr="00BE641A">
              <w:rPr>
                <w:rFonts w:cs="Calibri"/>
                <w:b/>
                <w:bCs/>
                <w:color w:val="000000"/>
                <w:sz w:val="20"/>
              </w:rPr>
              <w:t>CO</w:t>
            </w:r>
            <w:r w:rsidRPr="00BE641A">
              <w:rPr>
                <w:rFonts w:cs="Calibri"/>
                <w:b/>
                <w:bCs/>
                <w:color w:val="000000"/>
                <w:sz w:val="20"/>
                <w:vertAlign w:val="subscript"/>
              </w:rPr>
              <w:t>2equivalent</w:t>
            </w:r>
            <w:r w:rsidRPr="00BE641A">
              <w:rPr>
                <w:rFonts w:cs="Calibri"/>
                <w:b/>
                <w:bCs/>
                <w:color w:val="000000"/>
                <w:sz w:val="20"/>
              </w:rPr>
              <w:t xml:space="preserve"> megtakarítás</w:t>
            </w:r>
          </w:p>
        </w:tc>
        <w:tc>
          <w:tcPr>
            <w:tcW w:w="1116" w:type="dxa"/>
            <w:gridSpan w:val="2"/>
            <w:tcBorders>
              <w:top w:val="single" w:sz="4" w:space="0" w:color="auto"/>
              <w:left w:val="single" w:sz="4" w:space="0" w:color="auto"/>
              <w:bottom w:val="single" w:sz="4" w:space="0" w:color="auto"/>
              <w:right w:val="single" w:sz="4" w:space="0" w:color="auto"/>
            </w:tcBorders>
            <w:shd w:val="clear" w:color="000000" w:fill="FFE699"/>
            <w:vAlign w:val="center"/>
            <w:hideMark/>
          </w:tcPr>
          <w:p w14:paraId="52D2A19B" w14:textId="77777777" w:rsidR="00BE641A" w:rsidRPr="00BE641A" w:rsidRDefault="00BE641A" w:rsidP="00B354CE">
            <w:pPr>
              <w:autoSpaceDE/>
              <w:autoSpaceDN/>
              <w:spacing w:before="0" w:after="0" w:line="240" w:lineRule="auto"/>
              <w:jc w:val="center"/>
              <w:rPr>
                <w:rFonts w:cs="Calibri"/>
                <w:b/>
                <w:bCs/>
                <w:color w:val="000000"/>
                <w:sz w:val="20"/>
              </w:rPr>
            </w:pPr>
            <w:r w:rsidRPr="00BE641A">
              <w:rPr>
                <w:rFonts w:cs="Calibri"/>
                <w:b/>
                <w:bCs/>
                <w:color w:val="000000"/>
                <w:sz w:val="20"/>
              </w:rPr>
              <w:t>Megújuló energia</w:t>
            </w:r>
          </w:p>
        </w:tc>
        <w:tc>
          <w:tcPr>
            <w:tcW w:w="1152" w:type="dxa"/>
            <w:tcBorders>
              <w:top w:val="single" w:sz="4" w:space="0" w:color="auto"/>
              <w:left w:val="single" w:sz="4" w:space="0" w:color="auto"/>
              <w:bottom w:val="single" w:sz="4" w:space="0" w:color="auto"/>
              <w:right w:val="single" w:sz="4" w:space="0" w:color="auto"/>
            </w:tcBorders>
            <w:shd w:val="clear" w:color="000000" w:fill="FFE699"/>
            <w:vAlign w:val="center"/>
            <w:hideMark/>
          </w:tcPr>
          <w:p w14:paraId="758E8F0C" w14:textId="4722230E" w:rsidR="00BE641A" w:rsidRPr="00BE641A" w:rsidRDefault="00BE641A" w:rsidP="00B354CE">
            <w:pPr>
              <w:autoSpaceDE/>
              <w:autoSpaceDN/>
              <w:spacing w:before="0" w:after="0" w:line="240" w:lineRule="auto"/>
              <w:jc w:val="center"/>
              <w:rPr>
                <w:rFonts w:cs="Calibri"/>
                <w:b/>
                <w:bCs/>
                <w:color w:val="000000"/>
                <w:sz w:val="20"/>
              </w:rPr>
            </w:pPr>
            <w:r w:rsidRPr="00BE641A">
              <w:rPr>
                <w:rFonts w:cs="Calibri"/>
                <w:b/>
                <w:bCs/>
                <w:color w:val="000000"/>
                <w:sz w:val="20"/>
              </w:rPr>
              <w:t>CO</w:t>
            </w:r>
            <w:r w:rsidRPr="00BE641A">
              <w:rPr>
                <w:rFonts w:cs="Calibri"/>
                <w:b/>
                <w:bCs/>
                <w:color w:val="000000"/>
                <w:sz w:val="20"/>
                <w:vertAlign w:val="subscript"/>
              </w:rPr>
              <w:t>2equivalent</w:t>
            </w:r>
            <w:r w:rsidRPr="00BE641A">
              <w:rPr>
                <w:rFonts w:cs="Calibri"/>
                <w:b/>
                <w:bCs/>
                <w:color w:val="000000"/>
                <w:sz w:val="20"/>
              </w:rPr>
              <w:t xml:space="preserve"> megtakarítás</w:t>
            </w:r>
          </w:p>
        </w:tc>
        <w:tc>
          <w:tcPr>
            <w:tcW w:w="1116" w:type="dxa"/>
            <w:tcBorders>
              <w:top w:val="single" w:sz="4" w:space="0" w:color="auto"/>
              <w:left w:val="single" w:sz="4" w:space="0" w:color="auto"/>
              <w:bottom w:val="single" w:sz="4" w:space="0" w:color="auto"/>
              <w:right w:val="single" w:sz="4" w:space="0" w:color="auto"/>
            </w:tcBorders>
            <w:shd w:val="clear" w:color="000000" w:fill="B4C6E7"/>
            <w:vAlign w:val="center"/>
            <w:hideMark/>
          </w:tcPr>
          <w:p w14:paraId="7912B418" w14:textId="77777777" w:rsidR="00BE641A" w:rsidRPr="00BE641A" w:rsidRDefault="00BE641A" w:rsidP="00B354CE">
            <w:pPr>
              <w:autoSpaceDE/>
              <w:autoSpaceDN/>
              <w:spacing w:before="0" w:after="0" w:line="240" w:lineRule="auto"/>
              <w:jc w:val="center"/>
              <w:rPr>
                <w:rFonts w:cs="Calibri"/>
                <w:b/>
                <w:bCs/>
                <w:color w:val="000000"/>
                <w:sz w:val="20"/>
              </w:rPr>
            </w:pPr>
            <w:proofErr w:type="spellStart"/>
            <w:proofErr w:type="gramStart"/>
            <w:r w:rsidRPr="00BE641A">
              <w:rPr>
                <w:rFonts w:cs="Calibri"/>
                <w:b/>
                <w:bCs/>
                <w:color w:val="000000"/>
                <w:sz w:val="20"/>
              </w:rPr>
              <w:t>PV</w:t>
            </w:r>
            <w:r w:rsidRPr="00BE641A">
              <w:rPr>
                <w:rFonts w:cs="Calibri"/>
                <w:b/>
                <w:bCs/>
                <w:color w:val="000000"/>
                <w:sz w:val="20"/>
                <w:vertAlign w:val="subscript"/>
              </w:rPr>
              <w:t>termelés</w:t>
            </w:r>
            <w:proofErr w:type="spellEnd"/>
            <w:r w:rsidRPr="00BE641A">
              <w:rPr>
                <w:rFonts w:cs="Calibri"/>
                <w:b/>
                <w:bCs/>
                <w:color w:val="000000"/>
                <w:sz w:val="20"/>
                <w:vertAlign w:val="subscript"/>
              </w:rPr>
              <w:t xml:space="preserve">       Megújuló</w:t>
            </w:r>
            <w:proofErr w:type="gramEnd"/>
            <w:r w:rsidRPr="00BE641A">
              <w:rPr>
                <w:rFonts w:cs="Calibri"/>
                <w:b/>
                <w:bCs/>
                <w:color w:val="000000"/>
                <w:sz w:val="20"/>
                <w:vertAlign w:val="subscript"/>
              </w:rPr>
              <w:t xml:space="preserve"> energia</w:t>
            </w:r>
          </w:p>
        </w:tc>
        <w:tc>
          <w:tcPr>
            <w:tcW w:w="1152" w:type="dxa"/>
            <w:tcBorders>
              <w:top w:val="single" w:sz="4" w:space="0" w:color="auto"/>
              <w:left w:val="single" w:sz="4" w:space="0" w:color="auto"/>
              <w:bottom w:val="single" w:sz="4" w:space="0" w:color="auto"/>
              <w:right w:val="single" w:sz="4" w:space="0" w:color="auto"/>
            </w:tcBorders>
            <w:shd w:val="clear" w:color="000000" w:fill="B4C6E7"/>
            <w:vAlign w:val="center"/>
            <w:hideMark/>
          </w:tcPr>
          <w:p w14:paraId="5D93FCEB" w14:textId="03A79F24" w:rsidR="00BE641A" w:rsidRPr="00BE641A" w:rsidRDefault="00BE641A" w:rsidP="00B354CE">
            <w:pPr>
              <w:autoSpaceDE/>
              <w:autoSpaceDN/>
              <w:spacing w:before="0" w:after="0" w:line="240" w:lineRule="auto"/>
              <w:jc w:val="center"/>
              <w:rPr>
                <w:rFonts w:cs="Calibri"/>
                <w:b/>
                <w:bCs/>
                <w:color w:val="000000"/>
                <w:sz w:val="20"/>
              </w:rPr>
            </w:pPr>
            <w:r w:rsidRPr="00BE641A">
              <w:rPr>
                <w:rFonts w:cs="Calibri"/>
                <w:b/>
                <w:bCs/>
                <w:color w:val="000000"/>
                <w:sz w:val="20"/>
              </w:rPr>
              <w:t>CO</w:t>
            </w:r>
            <w:r w:rsidRPr="00BE641A">
              <w:rPr>
                <w:rFonts w:cs="Calibri"/>
                <w:b/>
                <w:bCs/>
                <w:color w:val="000000"/>
                <w:sz w:val="20"/>
                <w:vertAlign w:val="subscript"/>
              </w:rPr>
              <w:t>2equivalent</w:t>
            </w:r>
            <w:r w:rsidRPr="00BE641A">
              <w:rPr>
                <w:rFonts w:cs="Calibri"/>
                <w:b/>
                <w:bCs/>
                <w:color w:val="000000"/>
                <w:sz w:val="20"/>
              </w:rPr>
              <w:t xml:space="preserve"> megtakarítás</w:t>
            </w:r>
          </w:p>
        </w:tc>
      </w:tr>
      <w:tr w:rsidR="00BE641A" w:rsidRPr="00BE641A" w14:paraId="710DD9B5" w14:textId="77777777" w:rsidTr="00D7063F">
        <w:tc>
          <w:tcPr>
            <w:tcW w:w="283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D73E0A" w14:textId="5090CD64" w:rsidR="00BE641A" w:rsidRPr="00BE641A" w:rsidRDefault="00BE641A" w:rsidP="00B354CE">
            <w:pPr>
              <w:autoSpaceDE/>
              <w:autoSpaceDN/>
              <w:spacing w:before="0" w:after="0" w:line="240" w:lineRule="auto"/>
              <w:jc w:val="center"/>
              <w:rPr>
                <w:rFonts w:cs="Calibri"/>
                <w:b/>
                <w:bCs/>
                <w:sz w:val="20"/>
              </w:rPr>
            </w:pPr>
          </w:p>
        </w:tc>
        <w:tc>
          <w:tcPr>
            <w:tcW w:w="1134"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3C73F61A" w14:textId="77777777" w:rsidR="00BE641A" w:rsidRPr="00BE641A" w:rsidRDefault="00BE641A" w:rsidP="00B354CE">
            <w:pPr>
              <w:autoSpaceDE/>
              <w:autoSpaceDN/>
              <w:spacing w:before="0" w:after="0" w:line="240" w:lineRule="auto"/>
              <w:jc w:val="center"/>
              <w:rPr>
                <w:rFonts w:cs="Calibri"/>
                <w:b/>
                <w:bCs/>
                <w:color w:val="000000"/>
                <w:sz w:val="20"/>
              </w:rPr>
            </w:pPr>
            <w:r w:rsidRPr="00BE641A">
              <w:rPr>
                <w:rFonts w:cs="Calibri"/>
                <w:b/>
                <w:bCs/>
                <w:color w:val="000000"/>
                <w:sz w:val="20"/>
              </w:rPr>
              <w:t>kWh/</w:t>
            </w:r>
            <w:proofErr w:type="gramStart"/>
            <w:r w:rsidRPr="00BE641A">
              <w:rPr>
                <w:rFonts w:cs="Calibri"/>
                <w:b/>
                <w:bCs/>
                <w:color w:val="000000"/>
                <w:sz w:val="20"/>
              </w:rPr>
              <w:t>a</w:t>
            </w:r>
            <w:proofErr w:type="gramEnd"/>
          </w:p>
        </w:tc>
        <w:tc>
          <w:tcPr>
            <w:tcW w:w="1152"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47B50F93" w14:textId="77777777" w:rsidR="00BE641A" w:rsidRPr="00BE641A" w:rsidRDefault="00BE641A" w:rsidP="00B354CE">
            <w:pPr>
              <w:autoSpaceDE/>
              <w:autoSpaceDN/>
              <w:spacing w:before="0" w:after="0" w:line="240" w:lineRule="auto"/>
              <w:jc w:val="center"/>
              <w:rPr>
                <w:rFonts w:cs="Calibri"/>
                <w:b/>
                <w:bCs/>
                <w:color w:val="000000"/>
                <w:sz w:val="20"/>
              </w:rPr>
            </w:pPr>
            <w:proofErr w:type="spellStart"/>
            <w:r w:rsidRPr="00BE641A">
              <w:rPr>
                <w:rFonts w:cs="Calibri"/>
                <w:b/>
                <w:bCs/>
                <w:color w:val="000000"/>
                <w:sz w:val="20"/>
              </w:rPr>
              <w:t>ton</w:t>
            </w:r>
            <w:proofErr w:type="spellEnd"/>
            <w:r w:rsidRPr="00BE641A">
              <w:rPr>
                <w:rFonts w:cs="Calibri"/>
                <w:b/>
                <w:bCs/>
                <w:color w:val="000000"/>
                <w:sz w:val="20"/>
              </w:rPr>
              <w:t>/év</w:t>
            </w:r>
          </w:p>
        </w:tc>
        <w:tc>
          <w:tcPr>
            <w:tcW w:w="1116" w:type="dxa"/>
            <w:gridSpan w:val="2"/>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082342DD" w14:textId="77777777" w:rsidR="00BE641A" w:rsidRPr="00BE641A" w:rsidRDefault="00BE641A" w:rsidP="00B354CE">
            <w:pPr>
              <w:autoSpaceDE/>
              <w:autoSpaceDN/>
              <w:spacing w:before="0" w:after="0" w:line="240" w:lineRule="auto"/>
              <w:jc w:val="center"/>
              <w:rPr>
                <w:rFonts w:cs="Calibri"/>
                <w:b/>
                <w:bCs/>
                <w:color w:val="000000"/>
                <w:sz w:val="20"/>
              </w:rPr>
            </w:pPr>
            <w:r w:rsidRPr="00BE641A">
              <w:rPr>
                <w:rFonts w:cs="Calibri"/>
                <w:b/>
                <w:bCs/>
                <w:color w:val="000000"/>
                <w:sz w:val="20"/>
              </w:rPr>
              <w:t>kWh/év</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4BC8BE33" w14:textId="77777777" w:rsidR="00BE641A" w:rsidRPr="00BE641A" w:rsidRDefault="00BE641A" w:rsidP="00B354CE">
            <w:pPr>
              <w:autoSpaceDE/>
              <w:autoSpaceDN/>
              <w:spacing w:before="0" w:after="0" w:line="240" w:lineRule="auto"/>
              <w:jc w:val="center"/>
              <w:rPr>
                <w:rFonts w:cs="Calibri"/>
                <w:b/>
                <w:bCs/>
                <w:color w:val="000000"/>
                <w:sz w:val="20"/>
              </w:rPr>
            </w:pPr>
            <w:proofErr w:type="spellStart"/>
            <w:r w:rsidRPr="00BE641A">
              <w:rPr>
                <w:rFonts w:cs="Calibri"/>
                <w:b/>
                <w:bCs/>
                <w:color w:val="000000"/>
                <w:sz w:val="20"/>
              </w:rPr>
              <w:t>ton</w:t>
            </w:r>
            <w:proofErr w:type="spellEnd"/>
            <w:r w:rsidRPr="00BE641A">
              <w:rPr>
                <w:rFonts w:cs="Calibri"/>
                <w:b/>
                <w:bCs/>
                <w:color w:val="000000"/>
                <w:sz w:val="20"/>
              </w:rPr>
              <w:t>/év</w:t>
            </w:r>
          </w:p>
        </w:tc>
        <w:tc>
          <w:tcPr>
            <w:tcW w:w="1116"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6F3580EB" w14:textId="77777777" w:rsidR="00BE641A" w:rsidRPr="00BE641A" w:rsidRDefault="00BE641A" w:rsidP="00B354CE">
            <w:pPr>
              <w:autoSpaceDE/>
              <w:autoSpaceDN/>
              <w:spacing w:before="0" w:after="0" w:line="240" w:lineRule="auto"/>
              <w:jc w:val="center"/>
              <w:rPr>
                <w:rFonts w:cs="Calibri"/>
                <w:b/>
                <w:bCs/>
                <w:color w:val="000000"/>
                <w:sz w:val="20"/>
              </w:rPr>
            </w:pPr>
            <w:proofErr w:type="spellStart"/>
            <w:r w:rsidRPr="00BE641A">
              <w:rPr>
                <w:rFonts w:cs="Calibri"/>
                <w:b/>
                <w:bCs/>
                <w:color w:val="000000"/>
                <w:sz w:val="20"/>
              </w:rPr>
              <w:t>MWh</w:t>
            </w:r>
            <w:proofErr w:type="spellEnd"/>
            <w:r w:rsidRPr="00BE641A">
              <w:rPr>
                <w:rFonts w:cs="Calibri"/>
                <w:b/>
                <w:bCs/>
                <w:color w:val="000000"/>
                <w:sz w:val="20"/>
              </w:rPr>
              <w:t>/</w:t>
            </w:r>
            <w:proofErr w:type="gramStart"/>
            <w:r w:rsidRPr="00BE641A">
              <w:rPr>
                <w:rFonts w:cs="Calibri"/>
                <w:b/>
                <w:bCs/>
                <w:color w:val="000000"/>
                <w:sz w:val="20"/>
              </w:rPr>
              <w:t>a</w:t>
            </w:r>
            <w:proofErr w:type="gramEnd"/>
          </w:p>
        </w:tc>
        <w:tc>
          <w:tcPr>
            <w:tcW w:w="1152"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729FA1C4" w14:textId="77777777" w:rsidR="00BE641A" w:rsidRPr="00BE641A" w:rsidRDefault="00BE641A" w:rsidP="00B354CE">
            <w:pPr>
              <w:autoSpaceDE/>
              <w:autoSpaceDN/>
              <w:spacing w:before="0" w:after="0" w:line="240" w:lineRule="auto"/>
              <w:jc w:val="center"/>
              <w:rPr>
                <w:rFonts w:cs="Calibri"/>
                <w:b/>
                <w:bCs/>
                <w:color w:val="000000"/>
                <w:sz w:val="20"/>
              </w:rPr>
            </w:pPr>
            <w:proofErr w:type="spellStart"/>
            <w:r w:rsidRPr="00BE641A">
              <w:rPr>
                <w:rFonts w:cs="Calibri"/>
                <w:b/>
                <w:bCs/>
                <w:color w:val="000000"/>
                <w:sz w:val="20"/>
              </w:rPr>
              <w:t>ton</w:t>
            </w:r>
            <w:proofErr w:type="spellEnd"/>
            <w:r w:rsidRPr="00BE641A">
              <w:rPr>
                <w:rFonts w:cs="Calibri"/>
                <w:b/>
                <w:bCs/>
                <w:color w:val="000000"/>
                <w:sz w:val="20"/>
              </w:rPr>
              <w:t>/év</w:t>
            </w:r>
          </w:p>
        </w:tc>
      </w:tr>
      <w:tr w:rsidR="00B354CE" w:rsidRPr="00BE641A" w14:paraId="4AF63E30" w14:textId="77777777" w:rsidTr="00D7063F">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D82F" w14:textId="28ED0D9C" w:rsidR="00B354CE" w:rsidRPr="00BE641A" w:rsidRDefault="00B354CE" w:rsidP="00B354CE">
            <w:pPr>
              <w:autoSpaceDE/>
              <w:autoSpaceDN/>
              <w:spacing w:before="0" w:after="0" w:line="240" w:lineRule="auto"/>
              <w:rPr>
                <w:rFonts w:cs="Calibri"/>
                <w:b/>
                <w:bCs/>
                <w:color w:val="000000"/>
                <w:sz w:val="20"/>
              </w:rPr>
            </w:pPr>
            <w:r w:rsidRPr="00B354CE">
              <w:rPr>
                <w:rFonts w:cs="Calibri"/>
                <w:b/>
                <w:bCs/>
                <w:color w:val="000000"/>
                <w:sz w:val="20"/>
              </w:rPr>
              <w:t xml:space="preserve">Épület </w:t>
            </w:r>
            <w:proofErr w:type="spellStart"/>
            <w:r w:rsidRPr="00B354CE">
              <w:rPr>
                <w:rFonts w:cs="Calibri"/>
                <w:b/>
                <w:bCs/>
                <w:color w:val="000000"/>
                <w:sz w:val="20"/>
              </w:rPr>
              <w:t>hőtechnikai</w:t>
            </w:r>
            <w:proofErr w:type="spellEnd"/>
            <w:r w:rsidRPr="00B354CE">
              <w:rPr>
                <w:rFonts w:cs="Calibri"/>
                <w:b/>
                <w:bCs/>
                <w:color w:val="000000"/>
                <w:sz w:val="20"/>
              </w:rPr>
              <w:t xml:space="preserve"> felújítás 28 db lakóépületben (gázfűtésű)</w:t>
            </w:r>
          </w:p>
        </w:tc>
        <w:tc>
          <w:tcPr>
            <w:tcW w:w="1134"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4D235E69" w14:textId="51851A62"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3</w:t>
            </w:r>
            <w:r w:rsidR="00A32B1E">
              <w:rPr>
                <w:rFonts w:cs="Calibri"/>
                <w:b/>
                <w:bCs/>
                <w:color w:val="000000"/>
                <w:sz w:val="20"/>
              </w:rPr>
              <w:t> </w:t>
            </w:r>
            <w:r w:rsidRPr="00B354CE">
              <w:rPr>
                <w:rFonts w:cs="Calibri"/>
                <w:b/>
                <w:bCs/>
                <w:color w:val="000000"/>
                <w:sz w:val="20"/>
              </w:rPr>
              <w:t>789</w:t>
            </w:r>
          </w:p>
        </w:tc>
        <w:tc>
          <w:tcPr>
            <w:tcW w:w="1152"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60E9CC17" w14:textId="463C346B"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994</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7886B" w14:textId="5E2460B3"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9203A" w14:textId="349E9808" w:rsidR="00B354CE" w:rsidRPr="00BE641A" w:rsidRDefault="00B354CE" w:rsidP="00346A4D">
            <w:pPr>
              <w:autoSpaceDE/>
              <w:autoSpaceDN/>
              <w:spacing w:before="0" w:after="0" w:line="240" w:lineRule="auto"/>
              <w:jc w:val="center"/>
              <w:rPr>
                <w:rFonts w:cs="Calibri"/>
                <w:b/>
                <w:bCs/>
                <w:color w:val="000000"/>
                <w:sz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6231E" w14:textId="433B3F0D"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E0BC3" w14:textId="52EEAEE3" w:rsidR="00B354CE" w:rsidRPr="00BE641A" w:rsidRDefault="00B354CE" w:rsidP="00346A4D">
            <w:pPr>
              <w:autoSpaceDE/>
              <w:autoSpaceDN/>
              <w:spacing w:before="0" w:after="0" w:line="240" w:lineRule="auto"/>
              <w:jc w:val="center"/>
              <w:rPr>
                <w:rFonts w:cs="Calibri"/>
                <w:b/>
                <w:bCs/>
                <w:color w:val="000000"/>
                <w:sz w:val="20"/>
              </w:rPr>
            </w:pPr>
          </w:p>
        </w:tc>
      </w:tr>
      <w:tr w:rsidR="00B354CE" w:rsidRPr="00BE641A" w14:paraId="09A6F4B2" w14:textId="77777777" w:rsidTr="00D7063F">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A6889" w14:textId="292FD444" w:rsidR="00B354CE" w:rsidRPr="00BE641A" w:rsidRDefault="00B354CE" w:rsidP="00B354CE">
            <w:pPr>
              <w:autoSpaceDE/>
              <w:autoSpaceDN/>
              <w:spacing w:before="0" w:after="0" w:line="240" w:lineRule="auto"/>
              <w:rPr>
                <w:rFonts w:cs="Calibri"/>
                <w:b/>
                <w:bCs/>
                <w:color w:val="000000"/>
                <w:sz w:val="20"/>
              </w:rPr>
            </w:pPr>
            <w:r w:rsidRPr="00B354CE">
              <w:rPr>
                <w:rFonts w:cs="Calibri"/>
                <w:b/>
                <w:bCs/>
                <w:color w:val="000000"/>
                <w:sz w:val="20"/>
              </w:rPr>
              <w:t xml:space="preserve">Épület </w:t>
            </w:r>
            <w:proofErr w:type="spellStart"/>
            <w:r w:rsidRPr="00B354CE">
              <w:rPr>
                <w:rFonts w:cs="Calibri"/>
                <w:b/>
                <w:bCs/>
                <w:color w:val="000000"/>
                <w:sz w:val="20"/>
              </w:rPr>
              <w:t>hőtechnikai</w:t>
            </w:r>
            <w:proofErr w:type="spellEnd"/>
            <w:r w:rsidRPr="00B354CE">
              <w:rPr>
                <w:rFonts w:cs="Calibri"/>
                <w:b/>
                <w:bCs/>
                <w:color w:val="000000"/>
                <w:sz w:val="20"/>
              </w:rPr>
              <w:t xml:space="preserve"> felújítás 1 db lakóépületben (villanyfűtésű)</w:t>
            </w:r>
          </w:p>
        </w:tc>
        <w:tc>
          <w:tcPr>
            <w:tcW w:w="1134" w:type="dxa"/>
            <w:tcBorders>
              <w:top w:val="single" w:sz="4" w:space="0" w:color="auto"/>
              <w:left w:val="single" w:sz="4" w:space="0" w:color="auto"/>
              <w:bottom w:val="single" w:sz="4" w:space="0" w:color="auto"/>
              <w:right w:val="single" w:sz="4" w:space="0" w:color="auto"/>
            </w:tcBorders>
            <w:shd w:val="clear" w:color="000000" w:fill="C6E0B4"/>
            <w:noWrap/>
            <w:vAlign w:val="center"/>
          </w:tcPr>
          <w:p w14:paraId="19395658" w14:textId="0EB3CECE"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54</w:t>
            </w:r>
          </w:p>
        </w:tc>
        <w:tc>
          <w:tcPr>
            <w:tcW w:w="1152" w:type="dxa"/>
            <w:tcBorders>
              <w:top w:val="single" w:sz="4" w:space="0" w:color="auto"/>
              <w:left w:val="single" w:sz="4" w:space="0" w:color="auto"/>
              <w:bottom w:val="single" w:sz="4" w:space="0" w:color="auto"/>
              <w:right w:val="single" w:sz="4" w:space="0" w:color="auto"/>
            </w:tcBorders>
            <w:shd w:val="clear" w:color="000000" w:fill="C6E0B4"/>
            <w:noWrap/>
            <w:vAlign w:val="center"/>
          </w:tcPr>
          <w:p w14:paraId="47B22A23" w14:textId="231177D3"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20</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9075516"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7F4B3"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34A59"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81192" w14:textId="77777777" w:rsidR="00B354CE" w:rsidRPr="00BE641A" w:rsidRDefault="00B354CE" w:rsidP="00346A4D">
            <w:pPr>
              <w:autoSpaceDE/>
              <w:autoSpaceDN/>
              <w:spacing w:before="0" w:after="0" w:line="240" w:lineRule="auto"/>
              <w:jc w:val="center"/>
              <w:rPr>
                <w:rFonts w:cs="Calibri"/>
                <w:b/>
                <w:bCs/>
                <w:color w:val="000000"/>
                <w:sz w:val="20"/>
              </w:rPr>
            </w:pPr>
          </w:p>
        </w:tc>
      </w:tr>
      <w:tr w:rsidR="00B354CE" w:rsidRPr="00BE641A" w14:paraId="57879D74" w14:textId="77777777" w:rsidTr="00D7063F">
        <w:tc>
          <w:tcPr>
            <w:tcW w:w="965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6668EF7" w14:textId="2E6996D7" w:rsidR="00B354CE" w:rsidRPr="00BE641A" w:rsidRDefault="00B354CE" w:rsidP="00346A4D">
            <w:pPr>
              <w:autoSpaceDE/>
              <w:autoSpaceDN/>
              <w:spacing w:before="0" w:after="0" w:line="240" w:lineRule="auto"/>
              <w:rPr>
                <w:rFonts w:cs="Calibri"/>
                <w:b/>
                <w:bCs/>
                <w:color w:val="000000"/>
                <w:sz w:val="20"/>
              </w:rPr>
            </w:pPr>
            <w:r w:rsidRPr="00B354CE">
              <w:rPr>
                <w:rFonts w:cs="Calibri"/>
                <w:b/>
                <w:bCs/>
                <w:color w:val="000000"/>
                <w:sz w:val="20"/>
              </w:rPr>
              <w:t>Hőszivattyús ellátás földgáz bázisú fűtési ellátás helyett 28 db önkormányzati tulajdonú épületben</w:t>
            </w:r>
          </w:p>
        </w:tc>
      </w:tr>
      <w:tr w:rsidR="00B354CE" w:rsidRPr="00BE641A" w14:paraId="3BD193B0" w14:textId="77777777" w:rsidTr="00D7063F">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C8523" w14:textId="46600942" w:rsidR="00B354CE" w:rsidRPr="00BE641A" w:rsidRDefault="00B354CE" w:rsidP="00B354CE">
            <w:pPr>
              <w:autoSpaceDE/>
              <w:autoSpaceDN/>
              <w:spacing w:before="0" w:after="0" w:line="240" w:lineRule="auto"/>
              <w:rPr>
                <w:rFonts w:cs="Calibri"/>
                <w:b/>
                <w:bCs/>
                <w:color w:val="000000"/>
                <w:sz w:val="20"/>
              </w:rPr>
            </w:pPr>
            <w:proofErr w:type="gramStart"/>
            <w:r>
              <w:rPr>
                <w:rFonts w:cs="Calibri"/>
                <w:b/>
                <w:bCs/>
                <w:color w:val="000000"/>
                <w:sz w:val="20"/>
              </w:rPr>
              <w:t>A</w:t>
            </w:r>
            <w:proofErr w:type="gramEnd"/>
            <w:r>
              <w:rPr>
                <w:rFonts w:cs="Calibri"/>
                <w:b/>
                <w:bCs/>
                <w:color w:val="000000"/>
                <w:sz w:val="20"/>
              </w:rPr>
              <w:t xml:space="preserve">: </w:t>
            </w:r>
            <w:r w:rsidRPr="00B354CE">
              <w:rPr>
                <w:rFonts w:cs="Calibri"/>
                <w:b/>
                <w:bCs/>
                <w:color w:val="000000"/>
                <w:sz w:val="20"/>
              </w:rPr>
              <w:t>Épület-központi ellátás (levegő-víz HP központi fűtési rendszerhez)</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C776A" w14:textId="29B81A26"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E0655" w14:textId="16CFFBEC" w:rsidR="00B354CE" w:rsidRPr="00BE641A" w:rsidRDefault="00B354CE" w:rsidP="00346A4D">
            <w:pPr>
              <w:autoSpaceDE/>
              <w:autoSpaceDN/>
              <w:spacing w:before="0" w:after="0" w:line="240" w:lineRule="auto"/>
              <w:jc w:val="center"/>
              <w:rPr>
                <w:rFonts w:cs="Calibri"/>
                <w:b/>
                <w:bCs/>
                <w:color w:val="000000"/>
                <w:sz w:val="20"/>
              </w:rPr>
            </w:pPr>
          </w:p>
        </w:tc>
        <w:tc>
          <w:tcPr>
            <w:tcW w:w="1116" w:type="dxa"/>
            <w:gridSpan w:val="2"/>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1595C924" w14:textId="590E191C"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1 495</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2E5230E3" w14:textId="3AAEF611"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317</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A40E5" w14:textId="44005796"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84F28" w14:textId="5C2D00F0" w:rsidR="00B354CE" w:rsidRPr="00BE641A" w:rsidRDefault="00B354CE" w:rsidP="00346A4D">
            <w:pPr>
              <w:autoSpaceDE/>
              <w:autoSpaceDN/>
              <w:spacing w:before="0" w:after="0" w:line="240" w:lineRule="auto"/>
              <w:jc w:val="center"/>
              <w:rPr>
                <w:rFonts w:cs="Calibri"/>
                <w:b/>
                <w:bCs/>
                <w:color w:val="000000"/>
                <w:sz w:val="20"/>
              </w:rPr>
            </w:pPr>
          </w:p>
        </w:tc>
      </w:tr>
      <w:tr w:rsidR="00B354CE" w:rsidRPr="00BE641A" w14:paraId="580ABD67" w14:textId="77777777" w:rsidTr="00D7063F">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A9106" w14:textId="02B3E3D0" w:rsidR="00B354CE" w:rsidRPr="00BE641A" w:rsidRDefault="00B354CE" w:rsidP="00B354CE">
            <w:pPr>
              <w:autoSpaceDE/>
              <w:autoSpaceDN/>
              <w:spacing w:before="0" w:after="0" w:line="240" w:lineRule="auto"/>
              <w:rPr>
                <w:rFonts w:cs="Calibri"/>
                <w:b/>
                <w:bCs/>
                <w:color w:val="000000"/>
                <w:sz w:val="20"/>
              </w:rPr>
            </w:pPr>
            <w:r>
              <w:rPr>
                <w:rFonts w:cs="Calibri"/>
                <w:b/>
                <w:bCs/>
                <w:color w:val="000000"/>
                <w:sz w:val="20"/>
              </w:rPr>
              <w:t xml:space="preserve">B: </w:t>
            </w:r>
            <w:r w:rsidRPr="00B354CE">
              <w:rPr>
                <w:rFonts w:cs="Calibri"/>
                <w:b/>
                <w:bCs/>
                <w:color w:val="000000"/>
                <w:sz w:val="20"/>
              </w:rPr>
              <w:t>Központi ellátás (VRF)</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A6E99"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19EC7"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16" w:type="dxa"/>
            <w:gridSpan w:val="2"/>
            <w:tcBorders>
              <w:top w:val="single" w:sz="4" w:space="0" w:color="auto"/>
              <w:left w:val="single" w:sz="4" w:space="0" w:color="auto"/>
              <w:bottom w:val="single" w:sz="4" w:space="0" w:color="auto"/>
              <w:right w:val="single" w:sz="4" w:space="0" w:color="auto"/>
            </w:tcBorders>
            <w:shd w:val="clear" w:color="000000" w:fill="FFE699"/>
            <w:noWrap/>
            <w:vAlign w:val="center"/>
          </w:tcPr>
          <w:p w14:paraId="5824FECD" w14:textId="73D51E87"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1 556</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1E4FD564" w14:textId="6522CD27"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340</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BA2BC6"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E51F3" w14:textId="77777777" w:rsidR="00B354CE" w:rsidRPr="00BE641A" w:rsidRDefault="00B354CE" w:rsidP="00346A4D">
            <w:pPr>
              <w:autoSpaceDE/>
              <w:autoSpaceDN/>
              <w:spacing w:before="0" w:after="0" w:line="240" w:lineRule="auto"/>
              <w:jc w:val="center"/>
              <w:rPr>
                <w:rFonts w:cs="Calibri"/>
                <w:b/>
                <w:bCs/>
                <w:color w:val="000000"/>
                <w:sz w:val="20"/>
              </w:rPr>
            </w:pPr>
          </w:p>
        </w:tc>
      </w:tr>
      <w:tr w:rsidR="00B354CE" w:rsidRPr="00BE641A" w14:paraId="6C2F1AE2" w14:textId="77777777" w:rsidTr="00D7063F">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48529C" w14:textId="267929E5" w:rsidR="00B354CE" w:rsidRPr="00BE641A" w:rsidRDefault="00B354CE" w:rsidP="00B354CE">
            <w:pPr>
              <w:autoSpaceDE/>
              <w:autoSpaceDN/>
              <w:spacing w:before="0" w:after="0" w:line="240" w:lineRule="auto"/>
              <w:rPr>
                <w:rFonts w:cs="Calibri"/>
                <w:b/>
                <w:bCs/>
                <w:color w:val="000000"/>
                <w:sz w:val="20"/>
              </w:rPr>
            </w:pPr>
            <w:r>
              <w:rPr>
                <w:rFonts w:cs="Calibri"/>
                <w:b/>
                <w:bCs/>
                <w:color w:val="000000"/>
                <w:sz w:val="20"/>
              </w:rPr>
              <w:t xml:space="preserve">C: </w:t>
            </w:r>
            <w:r w:rsidRPr="00B354CE">
              <w:rPr>
                <w:rFonts w:cs="Calibri"/>
                <w:b/>
                <w:bCs/>
                <w:color w:val="000000"/>
                <w:sz w:val="20"/>
              </w:rPr>
              <w:t xml:space="preserve">Helyiség ellátás (levegő-levegő HP - </w:t>
            </w:r>
            <w:proofErr w:type="spellStart"/>
            <w:r w:rsidRPr="00B354CE">
              <w:rPr>
                <w:rFonts w:cs="Calibri"/>
                <w:b/>
                <w:bCs/>
                <w:color w:val="000000"/>
                <w:sz w:val="20"/>
              </w:rPr>
              <w:t>split</w:t>
            </w:r>
            <w:proofErr w:type="spellEnd"/>
            <w:r w:rsidRPr="00B354CE">
              <w:rPr>
                <w:rFonts w:cs="Calibri"/>
                <w:b/>
                <w:bCs/>
                <w:color w:val="000000"/>
                <w:sz w:val="20"/>
              </w:rPr>
              <w:t xml:space="preserve"> klímák)</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5DE99"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968B4"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16" w:type="dxa"/>
            <w:gridSpan w:val="2"/>
            <w:tcBorders>
              <w:top w:val="single" w:sz="4" w:space="0" w:color="auto"/>
              <w:left w:val="single" w:sz="4" w:space="0" w:color="auto"/>
              <w:bottom w:val="single" w:sz="4" w:space="0" w:color="auto"/>
              <w:right w:val="single" w:sz="4" w:space="0" w:color="auto"/>
            </w:tcBorders>
            <w:shd w:val="clear" w:color="000000" w:fill="FFE699"/>
            <w:noWrap/>
            <w:vAlign w:val="center"/>
          </w:tcPr>
          <w:p w14:paraId="0B82820F" w14:textId="5201067F"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1 556</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28C42390" w14:textId="03254F5A"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340</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501F0"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8179F" w14:textId="77777777" w:rsidR="00B354CE" w:rsidRPr="00BE641A" w:rsidRDefault="00B354CE" w:rsidP="00346A4D">
            <w:pPr>
              <w:autoSpaceDE/>
              <w:autoSpaceDN/>
              <w:spacing w:before="0" w:after="0" w:line="240" w:lineRule="auto"/>
              <w:jc w:val="center"/>
              <w:rPr>
                <w:rFonts w:cs="Calibri"/>
                <w:b/>
                <w:bCs/>
                <w:color w:val="000000"/>
                <w:sz w:val="20"/>
              </w:rPr>
            </w:pPr>
          </w:p>
        </w:tc>
      </w:tr>
      <w:tr w:rsidR="00B354CE" w:rsidRPr="00BE641A" w14:paraId="76921B5E" w14:textId="77777777" w:rsidTr="00D7063F">
        <w:tc>
          <w:tcPr>
            <w:tcW w:w="965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25277A78" w14:textId="0933E708" w:rsidR="00B354CE" w:rsidRPr="00BE641A" w:rsidRDefault="00B354CE" w:rsidP="00346A4D">
            <w:pPr>
              <w:autoSpaceDE/>
              <w:autoSpaceDN/>
              <w:spacing w:before="0" w:after="0" w:line="240" w:lineRule="auto"/>
              <w:rPr>
                <w:rFonts w:cs="Calibri"/>
                <w:b/>
                <w:bCs/>
                <w:color w:val="000000"/>
                <w:sz w:val="20"/>
              </w:rPr>
            </w:pPr>
            <w:r w:rsidRPr="00B354CE">
              <w:rPr>
                <w:rFonts w:cs="Calibri"/>
                <w:b/>
                <w:bCs/>
                <w:color w:val="000000"/>
                <w:sz w:val="20"/>
              </w:rPr>
              <w:t>Hőszivattyús ellátás villamos energia bázisú fűtési ellátás helyett 1 db önkormányzati tulajdonú épületben</w:t>
            </w:r>
          </w:p>
        </w:tc>
      </w:tr>
      <w:tr w:rsidR="00B354CE" w:rsidRPr="00BE641A" w14:paraId="7AC19F9C" w14:textId="77777777" w:rsidTr="00D7063F">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91F100" w14:textId="2ECE6031" w:rsidR="00B354CE" w:rsidRPr="00BE641A" w:rsidRDefault="00B354CE" w:rsidP="00B354CE">
            <w:pPr>
              <w:autoSpaceDE/>
              <w:autoSpaceDN/>
              <w:spacing w:before="0" w:after="0" w:line="240" w:lineRule="auto"/>
              <w:rPr>
                <w:rFonts w:cs="Calibri"/>
                <w:b/>
                <w:bCs/>
                <w:color w:val="000000"/>
                <w:sz w:val="20"/>
              </w:rPr>
            </w:pPr>
            <w:proofErr w:type="gramStart"/>
            <w:r>
              <w:rPr>
                <w:rFonts w:cs="Calibri"/>
                <w:b/>
                <w:bCs/>
                <w:color w:val="000000"/>
                <w:sz w:val="20"/>
              </w:rPr>
              <w:t>A</w:t>
            </w:r>
            <w:proofErr w:type="gramEnd"/>
            <w:r>
              <w:rPr>
                <w:rFonts w:cs="Calibri"/>
                <w:b/>
                <w:bCs/>
                <w:color w:val="000000"/>
                <w:sz w:val="20"/>
              </w:rPr>
              <w:t xml:space="preserve">: </w:t>
            </w:r>
            <w:r w:rsidRPr="00B354CE">
              <w:rPr>
                <w:rFonts w:cs="Calibri"/>
                <w:b/>
                <w:bCs/>
                <w:color w:val="000000"/>
                <w:sz w:val="20"/>
              </w:rPr>
              <w:t>Épület-központi ellátás (levegő-víz HP központi fűtési rendszerhez)</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77DEC"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67006"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16" w:type="dxa"/>
            <w:gridSpan w:val="2"/>
            <w:tcBorders>
              <w:top w:val="single" w:sz="4" w:space="0" w:color="auto"/>
              <w:left w:val="single" w:sz="4" w:space="0" w:color="auto"/>
              <w:bottom w:val="single" w:sz="4" w:space="0" w:color="auto"/>
              <w:right w:val="single" w:sz="4" w:space="0" w:color="auto"/>
            </w:tcBorders>
            <w:shd w:val="clear" w:color="000000" w:fill="FFE699"/>
            <w:noWrap/>
            <w:vAlign w:val="center"/>
          </w:tcPr>
          <w:p w14:paraId="79044CE0" w14:textId="19551D53"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24,81</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35061E25" w14:textId="1D6C6E8E"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9,18</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F3327" w14:textId="77777777"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A4479" w14:textId="77777777" w:rsidR="00B354CE" w:rsidRPr="00BE641A" w:rsidRDefault="00B354CE" w:rsidP="00346A4D">
            <w:pPr>
              <w:autoSpaceDE/>
              <w:autoSpaceDN/>
              <w:spacing w:before="0" w:after="0" w:line="240" w:lineRule="auto"/>
              <w:jc w:val="center"/>
              <w:rPr>
                <w:rFonts w:cs="Calibri"/>
                <w:b/>
                <w:bCs/>
                <w:color w:val="000000"/>
                <w:sz w:val="20"/>
              </w:rPr>
            </w:pPr>
          </w:p>
        </w:tc>
      </w:tr>
      <w:tr w:rsidR="00B354CE" w:rsidRPr="00BE641A" w14:paraId="6652D722" w14:textId="77777777" w:rsidTr="00D7063F">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B9ED3" w14:textId="7C9A5ECF" w:rsidR="00B354CE" w:rsidRPr="00BE641A" w:rsidRDefault="00B354CE" w:rsidP="00B354CE">
            <w:pPr>
              <w:autoSpaceDE/>
              <w:autoSpaceDN/>
              <w:spacing w:before="0" w:after="0" w:line="240" w:lineRule="auto"/>
              <w:rPr>
                <w:rFonts w:cs="Calibri"/>
                <w:b/>
                <w:bCs/>
                <w:color w:val="000000"/>
                <w:sz w:val="20"/>
              </w:rPr>
            </w:pPr>
            <w:r>
              <w:rPr>
                <w:rFonts w:cs="Calibri"/>
                <w:b/>
                <w:bCs/>
                <w:color w:val="000000"/>
                <w:sz w:val="20"/>
              </w:rPr>
              <w:t xml:space="preserve">B: </w:t>
            </w:r>
            <w:r w:rsidRPr="00B354CE">
              <w:rPr>
                <w:rFonts w:cs="Calibri"/>
                <w:b/>
                <w:bCs/>
                <w:color w:val="000000"/>
                <w:sz w:val="20"/>
              </w:rPr>
              <w:t>Központi ellátás (VRF)</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0754" w14:textId="55DC6BEB"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AF2F6" w14:textId="0424EFEA" w:rsidR="00B354CE" w:rsidRPr="00BE641A" w:rsidRDefault="00B354CE" w:rsidP="00346A4D">
            <w:pPr>
              <w:autoSpaceDE/>
              <w:autoSpaceDN/>
              <w:spacing w:before="0" w:after="0" w:line="240" w:lineRule="auto"/>
              <w:jc w:val="center"/>
              <w:rPr>
                <w:rFonts w:cs="Calibri"/>
                <w:b/>
                <w:bCs/>
                <w:color w:val="000000"/>
                <w:sz w:val="20"/>
              </w:rPr>
            </w:pPr>
          </w:p>
        </w:tc>
        <w:tc>
          <w:tcPr>
            <w:tcW w:w="1116" w:type="dxa"/>
            <w:gridSpan w:val="2"/>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2897B237" w14:textId="0EA96C27"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25,83</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5E9CC2B8" w14:textId="3DA26639"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9,55</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E569" w14:textId="181499CF"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BBB72" w14:textId="695D5DB5" w:rsidR="00B354CE" w:rsidRPr="00BE641A" w:rsidRDefault="00B354CE" w:rsidP="00346A4D">
            <w:pPr>
              <w:autoSpaceDE/>
              <w:autoSpaceDN/>
              <w:spacing w:before="0" w:after="0" w:line="240" w:lineRule="auto"/>
              <w:jc w:val="center"/>
              <w:rPr>
                <w:rFonts w:cs="Calibri"/>
                <w:b/>
                <w:bCs/>
                <w:color w:val="000000"/>
                <w:sz w:val="20"/>
              </w:rPr>
            </w:pPr>
          </w:p>
        </w:tc>
      </w:tr>
      <w:tr w:rsidR="00B354CE" w:rsidRPr="00BE641A" w14:paraId="4CCF1C82" w14:textId="77777777" w:rsidTr="00D7063F">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42193" w14:textId="03C023A2" w:rsidR="00B354CE" w:rsidRPr="00BE641A" w:rsidRDefault="00B354CE" w:rsidP="00B354CE">
            <w:pPr>
              <w:autoSpaceDE/>
              <w:autoSpaceDN/>
              <w:spacing w:before="0" w:after="0" w:line="240" w:lineRule="auto"/>
              <w:rPr>
                <w:rFonts w:cs="Calibri"/>
                <w:b/>
                <w:bCs/>
                <w:color w:val="000000"/>
                <w:sz w:val="20"/>
              </w:rPr>
            </w:pPr>
            <w:r>
              <w:rPr>
                <w:rFonts w:cs="Calibri"/>
                <w:b/>
                <w:bCs/>
                <w:color w:val="000000"/>
                <w:sz w:val="20"/>
              </w:rPr>
              <w:t xml:space="preserve">C: </w:t>
            </w:r>
            <w:r w:rsidRPr="00B354CE">
              <w:rPr>
                <w:rFonts w:cs="Calibri"/>
                <w:b/>
                <w:bCs/>
                <w:color w:val="000000"/>
                <w:sz w:val="20"/>
              </w:rPr>
              <w:t xml:space="preserve">Helyiség ellátás (levegő-levegő HP - </w:t>
            </w:r>
            <w:proofErr w:type="spellStart"/>
            <w:r w:rsidRPr="00B354CE">
              <w:rPr>
                <w:rFonts w:cs="Calibri"/>
                <w:b/>
                <w:bCs/>
                <w:color w:val="000000"/>
                <w:sz w:val="20"/>
              </w:rPr>
              <w:t>split</w:t>
            </w:r>
            <w:proofErr w:type="spellEnd"/>
            <w:r w:rsidRPr="00B354CE">
              <w:rPr>
                <w:rFonts w:cs="Calibri"/>
                <w:b/>
                <w:bCs/>
                <w:color w:val="000000"/>
                <w:sz w:val="20"/>
              </w:rPr>
              <w:t xml:space="preserve"> klímák)</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8BF4D" w14:textId="765EC74E"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F979C" w14:textId="2D10F35F" w:rsidR="00B354CE" w:rsidRPr="00BE641A" w:rsidRDefault="00B354CE" w:rsidP="00346A4D">
            <w:pPr>
              <w:autoSpaceDE/>
              <w:autoSpaceDN/>
              <w:spacing w:before="0" w:after="0" w:line="240" w:lineRule="auto"/>
              <w:jc w:val="center"/>
              <w:rPr>
                <w:rFonts w:cs="Calibri"/>
                <w:b/>
                <w:bCs/>
                <w:color w:val="000000"/>
                <w:sz w:val="20"/>
              </w:rPr>
            </w:pPr>
          </w:p>
        </w:tc>
        <w:tc>
          <w:tcPr>
            <w:tcW w:w="1116" w:type="dxa"/>
            <w:gridSpan w:val="2"/>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0C57FCB7" w14:textId="5BC4A7F1"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25,83</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26869F12" w14:textId="01B4C05D" w:rsidR="00B354CE" w:rsidRPr="00BE641A" w:rsidRDefault="00B354CE" w:rsidP="00346A4D">
            <w:pPr>
              <w:autoSpaceDE/>
              <w:autoSpaceDN/>
              <w:spacing w:before="0" w:after="0" w:line="240" w:lineRule="auto"/>
              <w:jc w:val="center"/>
              <w:rPr>
                <w:rFonts w:cs="Calibri"/>
                <w:b/>
                <w:bCs/>
                <w:color w:val="000000"/>
                <w:sz w:val="20"/>
              </w:rPr>
            </w:pPr>
            <w:r w:rsidRPr="00B354CE">
              <w:rPr>
                <w:rFonts w:cs="Calibri"/>
                <w:b/>
                <w:bCs/>
                <w:color w:val="000000"/>
                <w:sz w:val="20"/>
              </w:rPr>
              <w:t>9,55</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13DEC" w14:textId="7E555D0C" w:rsidR="00B354CE" w:rsidRPr="00BE641A" w:rsidRDefault="00B354CE"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14C0C" w14:textId="2BDF97E3" w:rsidR="00B354CE" w:rsidRPr="00BE641A" w:rsidRDefault="00B354CE" w:rsidP="00346A4D">
            <w:pPr>
              <w:autoSpaceDE/>
              <w:autoSpaceDN/>
              <w:spacing w:before="0" w:after="0" w:line="240" w:lineRule="auto"/>
              <w:jc w:val="center"/>
              <w:rPr>
                <w:rFonts w:cs="Calibri"/>
                <w:b/>
                <w:bCs/>
                <w:color w:val="000000"/>
                <w:sz w:val="20"/>
              </w:rPr>
            </w:pPr>
          </w:p>
        </w:tc>
      </w:tr>
      <w:tr w:rsidR="00BE641A" w:rsidRPr="00BE641A" w14:paraId="6070C6C3" w14:textId="77777777" w:rsidTr="00D7063F">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59140" w14:textId="77777777" w:rsidR="00BE641A" w:rsidRPr="00BE641A" w:rsidRDefault="00BE641A" w:rsidP="00B354CE">
            <w:pPr>
              <w:autoSpaceDE/>
              <w:autoSpaceDN/>
              <w:spacing w:before="0" w:after="0" w:line="240" w:lineRule="auto"/>
              <w:rPr>
                <w:rFonts w:cs="Calibri"/>
                <w:b/>
                <w:bCs/>
                <w:color w:val="000000"/>
                <w:sz w:val="20"/>
              </w:rPr>
            </w:pPr>
            <w:r w:rsidRPr="00BE641A">
              <w:rPr>
                <w:rFonts w:cs="Calibri"/>
                <w:b/>
                <w:bCs/>
                <w:color w:val="000000"/>
                <w:sz w:val="20"/>
              </w:rPr>
              <w:t>PV telepítés lakóépületre / db</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22CC6" w14:textId="3BD2A320" w:rsidR="00BE641A" w:rsidRPr="00BE641A" w:rsidRDefault="00BE641A"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C90AE" w14:textId="1AC8DD4A" w:rsidR="00BE641A" w:rsidRPr="00BE641A" w:rsidRDefault="00BE641A" w:rsidP="00346A4D">
            <w:pPr>
              <w:autoSpaceDE/>
              <w:autoSpaceDN/>
              <w:spacing w:before="0" w:after="0" w:line="240" w:lineRule="auto"/>
              <w:jc w:val="center"/>
              <w:rPr>
                <w:rFonts w:cs="Calibri"/>
                <w:b/>
                <w:bCs/>
                <w:color w:val="000000"/>
                <w:sz w:val="20"/>
              </w:rPr>
            </w:pP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73A82" w14:textId="26DE317B" w:rsidR="00BE641A" w:rsidRPr="00BE641A" w:rsidRDefault="00BE641A" w:rsidP="00346A4D">
            <w:pPr>
              <w:autoSpaceDE/>
              <w:autoSpaceDN/>
              <w:spacing w:before="0" w:after="0" w:line="240" w:lineRule="auto"/>
              <w:jc w:val="center"/>
              <w:rPr>
                <w:rFonts w:cs="Calibri"/>
                <w:b/>
                <w:bCs/>
                <w:color w:val="000000"/>
                <w:sz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C31CB" w14:textId="351D0E1B" w:rsidR="00BE641A" w:rsidRPr="00BE641A" w:rsidRDefault="00BE641A" w:rsidP="00346A4D">
            <w:pPr>
              <w:autoSpaceDE/>
              <w:autoSpaceDN/>
              <w:spacing w:before="0" w:after="0" w:line="240" w:lineRule="auto"/>
              <w:jc w:val="center"/>
              <w:rPr>
                <w:rFonts w:cs="Calibri"/>
                <w:b/>
                <w:bCs/>
                <w:color w:val="000000"/>
                <w:sz w:val="20"/>
              </w:rPr>
            </w:pPr>
          </w:p>
        </w:tc>
        <w:tc>
          <w:tcPr>
            <w:tcW w:w="1116"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0ECF04CD" w14:textId="77777777" w:rsidR="00BE641A" w:rsidRPr="00BE641A" w:rsidRDefault="00BE641A" w:rsidP="00346A4D">
            <w:pPr>
              <w:autoSpaceDE/>
              <w:autoSpaceDN/>
              <w:spacing w:before="0" w:after="0" w:line="240" w:lineRule="auto"/>
              <w:jc w:val="center"/>
              <w:rPr>
                <w:rFonts w:cs="Calibri"/>
                <w:b/>
                <w:bCs/>
                <w:color w:val="000000"/>
                <w:sz w:val="20"/>
              </w:rPr>
            </w:pPr>
            <w:r w:rsidRPr="00BE641A">
              <w:rPr>
                <w:rFonts w:cs="Calibri"/>
                <w:b/>
                <w:bCs/>
                <w:color w:val="000000"/>
                <w:sz w:val="20"/>
              </w:rPr>
              <w:t>424</w:t>
            </w:r>
          </w:p>
        </w:tc>
        <w:tc>
          <w:tcPr>
            <w:tcW w:w="1152"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6F7EDF6" w14:textId="77777777" w:rsidR="00BE641A" w:rsidRPr="00BE641A" w:rsidRDefault="00BE641A" w:rsidP="00346A4D">
            <w:pPr>
              <w:autoSpaceDE/>
              <w:autoSpaceDN/>
              <w:spacing w:before="0" w:after="0" w:line="240" w:lineRule="auto"/>
              <w:jc w:val="center"/>
              <w:rPr>
                <w:rFonts w:cs="Calibri"/>
                <w:b/>
                <w:bCs/>
                <w:color w:val="000000"/>
                <w:sz w:val="20"/>
              </w:rPr>
            </w:pPr>
            <w:r w:rsidRPr="00BE641A">
              <w:rPr>
                <w:rFonts w:cs="Calibri"/>
                <w:b/>
                <w:bCs/>
                <w:color w:val="000000"/>
                <w:sz w:val="20"/>
              </w:rPr>
              <w:t>157</w:t>
            </w:r>
          </w:p>
        </w:tc>
      </w:tr>
      <w:tr w:rsidR="00067759" w:rsidRPr="00BE641A" w14:paraId="21A001F8" w14:textId="77777777" w:rsidTr="00D7063F">
        <w:tc>
          <w:tcPr>
            <w:tcW w:w="283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862338" w14:textId="77777777" w:rsidR="00067759" w:rsidRPr="00BE641A" w:rsidRDefault="00067759" w:rsidP="00067759">
            <w:pPr>
              <w:autoSpaceDE/>
              <w:autoSpaceDN/>
              <w:spacing w:before="0" w:after="0" w:line="240" w:lineRule="auto"/>
              <w:rPr>
                <w:rFonts w:cs="Calibri"/>
                <w:b/>
                <w:bCs/>
                <w:color w:val="000000"/>
                <w:sz w:val="20"/>
              </w:rPr>
            </w:pPr>
            <w:r w:rsidRPr="00BE641A">
              <w:rPr>
                <w:rFonts w:cs="Calibri"/>
                <w:b/>
                <w:bCs/>
                <w:color w:val="000000"/>
                <w:sz w:val="20"/>
              </w:rPr>
              <w:t>29 épület összesen</w:t>
            </w:r>
          </w:p>
        </w:tc>
        <w:tc>
          <w:tcPr>
            <w:tcW w:w="1134"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72020943" w14:textId="56C57A7E" w:rsidR="00067759" w:rsidRPr="00BE641A" w:rsidRDefault="00067759" w:rsidP="00346A4D">
            <w:pPr>
              <w:autoSpaceDE/>
              <w:autoSpaceDN/>
              <w:spacing w:before="0" w:after="0" w:line="240" w:lineRule="auto"/>
              <w:jc w:val="center"/>
              <w:rPr>
                <w:rFonts w:cs="Calibri"/>
                <w:b/>
                <w:bCs/>
                <w:color w:val="000000"/>
                <w:sz w:val="20"/>
              </w:rPr>
            </w:pPr>
            <w:r w:rsidRPr="00B354CE">
              <w:rPr>
                <w:rFonts w:cs="Calibri"/>
                <w:b/>
                <w:bCs/>
                <w:color w:val="000000"/>
                <w:sz w:val="20"/>
              </w:rPr>
              <w:t>3 843</w:t>
            </w:r>
          </w:p>
        </w:tc>
        <w:tc>
          <w:tcPr>
            <w:tcW w:w="1152"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532A3B16" w14:textId="208B8F2E" w:rsidR="00067759" w:rsidRPr="00BE641A" w:rsidRDefault="00067759" w:rsidP="00346A4D">
            <w:pPr>
              <w:autoSpaceDE/>
              <w:autoSpaceDN/>
              <w:spacing w:before="0" w:after="0" w:line="240" w:lineRule="auto"/>
              <w:jc w:val="center"/>
              <w:rPr>
                <w:rFonts w:cs="Calibri"/>
                <w:b/>
                <w:bCs/>
                <w:color w:val="000000"/>
                <w:sz w:val="20"/>
              </w:rPr>
            </w:pPr>
            <w:r w:rsidRPr="00B354CE">
              <w:rPr>
                <w:rFonts w:cs="Calibri"/>
                <w:b/>
                <w:bCs/>
                <w:color w:val="000000"/>
                <w:sz w:val="20"/>
              </w:rPr>
              <w:t>1 014</w:t>
            </w:r>
          </w:p>
        </w:tc>
        <w:tc>
          <w:tcPr>
            <w:tcW w:w="267"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5AFE6E54" w14:textId="4A59FAB7" w:rsidR="00067759" w:rsidRPr="00BE641A" w:rsidRDefault="00067759" w:rsidP="00346A4D">
            <w:pPr>
              <w:autoSpaceDE/>
              <w:autoSpaceDN/>
              <w:spacing w:before="0" w:after="0" w:line="240" w:lineRule="auto"/>
              <w:jc w:val="center"/>
              <w:rPr>
                <w:rFonts w:cs="Calibri"/>
                <w:b/>
                <w:bCs/>
                <w:color w:val="000000"/>
                <w:sz w:val="20"/>
              </w:rPr>
            </w:pPr>
            <w:r>
              <w:rPr>
                <w:rFonts w:cs="Calibri"/>
                <w:b/>
                <w:bCs/>
                <w:color w:val="000000"/>
                <w:sz w:val="20"/>
              </w:rPr>
              <w:t>A</w:t>
            </w:r>
          </w:p>
        </w:tc>
        <w:tc>
          <w:tcPr>
            <w:tcW w:w="849" w:type="dxa"/>
            <w:tcBorders>
              <w:top w:val="single" w:sz="4" w:space="0" w:color="auto"/>
              <w:left w:val="single" w:sz="4" w:space="0" w:color="auto"/>
              <w:bottom w:val="single" w:sz="4" w:space="0" w:color="auto"/>
              <w:right w:val="single" w:sz="4" w:space="0" w:color="auto"/>
            </w:tcBorders>
            <w:shd w:val="clear" w:color="000000" w:fill="FFE699"/>
            <w:vAlign w:val="center"/>
          </w:tcPr>
          <w:p w14:paraId="16299CA0" w14:textId="5D9B1256"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1 520</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556A739A" w14:textId="315721B6"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326</w:t>
            </w:r>
          </w:p>
        </w:tc>
        <w:tc>
          <w:tcPr>
            <w:tcW w:w="1116"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6FE1ADBD" w14:textId="77777777" w:rsidR="00067759" w:rsidRPr="00BE641A" w:rsidRDefault="00067759" w:rsidP="00346A4D">
            <w:pPr>
              <w:autoSpaceDE/>
              <w:autoSpaceDN/>
              <w:spacing w:before="0" w:after="0" w:line="240" w:lineRule="auto"/>
              <w:jc w:val="center"/>
              <w:rPr>
                <w:rFonts w:cs="Calibri"/>
                <w:b/>
                <w:bCs/>
                <w:color w:val="000000"/>
                <w:sz w:val="20"/>
              </w:rPr>
            </w:pPr>
            <w:r w:rsidRPr="00BE641A">
              <w:rPr>
                <w:rFonts w:cs="Calibri"/>
                <w:b/>
                <w:bCs/>
                <w:color w:val="000000"/>
                <w:sz w:val="20"/>
              </w:rPr>
              <w:t>424</w:t>
            </w:r>
          </w:p>
        </w:tc>
        <w:tc>
          <w:tcPr>
            <w:tcW w:w="1152"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FD320D9" w14:textId="77777777" w:rsidR="00067759" w:rsidRPr="00BE641A" w:rsidRDefault="00067759" w:rsidP="00346A4D">
            <w:pPr>
              <w:autoSpaceDE/>
              <w:autoSpaceDN/>
              <w:spacing w:before="0" w:after="0" w:line="240" w:lineRule="auto"/>
              <w:jc w:val="center"/>
              <w:rPr>
                <w:rFonts w:cs="Calibri"/>
                <w:b/>
                <w:bCs/>
                <w:color w:val="000000"/>
                <w:sz w:val="20"/>
              </w:rPr>
            </w:pPr>
            <w:r w:rsidRPr="00BE641A">
              <w:rPr>
                <w:rFonts w:cs="Calibri"/>
                <w:b/>
                <w:bCs/>
                <w:color w:val="000000"/>
                <w:sz w:val="20"/>
              </w:rPr>
              <w:t>157</w:t>
            </w:r>
          </w:p>
        </w:tc>
      </w:tr>
      <w:tr w:rsidR="00067759" w:rsidRPr="00BE641A" w14:paraId="204E8DB4" w14:textId="77777777" w:rsidTr="00D7063F">
        <w:tc>
          <w:tcPr>
            <w:tcW w:w="283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2785878" w14:textId="77777777" w:rsidR="00067759" w:rsidRPr="00BE641A" w:rsidRDefault="00067759" w:rsidP="00067759">
            <w:pPr>
              <w:autoSpaceDE/>
              <w:autoSpaceDN/>
              <w:spacing w:before="0" w:after="0" w:line="240" w:lineRule="auto"/>
              <w:rPr>
                <w:rFonts w:cs="Calibri"/>
                <w:b/>
                <w:bCs/>
                <w:color w:val="000000"/>
                <w:sz w:val="20"/>
              </w:rPr>
            </w:pPr>
            <w:r w:rsidRPr="00BE641A">
              <w:rPr>
                <w:rFonts w:cs="Calibri"/>
                <w:b/>
                <w:bCs/>
                <w:color w:val="000000"/>
                <w:sz w:val="20"/>
              </w:rPr>
              <w:t>1 m2-re vetített érték</w:t>
            </w:r>
          </w:p>
        </w:tc>
        <w:tc>
          <w:tcPr>
            <w:tcW w:w="1134"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2DE6B11C" w14:textId="12BC3DE5" w:rsidR="00067759" w:rsidRPr="00BE641A" w:rsidRDefault="00067759" w:rsidP="00346A4D">
            <w:pPr>
              <w:autoSpaceDE/>
              <w:autoSpaceDN/>
              <w:spacing w:before="0" w:after="0" w:line="240" w:lineRule="auto"/>
              <w:jc w:val="center"/>
              <w:rPr>
                <w:rFonts w:cs="Calibri"/>
                <w:b/>
                <w:bCs/>
                <w:color w:val="000000"/>
                <w:sz w:val="20"/>
              </w:rPr>
            </w:pPr>
            <w:r w:rsidRPr="00BE641A">
              <w:rPr>
                <w:rFonts w:cs="Calibri"/>
                <w:b/>
                <w:bCs/>
                <w:color w:val="000000"/>
                <w:sz w:val="20"/>
              </w:rPr>
              <w:t>0,1</w:t>
            </w:r>
            <w:r w:rsidR="00346A4D">
              <w:rPr>
                <w:rFonts w:cs="Calibri"/>
                <w:b/>
                <w:bCs/>
                <w:color w:val="000000"/>
                <w:sz w:val="20"/>
              </w:rPr>
              <w:t>25</w:t>
            </w:r>
          </w:p>
        </w:tc>
        <w:tc>
          <w:tcPr>
            <w:tcW w:w="1152"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06255DE3" w14:textId="27AAAAAA" w:rsidR="00067759" w:rsidRPr="00BE641A" w:rsidRDefault="00067759" w:rsidP="00346A4D">
            <w:pPr>
              <w:autoSpaceDE/>
              <w:autoSpaceDN/>
              <w:spacing w:before="0" w:after="0" w:line="240" w:lineRule="auto"/>
              <w:jc w:val="center"/>
              <w:rPr>
                <w:rFonts w:cs="Calibri"/>
                <w:b/>
                <w:bCs/>
                <w:color w:val="000000"/>
                <w:sz w:val="20"/>
              </w:rPr>
            </w:pPr>
            <w:r w:rsidRPr="00BE641A">
              <w:rPr>
                <w:rFonts w:cs="Calibri"/>
                <w:b/>
                <w:bCs/>
                <w:color w:val="000000"/>
                <w:sz w:val="20"/>
              </w:rPr>
              <w:t>0,03</w:t>
            </w:r>
            <w:r w:rsidR="00346A4D">
              <w:rPr>
                <w:rFonts w:cs="Calibri"/>
                <w:b/>
                <w:bCs/>
                <w:color w:val="000000"/>
                <w:sz w:val="20"/>
              </w:rPr>
              <w:t>3</w:t>
            </w:r>
          </w:p>
        </w:tc>
        <w:tc>
          <w:tcPr>
            <w:tcW w:w="267"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4C77740B" w14:textId="78F4153F" w:rsidR="00067759" w:rsidRPr="00BE641A" w:rsidRDefault="00067759" w:rsidP="00346A4D">
            <w:pPr>
              <w:autoSpaceDE/>
              <w:autoSpaceDN/>
              <w:spacing w:before="0" w:after="0" w:line="240" w:lineRule="auto"/>
              <w:jc w:val="center"/>
              <w:rPr>
                <w:rFonts w:cs="Calibri"/>
                <w:b/>
                <w:bCs/>
                <w:color w:val="000000"/>
                <w:sz w:val="20"/>
              </w:rPr>
            </w:pPr>
            <w:r>
              <w:rPr>
                <w:rFonts w:cs="Calibri"/>
                <w:b/>
                <w:bCs/>
                <w:color w:val="000000"/>
                <w:sz w:val="20"/>
              </w:rPr>
              <w:t>A</w:t>
            </w:r>
          </w:p>
        </w:tc>
        <w:tc>
          <w:tcPr>
            <w:tcW w:w="849" w:type="dxa"/>
            <w:tcBorders>
              <w:top w:val="single" w:sz="4" w:space="0" w:color="auto"/>
              <w:left w:val="single" w:sz="4" w:space="0" w:color="auto"/>
              <w:bottom w:val="single" w:sz="4" w:space="0" w:color="auto"/>
              <w:right w:val="single" w:sz="4" w:space="0" w:color="auto"/>
            </w:tcBorders>
            <w:shd w:val="clear" w:color="000000" w:fill="FFE699"/>
            <w:vAlign w:val="center"/>
          </w:tcPr>
          <w:p w14:paraId="628F715B" w14:textId="2BEB34EF"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0,0</w:t>
            </w:r>
            <w:r w:rsidR="00346A4D">
              <w:rPr>
                <w:rFonts w:cs="Calibri"/>
                <w:b/>
                <w:bCs/>
                <w:color w:val="000000"/>
                <w:sz w:val="20"/>
              </w:rPr>
              <w:t>4</w:t>
            </w:r>
            <w:r w:rsidRPr="00067759">
              <w:rPr>
                <w:rFonts w:cs="Calibri"/>
                <w:b/>
                <w:bCs/>
                <w:color w:val="000000"/>
                <w:sz w:val="20"/>
              </w:rPr>
              <w:t>9</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33FC8A20" w14:textId="617E340E"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0,01</w:t>
            </w:r>
            <w:r w:rsidR="00346A4D">
              <w:rPr>
                <w:rFonts w:cs="Calibri"/>
                <w:b/>
                <w:bCs/>
                <w:color w:val="000000"/>
                <w:sz w:val="20"/>
              </w:rPr>
              <w:t>1</w:t>
            </w:r>
          </w:p>
        </w:tc>
        <w:tc>
          <w:tcPr>
            <w:tcW w:w="1116"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7A4BADD6" w14:textId="7A48651F" w:rsidR="00067759" w:rsidRPr="00BE641A" w:rsidRDefault="00067759" w:rsidP="00346A4D">
            <w:pPr>
              <w:autoSpaceDE/>
              <w:autoSpaceDN/>
              <w:spacing w:before="0" w:after="0" w:line="240" w:lineRule="auto"/>
              <w:jc w:val="center"/>
              <w:rPr>
                <w:rFonts w:cs="Calibri"/>
                <w:b/>
                <w:bCs/>
                <w:color w:val="000000"/>
                <w:sz w:val="20"/>
              </w:rPr>
            </w:pPr>
            <w:r w:rsidRPr="00BE641A">
              <w:rPr>
                <w:rFonts w:cs="Calibri"/>
                <w:b/>
                <w:bCs/>
                <w:color w:val="000000"/>
                <w:sz w:val="20"/>
              </w:rPr>
              <w:t>0,0</w:t>
            </w:r>
            <w:r w:rsidR="00346A4D">
              <w:rPr>
                <w:rFonts w:cs="Calibri"/>
                <w:b/>
                <w:bCs/>
                <w:color w:val="000000"/>
                <w:sz w:val="20"/>
              </w:rPr>
              <w:t>30</w:t>
            </w:r>
          </w:p>
        </w:tc>
        <w:tc>
          <w:tcPr>
            <w:tcW w:w="1152"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4458DE22" w14:textId="0EC11A2D" w:rsidR="00067759" w:rsidRPr="00BE641A" w:rsidRDefault="00067759" w:rsidP="00346A4D">
            <w:pPr>
              <w:autoSpaceDE/>
              <w:autoSpaceDN/>
              <w:spacing w:before="0" w:after="0" w:line="240" w:lineRule="auto"/>
              <w:jc w:val="center"/>
              <w:rPr>
                <w:rFonts w:cs="Calibri"/>
                <w:b/>
                <w:bCs/>
                <w:color w:val="000000"/>
                <w:sz w:val="20"/>
              </w:rPr>
            </w:pPr>
            <w:r w:rsidRPr="00BE641A">
              <w:rPr>
                <w:rFonts w:cs="Calibri"/>
                <w:b/>
                <w:bCs/>
                <w:color w:val="000000"/>
                <w:sz w:val="20"/>
              </w:rPr>
              <w:t>0,0</w:t>
            </w:r>
            <w:r w:rsidR="00346A4D">
              <w:rPr>
                <w:rFonts w:cs="Calibri"/>
                <w:b/>
                <w:bCs/>
                <w:color w:val="000000"/>
                <w:sz w:val="20"/>
              </w:rPr>
              <w:t>11</w:t>
            </w:r>
          </w:p>
        </w:tc>
      </w:tr>
      <w:tr w:rsidR="00067759" w:rsidRPr="00BE641A" w14:paraId="3F452C10" w14:textId="77777777" w:rsidTr="00D7063F">
        <w:tc>
          <w:tcPr>
            <w:tcW w:w="2835" w:type="dxa"/>
            <w:tcBorders>
              <w:top w:val="single" w:sz="4" w:space="0" w:color="auto"/>
              <w:left w:val="nil"/>
              <w:bottom w:val="nil"/>
            </w:tcBorders>
            <w:shd w:val="clear" w:color="000000" w:fill="D9D9D9"/>
            <w:noWrap/>
            <w:vAlign w:val="center"/>
          </w:tcPr>
          <w:p w14:paraId="1897C086" w14:textId="2E6CFB95" w:rsidR="00067759" w:rsidRPr="00BE641A" w:rsidRDefault="00067759" w:rsidP="00067759">
            <w:pPr>
              <w:autoSpaceDE/>
              <w:autoSpaceDN/>
              <w:spacing w:before="0" w:after="0" w:line="240" w:lineRule="auto"/>
              <w:ind w:left="353"/>
              <w:rPr>
                <w:rFonts w:cs="Calibri"/>
                <w:b/>
                <w:bCs/>
                <w:color w:val="000000"/>
                <w:sz w:val="20"/>
              </w:rPr>
            </w:pPr>
            <w:r w:rsidRPr="00BE641A">
              <w:rPr>
                <w:rFonts w:cs="Calibri"/>
                <w:b/>
                <w:bCs/>
                <w:color w:val="000000"/>
                <w:sz w:val="20"/>
              </w:rPr>
              <w:t>29 épület összesen</w:t>
            </w:r>
          </w:p>
        </w:tc>
        <w:tc>
          <w:tcPr>
            <w:tcW w:w="1134" w:type="dxa"/>
            <w:tcBorders>
              <w:top w:val="single" w:sz="4" w:space="0" w:color="auto"/>
              <w:bottom w:val="nil"/>
            </w:tcBorders>
            <w:shd w:val="clear" w:color="auto" w:fill="D9D9D9" w:themeFill="background1" w:themeFillShade="D9"/>
            <w:noWrap/>
            <w:vAlign w:val="center"/>
          </w:tcPr>
          <w:p w14:paraId="10C1840A" w14:textId="77777777" w:rsidR="00067759" w:rsidRPr="00BE641A" w:rsidRDefault="00067759" w:rsidP="00346A4D">
            <w:pPr>
              <w:autoSpaceDE/>
              <w:autoSpaceDN/>
              <w:spacing w:before="0" w:after="0" w:line="240" w:lineRule="auto"/>
              <w:jc w:val="center"/>
              <w:rPr>
                <w:rFonts w:cs="Calibri"/>
                <w:b/>
                <w:bCs/>
                <w:color w:val="000000"/>
                <w:sz w:val="20"/>
              </w:rPr>
            </w:pPr>
          </w:p>
        </w:tc>
        <w:tc>
          <w:tcPr>
            <w:tcW w:w="1152" w:type="dxa"/>
            <w:tcBorders>
              <w:top w:val="single" w:sz="4" w:space="0" w:color="auto"/>
              <w:bottom w:val="nil"/>
              <w:right w:val="single" w:sz="4" w:space="0" w:color="auto"/>
            </w:tcBorders>
            <w:shd w:val="clear" w:color="auto" w:fill="D9D9D9" w:themeFill="background1" w:themeFillShade="D9"/>
            <w:noWrap/>
            <w:vAlign w:val="center"/>
          </w:tcPr>
          <w:p w14:paraId="6AF31F50" w14:textId="77777777" w:rsidR="00067759" w:rsidRPr="00BE641A" w:rsidRDefault="00067759" w:rsidP="00346A4D">
            <w:pPr>
              <w:autoSpaceDE/>
              <w:autoSpaceDN/>
              <w:spacing w:before="0" w:after="0" w:line="240" w:lineRule="auto"/>
              <w:jc w:val="center"/>
              <w:rPr>
                <w:rFonts w:cs="Calibri"/>
                <w:b/>
                <w:bCs/>
                <w:color w:val="000000"/>
                <w:sz w:val="20"/>
              </w:rPr>
            </w:pPr>
          </w:p>
        </w:tc>
        <w:tc>
          <w:tcPr>
            <w:tcW w:w="267"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3FDC74C9" w14:textId="46DFF8C3" w:rsidR="00067759" w:rsidRPr="00BE641A" w:rsidRDefault="00067759" w:rsidP="00346A4D">
            <w:pPr>
              <w:autoSpaceDE/>
              <w:autoSpaceDN/>
              <w:spacing w:before="0" w:after="0" w:line="240" w:lineRule="auto"/>
              <w:jc w:val="center"/>
              <w:rPr>
                <w:rFonts w:cs="Calibri"/>
                <w:b/>
                <w:bCs/>
                <w:color w:val="000000"/>
                <w:sz w:val="20"/>
              </w:rPr>
            </w:pPr>
            <w:r>
              <w:rPr>
                <w:rFonts w:cs="Calibri"/>
                <w:b/>
                <w:bCs/>
                <w:color w:val="000000"/>
                <w:sz w:val="20"/>
              </w:rPr>
              <w:t>B</w:t>
            </w:r>
          </w:p>
        </w:tc>
        <w:tc>
          <w:tcPr>
            <w:tcW w:w="849" w:type="dxa"/>
            <w:tcBorders>
              <w:top w:val="single" w:sz="4" w:space="0" w:color="auto"/>
              <w:left w:val="single" w:sz="4" w:space="0" w:color="auto"/>
              <w:bottom w:val="single" w:sz="4" w:space="0" w:color="auto"/>
              <w:right w:val="single" w:sz="4" w:space="0" w:color="auto"/>
            </w:tcBorders>
            <w:shd w:val="clear" w:color="000000" w:fill="FFE699"/>
            <w:vAlign w:val="center"/>
          </w:tcPr>
          <w:p w14:paraId="0C053C4C" w14:textId="09353ED2"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1 582</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3FE6E961" w14:textId="5AB7BEF3"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349</w:t>
            </w:r>
          </w:p>
        </w:tc>
        <w:tc>
          <w:tcPr>
            <w:tcW w:w="1116" w:type="dxa"/>
            <w:tcBorders>
              <w:top w:val="single" w:sz="4" w:space="0" w:color="auto"/>
              <w:left w:val="single" w:sz="4" w:space="0" w:color="auto"/>
              <w:bottom w:val="nil"/>
            </w:tcBorders>
            <w:shd w:val="clear" w:color="auto" w:fill="D9D9D9" w:themeFill="background1" w:themeFillShade="D9"/>
            <w:noWrap/>
            <w:vAlign w:val="center"/>
          </w:tcPr>
          <w:p w14:paraId="189409CE" w14:textId="77777777" w:rsidR="00067759" w:rsidRPr="00BE641A" w:rsidRDefault="00067759" w:rsidP="00346A4D">
            <w:pPr>
              <w:autoSpaceDE/>
              <w:autoSpaceDN/>
              <w:spacing w:before="0" w:after="0" w:line="240" w:lineRule="auto"/>
              <w:jc w:val="center"/>
              <w:rPr>
                <w:rFonts w:cs="Calibri"/>
                <w:b/>
                <w:bCs/>
                <w:color w:val="000000"/>
                <w:sz w:val="20"/>
              </w:rPr>
            </w:pPr>
          </w:p>
        </w:tc>
        <w:tc>
          <w:tcPr>
            <w:tcW w:w="1152" w:type="dxa"/>
            <w:tcBorders>
              <w:top w:val="single" w:sz="4" w:space="0" w:color="auto"/>
              <w:bottom w:val="nil"/>
              <w:right w:val="nil"/>
            </w:tcBorders>
            <w:shd w:val="clear" w:color="auto" w:fill="D9D9D9" w:themeFill="background1" w:themeFillShade="D9"/>
            <w:noWrap/>
            <w:vAlign w:val="center"/>
          </w:tcPr>
          <w:p w14:paraId="0248D5F8" w14:textId="77777777" w:rsidR="00067759" w:rsidRPr="00BE641A" w:rsidRDefault="00067759" w:rsidP="00346A4D">
            <w:pPr>
              <w:autoSpaceDE/>
              <w:autoSpaceDN/>
              <w:spacing w:before="0" w:after="0" w:line="240" w:lineRule="auto"/>
              <w:jc w:val="center"/>
              <w:rPr>
                <w:rFonts w:cs="Calibri"/>
                <w:b/>
                <w:bCs/>
                <w:color w:val="000000"/>
                <w:sz w:val="20"/>
              </w:rPr>
            </w:pPr>
          </w:p>
        </w:tc>
      </w:tr>
      <w:tr w:rsidR="00067759" w:rsidRPr="00BE641A" w14:paraId="763A33EA" w14:textId="77777777" w:rsidTr="00346A4D">
        <w:tc>
          <w:tcPr>
            <w:tcW w:w="2835" w:type="dxa"/>
            <w:tcBorders>
              <w:top w:val="nil"/>
              <w:left w:val="nil"/>
              <w:bottom w:val="nil"/>
            </w:tcBorders>
            <w:shd w:val="clear" w:color="000000" w:fill="D9D9D9"/>
            <w:noWrap/>
            <w:vAlign w:val="center"/>
          </w:tcPr>
          <w:p w14:paraId="23921B16" w14:textId="25FC41FF" w:rsidR="00067759" w:rsidRPr="00BE641A" w:rsidRDefault="00067759" w:rsidP="00067759">
            <w:pPr>
              <w:autoSpaceDE/>
              <w:autoSpaceDN/>
              <w:spacing w:before="0" w:after="0" w:line="240" w:lineRule="auto"/>
              <w:ind w:left="353"/>
              <w:rPr>
                <w:rFonts w:cs="Calibri"/>
                <w:b/>
                <w:bCs/>
                <w:color w:val="000000"/>
                <w:sz w:val="20"/>
              </w:rPr>
            </w:pPr>
            <w:r w:rsidRPr="00BE641A">
              <w:rPr>
                <w:rFonts w:cs="Calibri"/>
                <w:b/>
                <w:bCs/>
                <w:color w:val="000000"/>
                <w:sz w:val="20"/>
              </w:rPr>
              <w:t>1 m2-re vetített érték</w:t>
            </w:r>
          </w:p>
        </w:tc>
        <w:tc>
          <w:tcPr>
            <w:tcW w:w="1134" w:type="dxa"/>
            <w:tcBorders>
              <w:top w:val="nil"/>
              <w:bottom w:val="nil"/>
            </w:tcBorders>
            <w:shd w:val="clear" w:color="auto" w:fill="D9D9D9" w:themeFill="background1" w:themeFillShade="D9"/>
            <w:noWrap/>
            <w:vAlign w:val="center"/>
          </w:tcPr>
          <w:p w14:paraId="3725EE77" w14:textId="77777777" w:rsidR="00067759" w:rsidRPr="00BE641A" w:rsidRDefault="00067759" w:rsidP="00346A4D">
            <w:pPr>
              <w:autoSpaceDE/>
              <w:autoSpaceDN/>
              <w:spacing w:before="0" w:after="0" w:line="240" w:lineRule="auto"/>
              <w:jc w:val="center"/>
              <w:rPr>
                <w:rFonts w:cs="Calibri"/>
                <w:b/>
                <w:bCs/>
                <w:color w:val="000000"/>
                <w:sz w:val="20"/>
              </w:rPr>
            </w:pPr>
          </w:p>
        </w:tc>
        <w:tc>
          <w:tcPr>
            <w:tcW w:w="1152" w:type="dxa"/>
            <w:tcBorders>
              <w:top w:val="nil"/>
              <w:bottom w:val="nil"/>
              <w:right w:val="single" w:sz="4" w:space="0" w:color="auto"/>
            </w:tcBorders>
            <w:shd w:val="clear" w:color="auto" w:fill="D9D9D9" w:themeFill="background1" w:themeFillShade="D9"/>
            <w:noWrap/>
            <w:vAlign w:val="center"/>
          </w:tcPr>
          <w:p w14:paraId="453A0C0B" w14:textId="77777777" w:rsidR="00067759" w:rsidRPr="00BE641A" w:rsidRDefault="00067759" w:rsidP="00346A4D">
            <w:pPr>
              <w:autoSpaceDE/>
              <w:autoSpaceDN/>
              <w:spacing w:before="0" w:after="0" w:line="240" w:lineRule="auto"/>
              <w:jc w:val="center"/>
              <w:rPr>
                <w:rFonts w:cs="Calibri"/>
                <w:b/>
                <w:bCs/>
                <w:color w:val="000000"/>
                <w:sz w:val="20"/>
              </w:rPr>
            </w:pPr>
          </w:p>
        </w:tc>
        <w:tc>
          <w:tcPr>
            <w:tcW w:w="267"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4C5B9656" w14:textId="195739D1" w:rsidR="00067759" w:rsidRPr="00BE641A" w:rsidRDefault="00067759" w:rsidP="00346A4D">
            <w:pPr>
              <w:autoSpaceDE/>
              <w:autoSpaceDN/>
              <w:spacing w:before="0" w:after="0" w:line="240" w:lineRule="auto"/>
              <w:jc w:val="center"/>
              <w:rPr>
                <w:rFonts w:cs="Calibri"/>
                <w:b/>
                <w:bCs/>
                <w:color w:val="000000"/>
                <w:sz w:val="20"/>
              </w:rPr>
            </w:pPr>
            <w:r>
              <w:rPr>
                <w:rFonts w:cs="Calibri"/>
                <w:b/>
                <w:bCs/>
                <w:color w:val="000000"/>
                <w:sz w:val="20"/>
              </w:rPr>
              <w:t>B</w:t>
            </w:r>
          </w:p>
        </w:tc>
        <w:tc>
          <w:tcPr>
            <w:tcW w:w="849" w:type="dxa"/>
            <w:tcBorders>
              <w:top w:val="single" w:sz="4" w:space="0" w:color="auto"/>
              <w:left w:val="single" w:sz="4" w:space="0" w:color="auto"/>
              <w:bottom w:val="single" w:sz="4" w:space="0" w:color="auto"/>
              <w:right w:val="single" w:sz="4" w:space="0" w:color="auto"/>
            </w:tcBorders>
            <w:shd w:val="clear" w:color="000000" w:fill="FFE699"/>
            <w:vAlign w:val="center"/>
          </w:tcPr>
          <w:p w14:paraId="5EECE067" w14:textId="62E7BCCA"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0,062</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4069CA87" w14:textId="6F427675"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0,014</w:t>
            </w:r>
          </w:p>
        </w:tc>
        <w:tc>
          <w:tcPr>
            <w:tcW w:w="1116" w:type="dxa"/>
            <w:tcBorders>
              <w:top w:val="nil"/>
              <w:left w:val="single" w:sz="4" w:space="0" w:color="auto"/>
              <w:bottom w:val="nil"/>
            </w:tcBorders>
            <w:shd w:val="clear" w:color="auto" w:fill="D9D9D9" w:themeFill="background1" w:themeFillShade="D9"/>
            <w:noWrap/>
            <w:vAlign w:val="center"/>
          </w:tcPr>
          <w:p w14:paraId="358B613B" w14:textId="77777777" w:rsidR="00067759" w:rsidRPr="00BE641A" w:rsidRDefault="00067759" w:rsidP="00346A4D">
            <w:pPr>
              <w:autoSpaceDE/>
              <w:autoSpaceDN/>
              <w:spacing w:before="0" w:after="0" w:line="240" w:lineRule="auto"/>
              <w:jc w:val="center"/>
              <w:rPr>
                <w:rFonts w:cs="Calibri"/>
                <w:b/>
                <w:bCs/>
                <w:color w:val="000000"/>
                <w:sz w:val="20"/>
              </w:rPr>
            </w:pPr>
          </w:p>
        </w:tc>
        <w:tc>
          <w:tcPr>
            <w:tcW w:w="1152" w:type="dxa"/>
            <w:tcBorders>
              <w:top w:val="nil"/>
              <w:bottom w:val="nil"/>
              <w:right w:val="nil"/>
            </w:tcBorders>
            <w:shd w:val="clear" w:color="auto" w:fill="D9D9D9" w:themeFill="background1" w:themeFillShade="D9"/>
            <w:noWrap/>
            <w:vAlign w:val="center"/>
          </w:tcPr>
          <w:p w14:paraId="3F1DD326" w14:textId="77777777" w:rsidR="00067759" w:rsidRPr="00BE641A" w:rsidRDefault="00067759" w:rsidP="00346A4D">
            <w:pPr>
              <w:autoSpaceDE/>
              <w:autoSpaceDN/>
              <w:spacing w:before="0" w:after="0" w:line="240" w:lineRule="auto"/>
              <w:jc w:val="center"/>
              <w:rPr>
                <w:rFonts w:cs="Calibri"/>
                <w:b/>
                <w:bCs/>
                <w:color w:val="000000"/>
                <w:sz w:val="20"/>
              </w:rPr>
            </w:pPr>
          </w:p>
        </w:tc>
      </w:tr>
      <w:tr w:rsidR="00067759" w:rsidRPr="00BE641A" w14:paraId="5268AB3D" w14:textId="77777777" w:rsidTr="00346A4D">
        <w:tc>
          <w:tcPr>
            <w:tcW w:w="2835" w:type="dxa"/>
            <w:tcBorders>
              <w:top w:val="nil"/>
              <w:left w:val="nil"/>
              <w:bottom w:val="nil"/>
            </w:tcBorders>
            <w:shd w:val="clear" w:color="000000" w:fill="D9D9D9"/>
            <w:noWrap/>
            <w:vAlign w:val="center"/>
          </w:tcPr>
          <w:p w14:paraId="203E87A7" w14:textId="597C9652" w:rsidR="00067759" w:rsidRPr="00BE641A" w:rsidRDefault="00067759" w:rsidP="00067759">
            <w:pPr>
              <w:autoSpaceDE/>
              <w:autoSpaceDN/>
              <w:spacing w:before="0" w:after="0" w:line="240" w:lineRule="auto"/>
              <w:ind w:left="353"/>
              <w:rPr>
                <w:rFonts w:cs="Calibri"/>
                <w:b/>
                <w:bCs/>
                <w:color w:val="000000"/>
                <w:sz w:val="20"/>
              </w:rPr>
            </w:pPr>
            <w:r w:rsidRPr="00BE641A">
              <w:rPr>
                <w:rFonts w:cs="Calibri"/>
                <w:b/>
                <w:bCs/>
                <w:color w:val="000000"/>
                <w:sz w:val="20"/>
              </w:rPr>
              <w:t>29 épület összesen</w:t>
            </w:r>
          </w:p>
        </w:tc>
        <w:tc>
          <w:tcPr>
            <w:tcW w:w="1134" w:type="dxa"/>
            <w:tcBorders>
              <w:top w:val="nil"/>
              <w:bottom w:val="nil"/>
            </w:tcBorders>
            <w:shd w:val="clear" w:color="auto" w:fill="D9D9D9" w:themeFill="background1" w:themeFillShade="D9"/>
            <w:noWrap/>
            <w:vAlign w:val="center"/>
          </w:tcPr>
          <w:p w14:paraId="19E6CE10" w14:textId="77777777" w:rsidR="00067759" w:rsidRPr="00BE641A" w:rsidRDefault="00067759" w:rsidP="00346A4D">
            <w:pPr>
              <w:autoSpaceDE/>
              <w:autoSpaceDN/>
              <w:spacing w:before="0" w:after="0" w:line="240" w:lineRule="auto"/>
              <w:jc w:val="center"/>
              <w:rPr>
                <w:rFonts w:cs="Calibri"/>
                <w:b/>
                <w:bCs/>
                <w:color w:val="000000"/>
                <w:sz w:val="20"/>
              </w:rPr>
            </w:pPr>
          </w:p>
        </w:tc>
        <w:tc>
          <w:tcPr>
            <w:tcW w:w="1152" w:type="dxa"/>
            <w:tcBorders>
              <w:top w:val="nil"/>
              <w:bottom w:val="nil"/>
              <w:right w:val="single" w:sz="4" w:space="0" w:color="auto"/>
            </w:tcBorders>
            <w:shd w:val="clear" w:color="auto" w:fill="D9D9D9" w:themeFill="background1" w:themeFillShade="D9"/>
            <w:noWrap/>
            <w:vAlign w:val="center"/>
          </w:tcPr>
          <w:p w14:paraId="467BFEB9" w14:textId="77777777" w:rsidR="00067759" w:rsidRPr="00BE641A" w:rsidRDefault="00067759" w:rsidP="00346A4D">
            <w:pPr>
              <w:autoSpaceDE/>
              <w:autoSpaceDN/>
              <w:spacing w:before="0" w:after="0" w:line="240" w:lineRule="auto"/>
              <w:jc w:val="center"/>
              <w:rPr>
                <w:rFonts w:cs="Calibri"/>
                <w:b/>
                <w:bCs/>
                <w:color w:val="000000"/>
                <w:sz w:val="20"/>
              </w:rPr>
            </w:pPr>
          </w:p>
        </w:tc>
        <w:tc>
          <w:tcPr>
            <w:tcW w:w="267"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4B4103A2" w14:textId="4251CCC2" w:rsidR="00067759" w:rsidRPr="00BE641A" w:rsidRDefault="00067759" w:rsidP="00346A4D">
            <w:pPr>
              <w:autoSpaceDE/>
              <w:autoSpaceDN/>
              <w:spacing w:before="0" w:after="0" w:line="240" w:lineRule="auto"/>
              <w:jc w:val="center"/>
              <w:rPr>
                <w:rFonts w:cs="Calibri"/>
                <w:b/>
                <w:bCs/>
                <w:color w:val="000000"/>
                <w:sz w:val="20"/>
              </w:rPr>
            </w:pPr>
            <w:r>
              <w:rPr>
                <w:rFonts w:cs="Calibri"/>
                <w:b/>
                <w:bCs/>
                <w:color w:val="000000"/>
                <w:sz w:val="20"/>
              </w:rPr>
              <w:t>C</w:t>
            </w:r>
          </w:p>
        </w:tc>
        <w:tc>
          <w:tcPr>
            <w:tcW w:w="849" w:type="dxa"/>
            <w:tcBorders>
              <w:top w:val="single" w:sz="4" w:space="0" w:color="auto"/>
              <w:left w:val="single" w:sz="4" w:space="0" w:color="auto"/>
              <w:bottom w:val="single" w:sz="4" w:space="0" w:color="auto"/>
              <w:right w:val="single" w:sz="4" w:space="0" w:color="auto"/>
            </w:tcBorders>
            <w:shd w:val="clear" w:color="000000" w:fill="FFE699"/>
            <w:vAlign w:val="center"/>
          </w:tcPr>
          <w:p w14:paraId="1DE7E0EA" w14:textId="5BEA7C61"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1 582</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63AC4573" w14:textId="4DB2804F"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349</w:t>
            </w:r>
          </w:p>
        </w:tc>
        <w:tc>
          <w:tcPr>
            <w:tcW w:w="1116" w:type="dxa"/>
            <w:tcBorders>
              <w:top w:val="nil"/>
              <w:left w:val="single" w:sz="4" w:space="0" w:color="auto"/>
              <w:bottom w:val="nil"/>
            </w:tcBorders>
            <w:shd w:val="clear" w:color="auto" w:fill="D9D9D9" w:themeFill="background1" w:themeFillShade="D9"/>
            <w:noWrap/>
            <w:vAlign w:val="center"/>
          </w:tcPr>
          <w:p w14:paraId="62F141D0" w14:textId="77777777" w:rsidR="00067759" w:rsidRPr="00BE641A" w:rsidRDefault="00067759" w:rsidP="00346A4D">
            <w:pPr>
              <w:autoSpaceDE/>
              <w:autoSpaceDN/>
              <w:spacing w:before="0" w:after="0" w:line="240" w:lineRule="auto"/>
              <w:jc w:val="center"/>
              <w:rPr>
                <w:rFonts w:cs="Calibri"/>
                <w:b/>
                <w:bCs/>
                <w:color w:val="000000"/>
                <w:sz w:val="20"/>
              </w:rPr>
            </w:pPr>
          </w:p>
        </w:tc>
        <w:tc>
          <w:tcPr>
            <w:tcW w:w="1152" w:type="dxa"/>
            <w:tcBorders>
              <w:top w:val="nil"/>
              <w:bottom w:val="nil"/>
              <w:right w:val="nil"/>
            </w:tcBorders>
            <w:shd w:val="clear" w:color="auto" w:fill="D9D9D9" w:themeFill="background1" w:themeFillShade="D9"/>
            <w:noWrap/>
            <w:vAlign w:val="center"/>
          </w:tcPr>
          <w:p w14:paraId="5C76BE20" w14:textId="77777777" w:rsidR="00067759" w:rsidRPr="00BE641A" w:rsidRDefault="00067759" w:rsidP="00346A4D">
            <w:pPr>
              <w:autoSpaceDE/>
              <w:autoSpaceDN/>
              <w:spacing w:before="0" w:after="0" w:line="240" w:lineRule="auto"/>
              <w:jc w:val="center"/>
              <w:rPr>
                <w:rFonts w:cs="Calibri"/>
                <w:b/>
                <w:bCs/>
                <w:color w:val="000000"/>
                <w:sz w:val="20"/>
              </w:rPr>
            </w:pPr>
          </w:p>
        </w:tc>
      </w:tr>
      <w:tr w:rsidR="00067759" w:rsidRPr="00BE641A" w14:paraId="01BA40D8" w14:textId="77777777" w:rsidTr="00346A4D">
        <w:tc>
          <w:tcPr>
            <w:tcW w:w="2835" w:type="dxa"/>
            <w:tcBorders>
              <w:top w:val="nil"/>
              <w:left w:val="nil"/>
              <w:bottom w:val="nil"/>
            </w:tcBorders>
            <w:shd w:val="clear" w:color="000000" w:fill="D9D9D9"/>
            <w:noWrap/>
            <w:vAlign w:val="center"/>
          </w:tcPr>
          <w:p w14:paraId="2C67E579" w14:textId="1B9FBAF5" w:rsidR="00067759" w:rsidRPr="00BE641A" w:rsidRDefault="00067759" w:rsidP="00067759">
            <w:pPr>
              <w:autoSpaceDE/>
              <w:autoSpaceDN/>
              <w:spacing w:before="0" w:after="0" w:line="240" w:lineRule="auto"/>
              <w:ind w:left="353"/>
              <w:rPr>
                <w:rFonts w:cs="Calibri"/>
                <w:b/>
                <w:bCs/>
                <w:color w:val="000000"/>
                <w:sz w:val="20"/>
              </w:rPr>
            </w:pPr>
            <w:r w:rsidRPr="00BE641A">
              <w:rPr>
                <w:rFonts w:cs="Calibri"/>
                <w:b/>
                <w:bCs/>
                <w:color w:val="000000"/>
                <w:sz w:val="20"/>
              </w:rPr>
              <w:t>1 m2-re vetített érték</w:t>
            </w:r>
          </w:p>
        </w:tc>
        <w:tc>
          <w:tcPr>
            <w:tcW w:w="1134" w:type="dxa"/>
            <w:tcBorders>
              <w:top w:val="nil"/>
              <w:bottom w:val="nil"/>
            </w:tcBorders>
            <w:shd w:val="clear" w:color="auto" w:fill="D9D9D9" w:themeFill="background1" w:themeFillShade="D9"/>
            <w:noWrap/>
            <w:vAlign w:val="center"/>
          </w:tcPr>
          <w:p w14:paraId="28DB11D3" w14:textId="77777777" w:rsidR="00067759" w:rsidRPr="00BE641A" w:rsidRDefault="00067759" w:rsidP="00346A4D">
            <w:pPr>
              <w:autoSpaceDE/>
              <w:autoSpaceDN/>
              <w:spacing w:before="0" w:after="0" w:line="240" w:lineRule="auto"/>
              <w:jc w:val="center"/>
              <w:rPr>
                <w:rFonts w:cs="Calibri"/>
                <w:b/>
                <w:bCs/>
                <w:color w:val="000000"/>
                <w:sz w:val="20"/>
              </w:rPr>
            </w:pPr>
          </w:p>
        </w:tc>
        <w:tc>
          <w:tcPr>
            <w:tcW w:w="1152" w:type="dxa"/>
            <w:tcBorders>
              <w:top w:val="nil"/>
              <w:bottom w:val="nil"/>
              <w:right w:val="single" w:sz="4" w:space="0" w:color="auto"/>
            </w:tcBorders>
            <w:shd w:val="clear" w:color="auto" w:fill="D9D9D9" w:themeFill="background1" w:themeFillShade="D9"/>
            <w:noWrap/>
            <w:vAlign w:val="center"/>
          </w:tcPr>
          <w:p w14:paraId="77478E56" w14:textId="77777777" w:rsidR="00067759" w:rsidRPr="00BE641A" w:rsidRDefault="00067759" w:rsidP="00346A4D">
            <w:pPr>
              <w:autoSpaceDE/>
              <w:autoSpaceDN/>
              <w:spacing w:before="0" w:after="0" w:line="240" w:lineRule="auto"/>
              <w:jc w:val="center"/>
              <w:rPr>
                <w:rFonts w:cs="Calibri"/>
                <w:b/>
                <w:bCs/>
                <w:color w:val="000000"/>
                <w:sz w:val="20"/>
              </w:rPr>
            </w:pPr>
          </w:p>
        </w:tc>
        <w:tc>
          <w:tcPr>
            <w:tcW w:w="267"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0D39B4D1" w14:textId="57291367" w:rsidR="00067759" w:rsidRPr="00BE641A" w:rsidRDefault="00067759" w:rsidP="00346A4D">
            <w:pPr>
              <w:autoSpaceDE/>
              <w:autoSpaceDN/>
              <w:spacing w:before="0" w:after="0" w:line="240" w:lineRule="auto"/>
              <w:jc w:val="center"/>
              <w:rPr>
                <w:rFonts w:cs="Calibri"/>
                <w:b/>
                <w:bCs/>
                <w:color w:val="000000"/>
                <w:sz w:val="20"/>
              </w:rPr>
            </w:pPr>
            <w:r>
              <w:rPr>
                <w:rFonts w:cs="Calibri"/>
                <w:b/>
                <w:bCs/>
                <w:color w:val="000000"/>
                <w:sz w:val="20"/>
              </w:rPr>
              <w:t>C</w:t>
            </w:r>
          </w:p>
        </w:tc>
        <w:tc>
          <w:tcPr>
            <w:tcW w:w="849" w:type="dxa"/>
            <w:tcBorders>
              <w:top w:val="single" w:sz="4" w:space="0" w:color="auto"/>
              <w:left w:val="single" w:sz="4" w:space="0" w:color="auto"/>
              <w:bottom w:val="single" w:sz="4" w:space="0" w:color="auto"/>
              <w:right w:val="single" w:sz="4" w:space="0" w:color="auto"/>
            </w:tcBorders>
            <w:shd w:val="clear" w:color="000000" w:fill="FFE699"/>
            <w:vAlign w:val="center"/>
          </w:tcPr>
          <w:p w14:paraId="0F2C6C69" w14:textId="3A01EE74"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0,062</w:t>
            </w:r>
          </w:p>
        </w:tc>
        <w:tc>
          <w:tcPr>
            <w:tcW w:w="1152" w:type="dxa"/>
            <w:tcBorders>
              <w:top w:val="single" w:sz="4" w:space="0" w:color="auto"/>
              <w:left w:val="single" w:sz="4" w:space="0" w:color="auto"/>
              <w:bottom w:val="single" w:sz="4" w:space="0" w:color="auto"/>
              <w:right w:val="single" w:sz="4" w:space="0" w:color="auto"/>
            </w:tcBorders>
            <w:shd w:val="clear" w:color="000000" w:fill="FFE699"/>
            <w:noWrap/>
            <w:vAlign w:val="center"/>
          </w:tcPr>
          <w:p w14:paraId="3647B2AA" w14:textId="77259DBF" w:rsidR="00067759" w:rsidRPr="00BE641A" w:rsidRDefault="00067759" w:rsidP="00346A4D">
            <w:pPr>
              <w:autoSpaceDE/>
              <w:autoSpaceDN/>
              <w:spacing w:before="0" w:after="0" w:line="240" w:lineRule="auto"/>
              <w:jc w:val="center"/>
              <w:rPr>
                <w:rFonts w:cs="Calibri"/>
                <w:b/>
                <w:bCs/>
                <w:color w:val="000000"/>
                <w:sz w:val="20"/>
              </w:rPr>
            </w:pPr>
            <w:r w:rsidRPr="00067759">
              <w:rPr>
                <w:rFonts w:cs="Calibri"/>
                <w:b/>
                <w:bCs/>
                <w:color w:val="000000"/>
                <w:sz w:val="20"/>
              </w:rPr>
              <w:t>0,014</w:t>
            </w:r>
          </w:p>
        </w:tc>
        <w:tc>
          <w:tcPr>
            <w:tcW w:w="1116" w:type="dxa"/>
            <w:tcBorders>
              <w:top w:val="nil"/>
              <w:left w:val="single" w:sz="4" w:space="0" w:color="auto"/>
              <w:bottom w:val="nil"/>
            </w:tcBorders>
            <w:shd w:val="clear" w:color="auto" w:fill="D9D9D9" w:themeFill="background1" w:themeFillShade="D9"/>
            <w:noWrap/>
            <w:vAlign w:val="center"/>
          </w:tcPr>
          <w:p w14:paraId="779DF846" w14:textId="77777777" w:rsidR="00067759" w:rsidRPr="00BE641A" w:rsidRDefault="00067759" w:rsidP="00346A4D">
            <w:pPr>
              <w:autoSpaceDE/>
              <w:autoSpaceDN/>
              <w:spacing w:before="0" w:after="0" w:line="240" w:lineRule="auto"/>
              <w:jc w:val="center"/>
              <w:rPr>
                <w:rFonts w:cs="Calibri"/>
                <w:b/>
                <w:bCs/>
                <w:color w:val="000000"/>
                <w:sz w:val="20"/>
              </w:rPr>
            </w:pPr>
          </w:p>
        </w:tc>
        <w:tc>
          <w:tcPr>
            <w:tcW w:w="1152" w:type="dxa"/>
            <w:tcBorders>
              <w:top w:val="nil"/>
              <w:bottom w:val="nil"/>
              <w:right w:val="nil"/>
            </w:tcBorders>
            <w:shd w:val="clear" w:color="auto" w:fill="D9D9D9" w:themeFill="background1" w:themeFillShade="D9"/>
            <w:noWrap/>
            <w:vAlign w:val="center"/>
          </w:tcPr>
          <w:p w14:paraId="024A9171" w14:textId="77777777" w:rsidR="00067759" w:rsidRPr="00BE641A" w:rsidRDefault="00067759" w:rsidP="00346A4D">
            <w:pPr>
              <w:autoSpaceDE/>
              <w:autoSpaceDN/>
              <w:spacing w:before="0" w:after="0" w:line="240" w:lineRule="auto"/>
              <w:jc w:val="center"/>
              <w:rPr>
                <w:rFonts w:cs="Calibri"/>
                <w:b/>
                <w:bCs/>
                <w:color w:val="000000"/>
                <w:sz w:val="20"/>
              </w:rPr>
            </w:pPr>
          </w:p>
        </w:tc>
      </w:tr>
    </w:tbl>
    <w:p w14:paraId="230289F1" w14:textId="161F1FFF" w:rsidR="00BE641A" w:rsidRDefault="00BE641A" w:rsidP="00BE641A">
      <w:pPr>
        <w:pStyle w:val="kepalairas"/>
      </w:pPr>
      <w:r w:rsidRPr="00BE641A">
        <w:t xml:space="preserve">Az energiahatékonysági fejlesztések és az </w:t>
      </w:r>
      <w:proofErr w:type="spellStart"/>
      <w:r w:rsidRPr="00BE641A">
        <w:t>energiamegtakarítás</w:t>
      </w:r>
      <w:proofErr w:type="spellEnd"/>
      <w:r w:rsidRPr="00BE641A">
        <w:t xml:space="preserve"> összesítése</w:t>
      </w:r>
    </w:p>
    <w:p w14:paraId="431B3F9F" w14:textId="77777777" w:rsidR="00914BE9" w:rsidRDefault="00914BE9" w:rsidP="00BE641A">
      <w:pPr>
        <w:pStyle w:val="kepalairas"/>
      </w:pPr>
    </w:p>
    <w:tbl>
      <w:tblPr>
        <w:tblW w:w="9659" w:type="dxa"/>
        <w:tblInd w:w="-426" w:type="dxa"/>
        <w:tblCellMar>
          <w:left w:w="70" w:type="dxa"/>
          <w:right w:w="70" w:type="dxa"/>
        </w:tblCellMar>
        <w:tblLook w:val="04A0" w:firstRow="1" w:lastRow="0" w:firstColumn="1" w:lastColumn="0" w:noHBand="0" w:noVBand="1"/>
      </w:tblPr>
      <w:tblGrid>
        <w:gridCol w:w="3120"/>
        <w:gridCol w:w="1275"/>
        <w:gridCol w:w="1554"/>
        <w:gridCol w:w="1153"/>
        <w:gridCol w:w="1404"/>
        <w:gridCol w:w="1153"/>
      </w:tblGrid>
      <w:tr w:rsidR="00BE641A" w:rsidRPr="00BE641A" w14:paraId="00325DB1" w14:textId="77777777" w:rsidTr="00D7063F">
        <w:tc>
          <w:tcPr>
            <w:tcW w:w="31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9B85762" w14:textId="77777777" w:rsidR="00BE641A" w:rsidRPr="00BE641A" w:rsidRDefault="00BE641A" w:rsidP="006D62F0">
            <w:pPr>
              <w:autoSpaceDE/>
              <w:autoSpaceDN/>
              <w:spacing w:before="0" w:after="0" w:line="240" w:lineRule="auto"/>
              <w:rPr>
                <w:rFonts w:cs="Calibri"/>
                <w:b/>
                <w:bCs/>
                <w:sz w:val="20"/>
              </w:rPr>
            </w:pPr>
            <w:r w:rsidRPr="00BE641A">
              <w:rPr>
                <w:rFonts w:cs="Calibri"/>
                <w:b/>
                <w:bCs/>
                <w:sz w:val="20"/>
              </w:rPr>
              <w:t xml:space="preserve">Az energiahatékonysági fejlesztések és az </w:t>
            </w:r>
            <w:proofErr w:type="spellStart"/>
            <w:r w:rsidRPr="00BE641A">
              <w:rPr>
                <w:rFonts w:cs="Calibri"/>
                <w:b/>
                <w:bCs/>
                <w:sz w:val="20"/>
              </w:rPr>
              <w:t>energiamegtakarítás</w:t>
            </w:r>
            <w:proofErr w:type="spellEnd"/>
            <w:r w:rsidRPr="00BE641A">
              <w:rPr>
                <w:rFonts w:cs="Calibri"/>
                <w:b/>
                <w:bCs/>
                <w:sz w:val="20"/>
              </w:rPr>
              <w:t xml:space="preserve"> összesítése</w:t>
            </w:r>
          </w:p>
        </w:tc>
        <w:tc>
          <w:tcPr>
            <w:tcW w:w="1275" w:type="dxa"/>
            <w:tcBorders>
              <w:top w:val="single" w:sz="4" w:space="0" w:color="auto"/>
              <w:left w:val="single" w:sz="4" w:space="0" w:color="auto"/>
              <w:bottom w:val="single" w:sz="4" w:space="0" w:color="auto"/>
              <w:right w:val="single" w:sz="4" w:space="0" w:color="auto"/>
            </w:tcBorders>
            <w:shd w:val="clear" w:color="000000" w:fill="C6E0B4"/>
            <w:vAlign w:val="center"/>
            <w:hideMark/>
          </w:tcPr>
          <w:p w14:paraId="5FFD4BA0"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Beruházási költség</w:t>
            </w:r>
          </w:p>
        </w:tc>
        <w:tc>
          <w:tcPr>
            <w:tcW w:w="1554" w:type="dxa"/>
            <w:tcBorders>
              <w:top w:val="single" w:sz="4" w:space="0" w:color="auto"/>
              <w:left w:val="single" w:sz="4" w:space="0" w:color="auto"/>
              <w:bottom w:val="single" w:sz="4" w:space="0" w:color="auto"/>
              <w:right w:val="single" w:sz="4" w:space="0" w:color="auto"/>
            </w:tcBorders>
            <w:shd w:val="clear" w:color="000000" w:fill="C6E0B4"/>
            <w:vAlign w:val="center"/>
            <w:hideMark/>
          </w:tcPr>
          <w:p w14:paraId="134B3117"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Megtakarítás rezsicsökkentett energia áron</w:t>
            </w:r>
          </w:p>
        </w:tc>
        <w:tc>
          <w:tcPr>
            <w:tcW w:w="1153" w:type="dxa"/>
            <w:tcBorders>
              <w:top w:val="single" w:sz="4" w:space="0" w:color="auto"/>
              <w:left w:val="single" w:sz="4" w:space="0" w:color="auto"/>
              <w:bottom w:val="single" w:sz="4" w:space="0" w:color="auto"/>
              <w:right w:val="single" w:sz="4" w:space="0" w:color="auto"/>
            </w:tcBorders>
            <w:shd w:val="clear" w:color="000000" w:fill="C6E0B4"/>
            <w:vAlign w:val="center"/>
            <w:hideMark/>
          </w:tcPr>
          <w:p w14:paraId="46A6EB6A"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Egyszerű megtérülési idő</w:t>
            </w:r>
          </w:p>
        </w:tc>
        <w:tc>
          <w:tcPr>
            <w:tcW w:w="1404" w:type="dxa"/>
            <w:tcBorders>
              <w:top w:val="single" w:sz="4" w:space="0" w:color="auto"/>
              <w:left w:val="single" w:sz="4" w:space="0" w:color="auto"/>
              <w:bottom w:val="single" w:sz="4" w:space="0" w:color="auto"/>
              <w:right w:val="single" w:sz="4" w:space="0" w:color="auto"/>
            </w:tcBorders>
            <w:shd w:val="clear" w:color="000000" w:fill="C6E0B4"/>
            <w:vAlign w:val="center"/>
            <w:hideMark/>
          </w:tcPr>
          <w:p w14:paraId="0CA213DC"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Megtakarítás piaci energia áron</w:t>
            </w:r>
          </w:p>
        </w:tc>
        <w:tc>
          <w:tcPr>
            <w:tcW w:w="1153" w:type="dxa"/>
            <w:tcBorders>
              <w:top w:val="single" w:sz="4" w:space="0" w:color="auto"/>
              <w:left w:val="single" w:sz="4" w:space="0" w:color="auto"/>
              <w:bottom w:val="single" w:sz="4" w:space="0" w:color="auto"/>
              <w:right w:val="single" w:sz="4" w:space="0" w:color="auto"/>
            </w:tcBorders>
            <w:shd w:val="clear" w:color="000000" w:fill="C6E0B4"/>
            <w:vAlign w:val="center"/>
            <w:hideMark/>
          </w:tcPr>
          <w:p w14:paraId="40E083F0"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Egyszerű megtérülési idő</w:t>
            </w:r>
          </w:p>
        </w:tc>
      </w:tr>
      <w:tr w:rsidR="00BE641A" w:rsidRPr="00BE641A" w14:paraId="48673A47" w14:textId="77777777" w:rsidTr="00D7063F">
        <w:tc>
          <w:tcPr>
            <w:tcW w:w="31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740F810" w14:textId="5D9E0E3C" w:rsidR="00BE641A" w:rsidRPr="00BE641A" w:rsidRDefault="00BE641A" w:rsidP="006D62F0">
            <w:pPr>
              <w:autoSpaceDE/>
              <w:autoSpaceDN/>
              <w:spacing w:before="0" w:after="0" w:line="240" w:lineRule="auto"/>
              <w:rPr>
                <w:rFonts w:cs="Calibri"/>
                <w:b/>
                <w:bCs/>
                <w:color w:val="000000"/>
                <w:sz w:val="20"/>
              </w:rPr>
            </w:pPr>
          </w:p>
        </w:tc>
        <w:tc>
          <w:tcPr>
            <w:tcW w:w="1275"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02795077"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 xml:space="preserve">bruttó </w:t>
            </w:r>
            <w:proofErr w:type="spellStart"/>
            <w:r w:rsidRPr="00BE641A">
              <w:rPr>
                <w:rFonts w:cs="Calibri"/>
                <w:b/>
                <w:bCs/>
                <w:color w:val="000000"/>
                <w:sz w:val="20"/>
              </w:rPr>
              <w:t>EFt</w:t>
            </w:r>
            <w:proofErr w:type="spellEnd"/>
          </w:p>
        </w:tc>
        <w:tc>
          <w:tcPr>
            <w:tcW w:w="1554"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03108E25"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 xml:space="preserve">bruttó </w:t>
            </w:r>
            <w:proofErr w:type="spellStart"/>
            <w:r w:rsidRPr="00BE641A">
              <w:rPr>
                <w:rFonts w:cs="Calibri"/>
                <w:b/>
                <w:bCs/>
                <w:color w:val="000000"/>
                <w:sz w:val="20"/>
              </w:rPr>
              <w:t>EFt</w:t>
            </w:r>
            <w:proofErr w:type="spellEnd"/>
            <w:r w:rsidRPr="00BE641A">
              <w:rPr>
                <w:rFonts w:cs="Calibri"/>
                <w:b/>
                <w:bCs/>
                <w:color w:val="000000"/>
                <w:sz w:val="20"/>
              </w:rPr>
              <w:t>/év</w:t>
            </w:r>
          </w:p>
        </w:tc>
        <w:tc>
          <w:tcPr>
            <w:tcW w:w="1153"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2D29DBAA"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év</w:t>
            </w:r>
          </w:p>
        </w:tc>
        <w:tc>
          <w:tcPr>
            <w:tcW w:w="1404"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39DCD867"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 xml:space="preserve">bruttó </w:t>
            </w:r>
            <w:proofErr w:type="spellStart"/>
            <w:r w:rsidRPr="00BE641A">
              <w:rPr>
                <w:rFonts w:cs="Calibri"/>
                <w:b/>
                <w:bCs/>
                <w:color w:val="000000"/>
                <w:sz w:val="20"/>
              </w:rPr>
              <w:t>EFt</w:t>
            </w:r>
            <w:proofErr w:type="spellEnd"/>
            <w:r w:rsidRPr="00BE641A">
              <w:rPr>
                <w:rFonts w:cs="Calibri"/>
                <w:b/>
                <w:bCs/>
                <w:color w:val="000000"/>
                <w:sz w:val="20"/>
              </w:rPr>
              <w:t>/év</w:t>
            </w:r>
          </w:p>
        </w:tc>
        <w:tc>
          <w:tcPr>
            <w:tcW w:w="1153"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6866BCD6"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év</w:t>
            </w:r>
          </w:p>
        </w:tc>
      </w:tr>
      <w:tr w:rsidR="00BE641A" w:rsidRPr="00BE641A" w14:paraId="5A4308EF" w14:textId="77777777" w:rsidTr="00D7063F">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39C25" w14:textId="77777777" w:rsidR="00BE641A" w:rsidRPr="00BE641A" w:rsidRDefault="00BE641A" w:rsidP="006D62F0">
            <w:pPr>
              <w:autoSpaceDE/>
              <w:autoSpaceDN/>
              <w:spacing w:before="0" w:after="0" w:line="240" w:lineRule="auto"/>
              <w:rPr>
                <w:rFonts w:cs="Calibri"/>
                <w:b/>
                <w:bCs/>
                <w:color w:val="000000"/>
                <w:sz w:val="20"/>
              </w:rPr>
            </w:pPr>
            <w:r w:rsidRPr="00BE641A">
              <w:rPr>
                <w:rFonts w:cs="Calibri"/>
                <w:b/>
                <w:bCs/>
                <w:color w:val="000000"/>
                <w:sz w:val="20"/>
              </w:rPr>
              <w:t xml:space="preserve">Épület </w:t>
            </w:r>
            <w:proofErr w:type="spellStart"/>
            <w:r w:rsidRPr="00BE641A">
              <w:rPr>
                <w:rFonts w:cs="Calibri"/>
                <w:b/>
                <w:bCs/>
                <w:color w:val="000000"/>
                <w:sz w:val="20"/>
              </w:rPr>
              <w:t>hőtechnikai</w:t>
            </w:r>
            <w:proofErr w:type="spellEnd"/>
            <w:r w:rsidRPr="00BE641A">
              <w:rPr>
                <w:rFonts w:cs="Calibri"/>
                <w:b/>
                <w:bCs/>
                <w:color w:val="000000"/>
                <w:sz w:val="20"/>
              </w:rPr>
              <w:t xml:space="preserve"> felújítás lakóépületben (gázfűtésű) / db</w:t>
            </w:r>
          </w:p>
        </w:tc>
        <w:tc>
          <w:tcPr>
            <w:tcW w:w="1275"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45FA15ED"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2 320 372</w:t>
            </w:r>
          </w:p>
        </w:tc>
        <w:tc>
          <w:tcPr>
            <w:tcW w:w="1554"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262800D0"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45 508</w:t>
            </w:r>
          </w:p>
        </w:tc>
        <w:tc>
          <w:tcPr>
            <w:tcW w:w="1153"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67B3EBA0"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51</w:t>
            </w:r>
          </w:p>
        </w:tc>
        <w:tc>
          <w:tcPr>
            <w:tcW w:w="1404"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7C633E93"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96 253</w:t>
            </w:r>
          </w:p>
        </w:tc>
        <w:tc>
          <w:tcPr>
            <w:tcW w:w="1153"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06648B5C"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24</w:t>
            </w:r>
          </w:p>
        </w:tc>
      </w:tr>
      <w:tr w:rsidR="00346A4D" w:rsidRPr="00BE641A" w14:paraId="298CA100" w14:textId="77777777" w:rsidTr="00D7063F">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EAAC3" w14:textId="2F29FE20" w:rsidR="00346A4D" w:rsidRPr="00BE641A" w:rsidRDefault="00346A4D" w:rsidP="006D62F0">
            <w:pPr>
              <w:autoSpaceDE/>
              <w:autoSpaceDN/>
              <w:spacing w:before="0" w:after="0" w:line="240" w:lineRule="auto"/>
              <w:rPr>
                <w:rFonts w:cs="Calibri"/>
                <w:b/>
                <w:bCs/>
                <w:color w:val="000000"/>
                <w:sz w:val="20"/>
              </w:rPr>
            </w:pPr>
            <w:r w:rsidRPr="00BE641A">
              <w:rPr>
                <w:rFonts w:cs="Calibri"/>
                <w:b/>
                <w:bCs/>
                <w:color w:val="000000"/>
                <w:sz w:val="20"/>
              </w:rPr>
              <w:t xml:space="preserve">Épület </w:t>
            </w:r>
            <w:proofErr w:type="spellStart"/>
            <w:r w:rsidRPr="00BE641A">
              <w:rPr>
                <w:rFonts w:cs="Calibri"/>
                <w:b/>
                <w:bCs/>
                <w:color w:val="000000"/>
                <w:sz w:val="20"/>
              </w:rPr>
              <w:t>hőtechnikai</w:t>
            </w:r>
            <w:proofErr w:type="spellEnd"/>
            <w:r w:rsidRPr="00BE641A">
              <w:rPr>
                <w:rFonts w:cs="Calibri"/>
                <w:b/>
                <w:bCs/>
                <w:color w:val="000000"/>
                <w:sz w:val="20"/>
              </w:rPr>
              <w:t xml:space="preserve"> felújítás lakóépületben (</w:t>
            </w:r>
            <w:r w:rsidRPr="00346A4D">
              <w:rPr>
                <w:rFonts w:cs="Calibri"/>
                <w:b/>
                <w:bCs/>
                <w:color w:val="000000"/>
                <w:sz w:val="20"/>
              </w:rPr>
              <w:t>villanyfűtés</w:t>
            </w:r>
            <w:r w:rsidRPr="00BE641A">
              <w:rPr>
                <w:rFonts w:cs="Calibri"/>
                <w:b/>
                <w:bCs/>
                <w:color w:val="000000"/>
                <w:sz w:val="20"/>
              </w:rPr>
              <w:t>) / db</w:t>
            </w:r>
          </w:p>
        </w:tc>
        <w:tc>
          <w:tcPr>
            <w:tcW w:w="1275" w:type="dxa"/>
            <w:tcBorders>
              <w:top w:val="single" w:sz="4" w:space="0" w:color="auto"/>
              <w:left w:val="single" w:sz="4" w:space="0" w:color="auto"/>
              <w:bottom w:val="single" w:sz="4" w:space="0" w:color="auto"/>
              <w:right w:val="single" w:sz="4" w:space="0" w:color="auto"/>
            </w:tcBorders>
            <w:shd w:val="clear" w:color="000000" w:fill="C6E0B4"/>
            <w:noWrap/>
            <w:vAlign w:val="center"/>
          </w:tcPr>
          <w:p w14:paraId="5E69F5A5" w14:textId="4CCA89C2" w:rsidR="00346A4D" w:rsidRPr="00BE641A" w:rsidRDefault="00346A4D" w:rsidP="006D62F0">
            <w:pPr>
              <w:autoSpaceDE/>
              <w:autoSpaceDN/>
              <w:spacing w:before="0" w:after="0" w:line="240" w:lineRule="auto"/>
              <w:jc w:val="center"/>
              <w:rPr>
                <w:rFonts w:cs="Calibri"/>
                <w:b/>
                <w:bCs/>
                <w:color w:val="000000"/>
                <w:sz w:val="20"/>
              </w:rPr>
            </w:pPr>
            <w:r>
              <w:rPr>
                <w:rFonts w:cs="Calibri"/>
                <w:b/>
                <w:bCs/>
                <w:color w:val="000000"/>
                <w:sz w:val="20"/>
              </w:rPr>
              <w:t>29 736</w:t>
            </w:r>
          </w:p>
        </w:tc>
        <w:tc>
          <w:tcPr>
            <w:tcW w:w="1554" w:type="dxa"/>
            <w:tcBorders>
              <w:top w:val="single" w:sz="4" w:space="0" w:color="auto"/>
              <w:left w:val="single" w:sz="4" w:space="0" w:color="auto"/>
              <w:bottom w:val="single" w:sz="4" w:space="0" w:color="auto"/>
              <w:right w:val="single" w:sz="4" w:space="0" w:color="auto"/>
            </w:tcBorders>
            <w:shd w:val="clear" w:color="000000" w:fill="C6E0B4"/>
            <w:noWrap/>
            <w:vAlign w:val="center"/>
          </w:tcPr>
          <w:p w14:paraId="2201AFFB" w14:textId="431B6C01" w:rsidR="00346A4D" w:rsidRPr="00BE641A" w:rsidRDefault="00346A4D" w:rsidP="006D62F0">
            <w:pPr>
              <w:autoSpaceDE/>
              <w:autoSpaceDN/>
              <w:spacing w:before="0" w:after="0" w:line="240" w:lineRule="auto"/>
              <w:jc w:val="center"/>
              <w:rPr>
                <w:rFonts w:cs="Calibri"/>
                <w:b/>
                <w:bCs/>
                <w:color w:val="000000"/>
                <w:sz w:val="20"/>
              </w:rPr>
            </w:pPr>
            <w:r>
              <w:rPr>
                <w:rFonts w:cs="Calibri"/>
                <w:b/>
                <w:bCs/>
                <w:color w:val="000000"/>
                <w:sz w:val="20"/>
              </w:rPr>
              <w:t>1 948</w:t>
            </w:r>
          </w:p>
        </w:tc>
        <w:tc>
          <w:tcPr>
            <w:tcW w:w="1153" w:type="dxa"/>
            <w:tcBorders>
              <w:top w:val="single" w:sz="4" w:space="0" w:color="auto"/>
              <w:left w:val="single" w:sz="4" w:space="0" w:color="auto"/>
              <w:bottom w:val="single" w:sz="4" w:space="0" w:color="auto"/>
              <w:right w:val="single" w:sz="4" w:space="0" w:color="auto"/>
            </w:tcBorders>
            <w:shd w:val="clear" w:color="000000" w:fill="C6E0B4"/>
            <w:noWrap/>
            <w:vAlign w:val="center"/>
          </w:tcPr>
          <w:p w14:paraId="35C8FF62" w14:textId="5F92EE40" w:rsidR="00346A4D" w:rsidRPr="00BE641A" w:rsidRDefault="00346A4D" w:rsidP="006D62F0">
            <w:pPr>
              <w:autoSpaceDE/>
              <w:autoSpaceDN/>
              <w:spacing w:before="0" w:after="0" w:line="240" w:lineRule="auto"/>
              <w:jc w:val="center"/>
              <w:rPr>
                <w:rFonts w:cs="Calibri"/>
                <w:b/>
                <w:bCs/>
                <w:color w:val="000000"/>
                <w:sz w:val="20"/>
              </w:rPr>
            </w:pPr>
            <w:r>
              <w:rPr>
                <w:rFonts w:cs="Calibri"/>
                <w:b/>
                <w:bCs/>
                <w:color w:val="000000"/>
                <w:sz w:val="20"/>
              </w:rPr>
              <w:t>15</w:t>
            </w:r>
          </w:p>
        </w:tc>
        <w:tc>
          <w:tcPr>
            <w:tcW w:w="1404" w:type="dxa"/>
            <w:tcBorders>
              <w:top w:val="single" w:sz="4" w:space="0" w:color="auto"/>
              <w:left w:val="single" w:sz="4" w:space="0" w:color="auto"/>
              <w:bottom w:val="single" w:sz="4" w:space="0" w:color="auto"/>
              <w:right w:val="single" w:sz="4" w:space="0" w:color="auto"/>
            </w:tcBorders>
            <w:shd w:val="clear" w:color="000000" w:fill="C6E0B4"/>
            <w:noWrap/>
            <w:vAlign w:val="center"/>
          </w:tcPr>
          <w:p w14:paraId="7AFA2C36" w14:textId="3B4922AE" w:rsidR="00346A4D" w:rsidRPr="00BE641A" w:rsidRDefault="00346A4D" w:rsidP="006D62F0">
            <w:pPr>
              <w:autoSpaceDE/>
              <w:autoSpaceDN/>
              <w:spacing w:before="0" w:after="0" w:line="240" w:lineRule="auto"/>
              <w:jc w:val="center"/>
              <w:rPr>
                <w:rFonts w:cs="Calibri"/>
                <w:b/>
                <w:bCs/>
                <w:color w:val="000000"/>
                <w:sz w:val="20"/>
              </w:rPr>
            </w:pPr>
            <w:r>
              <w:rPr>
                <w:rFonts w:cs="Calibri"/>
                <w:b/>
                <w:bCs/>
                <w:color w:val="000000"/>
                <w:sz w:val="20"/>
              </w:rPr>
              <w:t>3 772</w:t>
            </w:r>
          </w:p>
        </w:tc>
        <w:tc>
          <w:tcPr>
            <w:tcW w:w="1153" w:type="dxa"/>
            <w:tcBorders>
              <w:top w:val="single" w:sz="4" w:space="0" w:color="auto"/>
              <w:left w:val="single" w:sz="4" w:space="0" w:color="auto"/>
              <w:bottom w:val="single" w:sz="4" w:space="0" w:color="auto"/>
              <w:right w:val="single" w:sz="4" w:space="0" w:color="auto"/>
            </w:tcBorders>
            <w:shd w:val="clear" w:color="000000" w:fill="C6E0B4"/>
            <w:noWrap/>
            <w:vAlign w:val="center"/>
          </w:tcPr>
          <w:p w14:paraId="6A7F1D1C" w14:textId="7FC430CB" w:rsidR="00346A4D" w:rsidRPr="00BE641A" w:rsidRDefault="00346A4D" w:rsidP="006D62F0">
            <w:pPr>
              <w:autoSpaceDE/>
              <w:autoSpaceDN/>
              <w:spacing w:before="0" w:after="0" w:line="240" w:lineRule="auto"/>
              <w:jc w:val="center"/>
              <w:rPr>
                <w:rFonts w:cs="Calibri"/>
                <w:b/>
                <w:bCs/>
                <w:color w:val="000000"/>
                <w:sz w:val="20"/>
              </w:rPr>
            </w:pPr>
            <w:r>
              <w:rPr>
                <w:rFonts w:cs="Calibri"/>
                <w:b/>
                <w:bCs/>
                <w:color w:val="000000"/>
                <w:sz w:val="20"/>
              </w:rPr>
              <w:t>8</w:t>
            </w:r>
          </w:p>
        </w:tc>
      </w:tr>
      <w:tr w:rsidR="00346A4D" w:rsidRPr="00BE641A" w14:paraId="51E87150" w14:textId="77777777" w:rsidTr="00D7063F">
        <w:tc>
          <w:tcPr>
            <w:tcW w:w="96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D8A68EF" w14:textId="2003CE74" w:rsidR="00346A4D" w:rsidRPr="00BE641A" w:rsidRDefault="00346A4D" w:rsidP="00E66302">
            <w:pPr>
              <w:autoSpaceDE/>
              <w:autoSpaceDN/>
              <w:spacing w:before="0" w:after="0" w:line="240" w:lineRule="auto"/>
              <w:rPr>
                <w:rFonts w:cs="Calibri"/>
                <w:b/>
                <w:bCs/>
                <w:color w:val="000000"/>
                <w:sz w:val="20"/>
              </w:rPr>
            </w:pPr>
            <w:r w:rsidRPr="00B354CE">
              <w:rPr>
                <w:rFonts w:cs="Calibri"/>
                <w:b/>
                <w:bCs/>
                <w:color w:val="000000"/>
                <w:sz w:val="20"/>
              </w:rPr>
              <w:t xml:space="preserve">Hőszivattyús ellátás </w:t>
            </w:r>
            <w:r w:rsidRPr="00346A4D">
              <w:rPr>
                <w:rFonts w:cs="Calibri"/>
                <w:b/>
                <w:bCs/>
                <w:color w:val="000000"/>
                <w:sz w:val="20"/>
              </w:rPr>
              <w:t xml:space="preserve">földgáz </w:t>
            </w:r>
            <w:r w:rsidRPr="00B354CE">
              <w:rPr>
                <w:rFonts w:cs="Calibri"/>
                <w:b/>
                <w:bCs/>
                <w:color w:val="000000"/>
                <w:sz w:val="20"/>
              </w:rPr>
              <w:t xml:space="preserve">bázisú fűtési ellátás helyett </w:t>
            </w:r>
            <w:r>
              <w:rPr>
                <w:rFonts w:cs="Calibri"/>
                <w:b/>
                <w:bCs/>
                <w:color w:val="000000"/>
                <w:sz w:val="20"/>
              </w:rPr>
              <w:t>28</w:t>
            </w:r>
            <w:r w:rsidRPr="00B354CE">
              <w:rPr>
                <w:rFonts w:cs="Calibri"/>
                <w:b/>
                <w:bCs/>
                <w:color w:val="000000"/>
                <w:sz w:val="20"/>
              </w:rPr>
              <w:t xml:space="preserve"> db önkormányzati tulajdonú épületben</w:t>
            </w:r>
          </w:p>
        </w:tc>
      </w:tr>
      <w:tr w:rsidR="00BE641A" w:rsidRPr="00BE641A" w14:paraId="3AD259F8" w14:textId="77777777" w:rsidTr="00D7063F">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AA1B9" w14:textId="77777777" w:rsidR="00BE641A" w:rsidRPr="00BE641A" w:rsidRDefault="00BE641A" w:rsidP="006D62F0">
            <w:pPr>
              <w:autoSpaceDE/>
              <w:autoSpaceDN/>
              <w:spacing w:before="0" w:after="0" w:line="240" w:lineRule="auto"/>
              <w:rPr>
                <w:rFonts w:cs="Calibri"/>
                <w:b/>
                <w:bCs/>
                <w:color w:val="000000"/>
                <w:sz w:val="20"/>
              </w:rPr>
            </w:pPr>
            <w:r w:rsidRPr="00BE641A">
              <w:rPr>
                <w:rFonts w:cs="Calibri"/>
                <w:b/>
                <w:bCs/>
                <w:color w:val="000000"/>
                <w:sz w:val="20"/>
              </w:rPr>
              <w:t>Épület-központi ellátás (levegő-víz HP központi fűtési rendszerhez)</w:t>
            </w:r>
          </w:p>
        </w:tc>
        <w:tc>
          <w:tcPr>
            <w:tcW w:w="1275"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0ADB1B70"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534 479</w:t>
            </w:r>
          </w:p>
        </w:tc>
        <w:tc>
          <w:tcPr>
            <w:tcW w:w="1554"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12B85A60"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10 126</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456FE1AD" w14:textId="624191CC"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5</w:t>
            </w:r>
            <w:r w:rsidR="00346A4D">
              <w:rPr>
                <w:rFonts w:cs="Calibri"/>
                <w:b/>
                <w:bCs/>
                <w:color w:val="000000"/>
                <w:sz w:val="20"/>
              </w:rPr>
              <w:t>5 és 24</w:t>
            </w:r>
          </w:p>
        </w:tc>
        <w:tc>
          <w:tcPr>
            <w:tcW w:w="1404"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70318AA7"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39 544</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37A11C95" w14:textId="443BE939"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14</w:t>
            </w:r>
            <w:r w:rsidR="00346A4D">
              <w:rPr>
                <w:rFonts w:cs="Calibri"/>
                <w:b/>
                <w:bCs/>
                <w:color w:val="000000"/>
                <w:sz w:val="20"/>
              </w:rPr>
              <w:t xml:space="preserve"> és 6</w:t>
            </w:r>
          </w:p>
        </w:tc>
      </w:tr>
      <w:tr w:rsidR="00BE641A" w:rsidRPr="00BE641A" w14:paraId="4AF516C0" w14:textId="77777777" w:rsidTr="00D7063F">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250C4" w14:textId="77777777" w:rsidR="00BE641A" w:rsidRPr="00BE641A" w:rsidRDefault="00BE641A" w:rsidP="006D62F0">
            <w:pPr>
              <w:autoSpaceDE/>
              <w:autoSpaceDN/>
              <w:spacing w:before="0" w:after="0" w:line="240" w:lineRule="auto"/>
              <w:rPr>
                <w:rFonts w:cs="Calibri"/>
                <w:b/>
                <w:bCs/>
                <w:color w:val="000000"/>
                <w:sz w:val="20"/>
              </w:rPr>
            </w:pPr>
            <w:r w:rsidRPr="00BE641A">
              <w:rPr>
                <w:rFonts w:cs="Calibri"/>
                <w:b/>
                <w:bCs/>
                <w:color w:val="000000"/>
                <w:sz w:val="20"/>
              </w:rPr>
              <w:t>Központi ellátás (VRF) / db</w:t>
            </w:r>
          </w:p>
        </w:tc>
        <w:tc>
          <w:tcPr>
            <w:tcW w:w="1275"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49714898"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585 827</w:t>
            </w:r>
          </w:p>
        </w:tc>
        <w:tc>
          <w:tcPr>
            <w:tcW w:w="1554"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19FABD72"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11 548</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43428A2B"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51</w:t>
            </w:r>
          </w:p>
        </w:tc>
        <w:tc>
          <w:tcPr>
            <w:tcW w:w="1404"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6ABB5F99"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40 966</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314F5177"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14</w:t>
            </w:r>
          </w:p>
        </w:tc>
      </w:tr>
      <w:tr w:rsidR="00BE641A" w:rsidRPr="00BE641A" w14:paraId="3D5C1358" w14:textId="77777777" w:rsidTr="00D7063F">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69965" w14:textId="1395094A" w:rsidR="00BE641A" w:rsidRPr="00BE641A" w:rsidRDefault="00BE641A" w:rsidP="006D62F0">
            <w:pPr>
              <w:autoSpaceDE/>
              <w:autoSpaceDN/>
              <w:spacing w:before="0" w:after="0" w:line="240" w:lineRule="auto"/>
              <w:rPr>
                <w:rFonts w:cs="Calibri"/>
                <w:b/>
                <w:bCs/>
                <w:color w:val="000000"/>
                <w:sz w:val="20"/>
              </w:rPr>
            </w:pPr>
            <w:r w:rsidRPr="00BE641A">
              <w:rPr>
                <w:rFonts w:cs="Calibri"/>
                <w:b/>
                <w:bCs/>
                <w:color w:val="000000"/>
                <w:sz w:val="20"/>
              </w:rPr>
              <w:t xml:space="preserve">Helyiség ellátás (levegő-levegő HP - </w:t>
            </w:r>
            <w:proofErr w:type="spellStart"/>
            <w:r w:rsidRPr="00BE641A">
              <w:rPr>
                <w:rFonts w:cs="Calibri"/>
                <w:b/>
                <w:bCs/>
                <w:color w:val="000000"/>
                <w:sz w:val="20"/>
              </w:rPr>
              <w:t>split</w:t>
            </w:r>
            <w:proofErr w:type="spellEnd"/>
            <w:r w:rsidRPr="00BE641A">
              <w:rPr>
                <w:rFonts w:cs="Calibri"/>
                <w:b/>
                <w:bCs/>
                <w:color w:val="000000"/>
                <w:sz w:val="20"/>
              </w:rPr>
              <w:t xml:space="preserve"> klímák)</w:t>
            </w:r>
          </w:p>
        </w:tc>
        <w:tc>
          <w:tcPr>
            <w:tcW w:w="1275"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5BE782C5"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286 046</w:t>
            </w:r>
          </w:p>
        </w:tc>
        <w:tc>
          <w:tcPr>
            <w:tcW w:w="1554"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5B90998E"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11 548</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555FBC32"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25</w:t>
            </w:r>
          </w:p>
        </w:tc>
        <w:tc>
          <w:tcPr>
            <w:tcW w:w="1404"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54C39B4F"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40 966</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6F2A1B09" w14:textId="77777777" w:rsidR="00BE641A" w:rsidRPr="00BE641A" w:rsidRDefault="00BE641A" w:rsidP="006D62F0">
            <w:pPr>
              <w:autoSpaceDE/>
              <w:autoSpaceDN/>
              <w:spacing w:before="0" w:after="0" w:line="240" w:lineRule="auto"/>
              <w:jc w:val="center"/>
              <w:rPr>
                <w:rFonts w:cs="Calibri"/>
                <w:b/>
                <w:bCs/>
                <w:color w:val="000000"/>
                <w:sz w:val="20"/>
              </w:rPr>
            </w:pPr>
            <w:r w:rsidRPr="00BE641A">
              <w:rPr>
                <w:rFonts w:cs="Calibri"/>
                <w:b/>
                <w:bCs/>
                <w:color w:val="000000"/>
                <w:sz w:val="20"/>
              </w:rPr>
              <w:t>7</w:t>
            </w:r>
          </w:p>
        </w:tc>
      </w:tr>
      <w:tr w:rsidR="00346A4D" w:rsidRPr="00BE641A" w14:paraId="5FE0A451" w14:textId="77777777" w:rsidTr="00D7063F">
        <w:tc>
          <w:tcPr>
            <w:tcW w:w="96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D4FF7C2" w14:textId="77777777" w:rsidR="00346A4D" w:rsidRPr="00BE641A" w:rsidRDefault="00346A4D" w:rsidP="00E66302">
            <w:pPr>
              <w:autoSpaceDE/>
              <w:autoSpaceDN/>
              <w:spacing w:before="0" w:after="0" w:line="240" w:lineRule="auto"/>
              <w:rPr>
                <w:rFonts w:cs="Calibri"/>
                <w:b/>
                <w:bCs/>
                <w:color w:val="000000"/>
                <w:sz w:val="20"/>
              </w:rPr>
            </w:pPr>
            <w:r w:rsidRPr="00B354CE">
              <w:rPr>
                <w:rFonts w:cs="Calibri"/>
                <w:b/>
                <w:bCs/>
                <w:color w:val="000000"/>
                <w:sz w:val="20"/>
              </w:rPr>
              <w:t>Hőszivattyús ellátás villamos energia bázisú fűtési ellátás helyett 1 db önkormányzati tulajdonú épületben</w:t>
            </w:r>
          </w:p>
        </w:tc>
      </w:tr>
      <w:tr w:rsidR="004928EB" w:rsidRPr="00BE641A" w14:paraId="73C67C50" w14:textId="77777777" w:rsidTr="00D7063F">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DCB82" w14:textId="64EF8885" w:rsidR="004928EB" w:rsidRPr="00BE641A" w:rsidRDefault="004928EB" w:rsidP="004928EB">
            <w:pPr>
              <w:autoSpaceDE/>
              <w:autoSpaceDN/>
              <w:spacing w:before="0" w:after="0" w:line="240" w:lineRule="auto"/>
              <w:rPr>
                <w:rFonts w:cs="Calibri"/>
                <w:b/>
                <w:bCs/>
                <w:color w:val="000000"/>
                <w:sz w:val="20"/>
              </w:rPr>
            </w:pPr>
            <w:r w:rsidRPr="00BE641A">
              <w:rPr>
                <w:rFonts w:cs="Calibri"/>
                <w:b/>
                <w:bCs/>
                <w:color w:val="000000"/>
                <w:sz w:val="20"/>
              </w:rPr>
              <w:t>Épület-központi ellátás (levegő-víz HP központi fűtési rendszerhez)</w:t>
            </w:r>
          </w:p>
        </w:tc>
        <w:tc>
          <w:tcPr>
            <w:tcW w:w="1275" w:type="dxa"/>
            <w:tcBorders>
              <w:top w:val="single" w:sz="4" w:space="0" w:color="auto"/>
              <w:left w:val="single" w:sz="4" w:space="0" w:color="auto"/>
              <w:bottom w:val="single" w:sz="4" w:space="0" w:color="auto"/>
              <w:right w:val="single" w:sz="4" w:space="0" w:color="auto"/>
            </w:tcBorders>
            <w:shd w:val="clear" w:color="000000" w:fill="FFE699"/>
            <w:noWrap/>
          </w:tcPr>
          <w:p w14:paraId="53D50B99" w14:textId="49699999"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9</w:t>
            </w:r>
            <w:r>
              <w:rPr>
                <w:rFonts w:cs="Calibri"/>
                <w:b/>
                <w:bCs/>
                <w:color w:val="000000"/>
                <w:sz w:val="20"/>
              </w:rPr>
              <w:t xml:space="preserve"> </w:t>
            </w:r>
            <w:r w:rsidRPr="00346A4D">
              <w:rPr>
                <w:rFonts w:cs="Calibri"/>
                <w:b/>
                <w:bCs/>
                <w:color w:val="000000"/>
                <w:sz w:val="20"/>
              </w:rPr>
              <w:t>197</w:t>
            </w:r>
          </w:p>
        </w:tc>
        <w:tc>
          <w:tcPr>
            <w:tcW w:w="1554" w:type="dxa"/>
            <w:tcBorders>
              <w:top w:val="single" w:sz="4" w:space="0" w:color="auto"/>
              <w:left w:val="single" w:sz="4" w:space="0" w:color="auto"/>
              <w:bottom w:val="single" w:sz="4" w:space="0" w:color="auto"/>
              <w:right w:val="single" w:sz="4" w:space="0" w:color="auto"/>
            </w:tcBorders>
            <w:shd w:val="clear" w:color="000000" w:fill="FFE699"/>
            <w:noWrap/>
          </w:tcPr>
          <w:p w14:paraId="2F2AD076" w14:textId="57A62789"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1 050</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tcPr>
          <w:p w14:paraId="188C1D94" w14:textId="1C4797DA"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8,76</w:t>
            </w:r>
          </w:p>
        </w:tc>
        <w:tc>
          <w:tcPr>
            <w:tcW w:w="1404" w:type="dxa"/>
            <w:tcBorders>
              <w:top w:val="single" w:sz="4" w:space="0" w:color="auto"/>
              <w:left w:val="single" w:sz="4" w:space="0" w:color="auto"/>
              <w:bottom w:val="single" w:sz="4" w:space="0" w:color="auto"/>
              <w:right w:val="single" w:sz="4" w:space="0" w:color="auto"/>
            </w:tcBorders>
            <w:shd w:val="clear" w:color="000000" w:fill="FFE699"/>
            <w:noWrap/>
          </w:tcPr>
          <w:p w14:paraId="52578105" w14:textId="01993AF3"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2 286</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tcPr>
          <w:p w14:paraId="01FD76E2" w14:textId="79037CDB" w:rsidR="004928EB" w:rsidRPr="00BE641A" w:rsidRDefault="004928EB" w:rsidP="004928EB">
            <w:pPr>
              <w:autoSpaceDE/>
              <w:autoSpaceDN/>
              <w:spacing w:before="0" w:after="0" w:line="240" w:lineRule="auto"/>
              <w:jc w:val="center"/>
              <w:rPr>
                <w:rFonts w:cs="Calibri"/>
                <w:b/>
                <w:bCs/>
                <w:color w:val="000000"/>
                <w:sz w:val="20"/>
              </w:rPr>
            </w:pPr>
            <w:r>
              <w:rPr>
                <w:rFonts w:cs="Calibri"/>
                <w:b/>
                <w:bCs/>
                <w:color w:val="000000"/>
                <w:sz w:val="20"/>
              </w:rPr>
              <w:t>4</w:t>
            </w:r>
          </w:p>
        </w:tc>
      </w:tr>
      <w:tr w:rsidR="004928EB" w:rsidRPr="00BE641A" w14:paraId="15E4791B" w14:textId="77777777" w:rsidTr="00D7063F">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145C6B" w14:textId="54555133" w:rsidR="004928EB" w:rsidRPr="00BE641A" w:rsidRDefault="004928EB" w:rsidP="004928EB">
            <w:pPr>
              <w:autoSpaceDE/>
              <w:autoSpaceDN/>
              <w:spacing w:before="0" w:after="0" w:line="240" w:lineRule="auto"/>
              <w:rPr>
                <w:rFonts w:cs="Calibri"/>
                <w:b/>
                <w:bCs/>
                <w:color w:val="000000"/>
                <w:sz w:val="20"/>
              </w:rPr>
            </w:pPr>
            <w:r w:rsidRPr="00BE641A">
              <w:rPr>
                <w:rFonts w:cs="Calibri"/>
                <w:b/>
                <w:bCs/>
                <w:color w:val="000000"/>
                <w:sz w:val="20"/>
              </w:rPr>
              <w:t>Központi ellátás (VRF) / db</w:t>
            </w:r>
          </w:p>
        </w:tc>
        <w:tc>
          <w:tcPr>
            <w:tcW w:w="1275" w:type="dxa"/>
            <w:tcBorders>
              <w:top w:val="single" w:sz="4" w:space="0" w:color="auto"/>
              <w:left w:val="single" w:sz="4" w:space="0" w:color="auto"/>
              <w:bottom w:val="single" w:sz="4" w:space="0" w:color="auto"/>
              <w:right w:val="single" w:sz="4" w:space="0" w:color="auto"/>
            </w:tcBorders>
            <w:shd w:val="clear" w:color="000000" w:fill="FFE699"/>
            <w:noWrap/>
          </w:tcPr>
          <w:p w14:paraId="6D2A1CBB" w14:textId="7B0AD382"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9 723</w:t>
            </w:r>
          </w:p>
        </w:tc>
        <w:tc>
          <w:tcPr>
            <w:tcW w:w="1554" w:type="dxa"/>
            <w:tcBorders>
              <w:top w:val="single" w:sz="4" w:space="0" w:color="auto"/>
              <w:left w:val="single" w:sz="4" w:space="0" w:color="auto"/>
              <w:bottom w:val="single" w:sz="4" w:space="0" w:color="auto"/>
              <w:right w:val="single" w:sz="4" w:space="0" w:color="auto"/>
            </w:tcBorders>
            <w:shd w:val="clear" w:color="000000" w:fill="FFE699"/>
            <w:noWrap/>
          </w:tcPr>
          <w:p w14:paraId="039D240E" w14:textId="6E772AF5"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1 074</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tcPr>
          <w:p w14:paraId="3E7CD2C6" w14:textId="6CB7D910"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9,05</w:t>
            </w:r>
          </w:p>
        </w:tc>
        <w:tc>
          <w:tcPr>
            <w:tcW w:w="1404" w:type="dxa"/>
            <w:tcBorders>
              <w:top w:val="single" w:sz="4" w:space="0" w:color="auto"/>
              <w:left w:val="single" w:sz="4" w:space="0" w:color="auto"/>
              <w:bottom w:val="single" w:sz="4" w:space="0" w:color="auto"/>
              <w:right w:val="single" w:sz="4" w:space="0" w:color="auto"/>
            </w:tcBorders>
            <w:shd w:val="clear" w:color="000000" w:fill="FFE699"/>
            <w:noWrap/>
          </w:tcPr>
          <w:p w14:paraId="55AEDDC8" w14:textId="640F1AF2"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2 310</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tcPr>
          <w:p w14:paraId="307F120E" w14:textId="15D9E076" w:rsidR="004928EB" w:rsidRPr="00BE641A" w:rsidRDefault="004928EB" w:rsidP="004928EB">
            <w:pPr>
              <w:autoSpaceDE/>
              <w:autoSpaceDN/>
              <w:spacing w:before="0" w:after="0" w:line="240" w:lineRule="auto"/>
              <w:jc w:val="center"/>
              <w:rPr>
                <w:rFonts w:cs="Calibri"/>
                <w:b/>
                <w:bCs/>
                <w:color w:val="000000"/>
                <w:sz w:val="20"/>
              </w:rPr>
            </w:pPr>
            <w:r>
              <w:rPr>
                <w:rFonts w:cs="Calibri"/>
                <w:b/>
                <w:bCs/>
                <w:color w:val="000000"/>
                <w:sz w:val="20"/>
              </w:rPr>
              <w:t>4</w:t>
            </w:r>
          </w:p>
        </w:tc>
      </w:tr>
      <w:tr w:rsidR="004928EB" w:rsidRPr="00BE641A" w14:paraId="5D7F58AB" w14:textId="77777777" w:rsidTr="00D7063F">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500CE" w14:textId="6818E72B" w:rsidR="004928EB" w:rsidRPr="00BE641A" w:rsidRDefault="004928EB" w:rsidP="004928EB">
            <w:pPr>
              <w:autoSpaceDE/>
              <w:autoSpaceDN/>
              <w:spacing w:before="0" w:after="0" w:line="240" w:lineRule="auto"/>
              <w:rPr>
                <w:rFonts w:cs="Calibri"/>
                <w:b/>
                <w:bCs/>
                <w:color w:val="000000"/>
                <w:sz w:val="20"/>
              </w:rPr>
            </w:pPr>
            <w:r w:rsidRPr="00BE641A">
              <w:rPr>
                <w:rFonts w:cs="Calibri"/>
                <w:b/>
                <w:bCs/>
                <w:color w:val="000000"/>
                <w:sz w:val="20"/>
              </w:rPr>
              <w:lastRenderedPageBreak/>
              <w:t xml:space="preserve">Helyiség ellátás (levegő-levegő HP - </w:t>
            </w:r>
            <w:proofErr w:type="spellStart"/>
            <w:r w:rsidRPr="00BE641A">
              <w:rPr>
                <w:rFonts w:cs="Calibri"/>
                <w:b/>
                <w:bCs/>
                <w:color w:val="000000"/>
                <w:sz w:val="20"/>
              </w:rPr>
              <w:t>split</w:t>
            </w:r>
            <w:proofErr w:type="spellEnd"/>
            <w:r w:rsidRPr="00BE641A">
              <w:rPr>
                <w:rFonts w:cs="Calibri"/>
                <w:b/>
                <w:bCs/>
                <w:color w:val="000000"/>
                <w:sz w:val="20"/>
              </w:rPr>
              <w:t xml:space="preserve"> klímák)</w:t>
            </w:r>
          </w:p>
        </w:tc>
        <w:tc>
          <w:tcPr>
            <w:tcW w:w="1275" w:type="dxa"/>
            <w:tcBorders>
              <w:top w:val="single" w:sz="4" w:space="0" w:color="auto"/>
              <w:left w:val="single" w:sz="4" w:space="0" w:color="auto"/>
              <w:bottom w:val="single" w:sz="4" w:space="0" w:color="auto"/>
              <w:right w:val="single" w:sz="4" w:space="0" w:color="auto"/>
            </w:tcBorders>
            <w:shd w:val="clear" w:color="000000" w:fill="FFE699"/>
            <w:noWrap/>
          </w:tcPr>
          <w:p w14:paraId="153CCC16" w14:textId="136D61D2"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4 748</w:t>
            </w:r>
          </w:p>
        </w:tc>
        <w:tc>
          <w:tcPr>
            <w:tcW w:w="1554" w:type="dxa"/>
            <w:tcBorders>
              <w:top w:val="single" w:sz="4" w:space="0" w:color="auto"/>
              <w:left w:val="single" w:sz="4" w:space="0" w:color="auto"/>
              <w:bottom w:val="single" w:sz="4" w:space="0" w:color="auto"/>
              <w:right w:val="single" w:sz="4" w:space="0" w:color="auto"/>
            </w:tcBorders>
            <w:shd w:val="clear" w:color="000000" w:fill="FFE699"/>
            <w:noWrap/>
          </w:tcPr>
          <w:p w14:paraId="586E152C" w14:textId="3289918D"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1 074</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tcPr>
          <w:p w14:paraId="122F2722" w14:textId="62A1ADAE"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4,42</w:t>
            </w:r>
          </w:p>
        </w:tc>
        <w:tc>
          <w:tcPr>
            <w:tcW w:w="1404" w:type="dxa"/>
            <w:tcBorders>
              <w:top w:val="single" w:sz="4" w:space="0" w:color="auto"/>
              <w:left w:val="single" w:sz="4" w:space="0" w:color="auto"/>
              <w:bottom w:val="single" w:sz="4" w:space="0" w:color="auto"/>
              <w:right w:val="single" w:sz="4" w:space="0" w:color="auto"/>
            </w:tcBorders>
            <w:shd w:val="clear" w:color="000000" w:fill="FFE699"/>
            <w:noWrap/>
          </w:tcPr>
          <w:p w14:paraId="35FCF747" w14:textId="6F90D5C8" w:rsidR="004928EB" w:rsidRPr="00BE641A" w:rsidRDefault="004928EB" w:rsidP="004928EB">
            <w:pPr>
              <w:autoSpaceDE/>
              <w:autoSpaceDN/>
              <w:spacing w:before="0" w:after="0" w:line="240" w:lineRule="auto"/>
              <w:jc w:val="center"/>
              <w:rPr>
                <w:rFonts w:cs="Calibri"/>
                <w:b/>
                <w:bCs/>
                <w:color w:val="000000"/>
                <w:sz w:val="20"/>
              </w:rPr>
            </w:pPr>
            <w:r w:rsidRPr="00346A4D">
              <w:rPr>
                <w:rFonts w:cs="Calibri"/>
                <w:b/>
                <w:bCs/>
                <w:color w:val="000000"/>
                <w:sz w:val="20"/>
              </w:rPr>
              <w:t>2 310</w:t>
            </w:r>
          </w:p>
        </w:tc>
        <w:tc>
          <w:tcPr>
            <w:tcW w:w="1153" w:type="dxa"/>
            <w:tcBorders>
              <w:top w:val="single" w:sz="4" w:space="0" w:color="auto"/>
              <w:left w:val="single" w:sz="4" w:space="0" w:color="auto"/>
              <w:bottom w:val="single" w:sz="4" w:space="0" w:color="auto"/>
              <w:right w:val="single" w:sz="4" w:space="0" w:color="auto"/>
            </w:tcBorders>
            <w:shd w:val="clear" w:color="000000" w:fill="FFE699"/>
            <w:noWrap/>
          </w:tcPr>
          <w:p w14:paraId="44A733E9" w14:textId="6284CEEE" w:rsidR="004928EB" w:rsidRPr="00BE641A" w:rsidRDefault="004928EB" w:rsidP="004928EB">
            <w:pPr>
              <w:autoSpaceDE/>
              <w:autoSpaceDN/>
              <w:spacing w:before="0" w:after="0" w:line="240" w:lineRule="auto"/>
              <w:jc w:val="center"/>
              <w:rPr>
                <w:rFonts w:cs="Calibri"/>
                <w:b/>
                <w:bCs/>
                <w:color w:val="000000"/>
                <w:sz w:val="20"/>
              </w:rPr>
            </w:pPr>
            <w:r>
              <w:rPr>
                <w:rFonts w:cs="Calibri"/>
                <w:b/>
                <w:bCs/>
                <w:color w:val="000000"/>
                <w:sz w:val="20"/>
              </w:rPr>
              <w:t>2</w:t>
            </w:r>
          </w:p>
        </w:tc>
      </w:tr>
      <w:tr w:rsidR="00346A4D" w:rsidRPr="00BE641A" w14:paraId="3C4D1A2C" w14:textId="77777777" w:rsidTr="00D7063F">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EE02D" w14:textId="77777777" w:rsidR="00346A4D" w:rsidRPr="00BE641A" w:rsidRDefault="00346A4D" w:rsidP="00346A4D">
            <w:pPr>
              <w:autoSpaceDE/>
              <w:autoSpaceDN/>
              <w:spacing w:before="0" w:after="0" w:line="240" w:lineRule="auto"/>
              <w:rPr>
                <w:rFonts w:cs="Calibri"/>
                <w:b/>
                <w:bCs/>
                <w:color w:val="000000"/>
                <w:sz w:val="20"/>
              </w:rPr>
            </w:pPr>
            <w:r w:rsidRPr="00BE641A">
              <w:rPr>
                <w:rFonts w:cs="Calibri"/>
                <w:b/>
                <w:bCs/>
                <w:color w:val="000000"/>
                <w:sz w:val="20"/>
              </w:rPr>
              <w:t>PV telepítés lakóépületre / db</w:t>
            </w:r>
          </w:p>
        </w:tc>
        <w:tc>
          <w:tcPr>
            <w:tcW w:w="1275"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22CAE395" w14:textId="77777777" w:rsidR="00346A4D" w:rsidRPr="00BE641A" w:rsidRDefault="00346A4D" w:rsidP="00346A4D">
            <w:pPr>
              <w:autoSpaceDE/>
              <w:autoSpaceDN/>
              <w:spacing w:before="0" w:after="0" w:line="240" w:lineRule="auto"/>
              <w:jc w:val="center"/>
              <w:rPr>
                <w:rFonts w:cs="Calibri"/>
                <w:b/>
                <w:bCs/>
                <w:color w:val="000000"/>
                <w:sz w:val="20"/>
              </w:rPr>
            </w:pPr>
            <w:r w:rsidRPr="00BE641A">
              <w:rPr>
                <w:rFonts w:cs="Calibri"/>
                <w:b/>
                <w:bCs/>
                <w:color w:val="000000"/>
                <w:sz w:val="20"/>
              </w:rPr>
              <w:t>214 884</w:t>
            </w:r>
          </w:p>
        </w:tc>
        <w:tc>
          <w:tcPr>
            <w:tcW w:w="1554"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5C899EAC" w14:textId="77777777" w:rsidR="00346A4D" w:rsidRPr="00BE641A" w:rsidRDefault="00346A4D" w:rsidP="00346A4D">
            <w:pPr>
              <w:autoSpaceDE/>
              <w:autoSpaceDN/>
              <w:spacing w:before="0" w:after="0" w:line="240" w:lineRule="auto"/>
              <w:jc w:val="center"/>
              <w:rPr>
                <w:rFonts w:cs="Calibri"/>
                <w:b/>
                <w:bCs/>
                <w:color w:val="000000"/>
                <w:sz w:val="20"/>
              </w:rPr>
            </w:pPr>
            <w:r w:rsidRPr="00BE641A">
              <w:rPr>
                <w:rFonts w:cs="Calibri"/>
                <w:b/>
                <w:bCs/>
                <w:color w:val="000000"/>
                <w:sz w:val="20"/>
              </w:rPr>
              <w:t>15 186</w:t>
            </w:r>
          </w:p>
        </w:tc>
        <w:tc>
          <w:tcPr>
            <w:tcW w:w="1153"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26991AA1" w14:textId="77777777" w:rsidR="00346A4D" w:rsidRPr="00BE641A" w:rsidRDefault="00346A4D" w:rsidP="00346A4D">
            <w:pPr>
              <w:autoSpaceDE/>
              <w:autoSpaceDN/>
              <w:spacing w:before="0" w:after="0" w:line="240" w:lineRule="auto"/>
              <w:jc w:val="center"/>
              <w:rPr>
                <w:rFonts w:cs="Calibri"/>
                <w:b/>
                <w:bCs/>
                <w:color w:val="000000"/>
                <w:sz w:val="20"/>
              </w:rPr>
            </w:pPr>
            <w:r w:rsidRPr="00BE641A">
              <w:rPr>
                <w:rFonts w:cs="Calibri"/>
                <w:b/>
                <w:bCs/>
                <w:color w:val="000000"/>
                <w:sz w:val="20"/>
              </w:rPr>
              <w:t>14</w:t>
            </w:r>
          </w:p>
        </w:tc>
        <w:tc>
          <w:tcPr>
            <w:tcW w:w="1404"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5A9F6CC7" w14:textId="77777777" w:rsidR="00346A4D" w:rsidRPr="00BE641A" w:rsidRDefault="00346A4D" w:rsidP="00346A4D">
            <w:pPr>
              <w:autoSpaceDE/>
              <w:autoSpaceDN/>
              <w:spacing w:before="0" w:after="0" w:line="240" w:lineRule="auto"/>
              <w:jc w:val="center"/>
              <w:rPr>
                <w:rFonts w:cs="Calibri"/>
                <w:b/>
                <w:bCs/>
                <w:color w:val="000000"/>
                <w:sz w:val="20"/>
              </w:rPr>
            </w:pPr>
            <w:r w:rsidRPr="00BE641A">
              <w:rPr>
                <w:rFonts w:cs="Calibri"/>
                <w:b/>
                <w:bCs/>
                <w:color w:val="000000"/>
                <w:sz w:val="20"/>
              </w:rPr>
              <w:t>28 257</w:t>
            </w:r>
          </w:p>
        </w:tc>
        <w:tc>
          <w:tcPr>
            <w:tcW w:w="1153"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11CE36A" w14:textId="77777777" w:rsidR="00346A4D" w:rsidRPr="00BE641A" w:rsidRDefault="00346A4D" w:rsidP="00346A4D">
            <w:pPr>
              <w:autoSpaceDE/>
              <w:autoSpaceDN/>
              <w:spacing w:before="0" w:after="0" w:line="240" w:lineRule="auto"/>
              <w:jc w:val="center"/>
              <w:rPr>
                <w:rFonts w:cs="Calibri"/>
                <w:b/>
                <w:bCs/>
                <w:color w:val="000000"/>
                <w:sz w:val="20"/>
              </w:rPr>
            </w:pPr>
            <w:r w:rsidRPr="00BE641A">
              <w:rPr>
                <w:rFonts w:cs="Calibri"/>
                <w:b/>
                <w:bCs/>
                <w:color w:val="000000"/>
                <w:sz w:val="20"/>
              </w:rPr>
              <w:t>8</w:t>
            </w:r>
          </w:p>
        </w:tc>
      </w:tr>
      <w:tr w:rsidR="004928EB" w:rsidRPr="00BE641A" w14:paraId="4E1160EE" w14:textId="77777777" w:rsidTr="00D7063F">
        <w:tc>
          <w:tcPr>
            <w:tcW w:w="9659" w:type="dxa"/>
            <w:gridSpan w:val="6"/>
            <w:tcBorders>
              <w:top w:val="single" w:sz="4" w:space="0" w:color="auto"/>
              <w:bottom w:val="single" w:sz="4" w:space="0" w:color="auto"/>
            </w:tcBorders>
            <w:shd w:val="clear" w:color="auto" w:fill="auto"/>
            <w:noWrap/>
            <w:vAlign w:val="center"/>
          </w:tcPr>
          <w:p w14:paraId="1ECA32F3" w14:textId="77777777" w:rsidR="004928EB" w:rsidRPr="00BE641A" w:rsidRDefault="004928EB" w:rsidP="00346A4D">
            <w:pPr>
              <w:autoSpaceDE/>
              <w:autoSpaceDN/>
              <w:spacing w:before="0" w:after="0" w:line="240" w:lineRule="auto"/>
              <w:jc w:val="center"/>
              <w:rPr>
                <w:rFonts w:cs="Calibri"/>
                <w:b/>
                <w:bCs/>
                <w:color w:val="000000"/>
                <w:sz w:val="20"/>
              </w:rPr>
            </w:pPr>
          </w:p>
        </w:tc>
      </w:tr>
      <w:tr w:rsidR="004928EB" w:rsidRPr="00BE641A" w14:paraId="7D7F281E" w14:textId="77777777" w:rsidTr="00D7063F">
        <w:tc>
          <w:tcPr>
            <w:tcW w:w="9659"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193C87C" w14:textId="7FE4D0F4" w:rsidR="004928EB" w:rsidRPr="00BE641A" w:rsidRDefault="004928EB" w:rsidP="00D7063F">
            <w:pPr>
              <w:autoSpaceDE/>
              <w:autoSpaceDN/>
              <w:spacing w:before="0" w:after="0" w:line="240" w:lineRule="auto"/>
              <w:rPr>
                <w:rFonts w:cs="Calibri"/>
                <w:b/>
                <w:bCs/>
                <w:color w:val="000000"/>
                <w:sz w:val="20"/>
              </w:rPr>
            </w:pPr>
            <w:r>
              <w:rPr>
                <w:rFonts w:cs="Calibri"/>
                <w:b/>
                <w:bCs/>
                <w:color w:val="000000"/>
                <w:sz w:val="20"/>
              </w:rPr>
              <w:t>A verzió összesen</w:t>
            </w:r>
          </w:p>
        </w:tc>
      </w:tr>
      <w:tr w:rsidR="00D7063F" w:rsidRPr="00BE641A" w14:paraId="003E7603" w14:textId="77777777" w:rsidTr="00E66302">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1DA74" w14:textId="48233EF5" w:rsidR="00D7063F" w:rsidRPr="00BE641A" w:rsidRDefault="00D7063F" w:rsidP="00D7063F">
            <w:pPr>
              <w:autoSpaceDE/>
              <w:autoSpaceDN/>
              <w:spacing w:before="0" w:after="0" w:line="240" w:lineRule="auto"/>
              <w:rPr>
                <w:rFonts w:cs="Calibri"/>
                <w:b/>
                <w:bCs/>
                <w:color w:val="000000"/>
                <w:sz w:val="20"/>
              </w:rPr>
            </w:pPr>
            <w:r w:rsidRPr="00BE641A">
              <w:rPr>
                <w:rFonts w:cs="Calibri"/>
                <w:b/>
                <w:bCs/>
                <w:color w:val="000000"/>
                <w:sz w:val="20"/>
              </w:rPr>
              <w:t>29 épület összesen</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6977D" w14:textId="1B722348" w:rsidR="00D7063F" w:rsidRPr="00BE641A" w:rsidRDefault="00D7063F" w:rsidP="00D7063F">
            <w:pPr>
              <w:autoSpaceDE/>
              <w:autoSpaceDN/>
              <w:spacing w:before="0" w:after="0" w:line="240" w:lineRule="auto"/>
              <w:jc w:val="center"/>
              <w:rPr>
                <w:rFonts w:cs="Calibri"/>
                <w:b/>
                <w:bCs/>
                <w:color w:val="000000"/>
                <w:sz w:val="20"/>
              </w:rPr>
            </w:pPr>
            <w:r w:rsidRPr="00BE641A">
              <w:rPr>
                <w:rFonts w:cs="Calibri"/>
                <w:b/>
                <w:bCs/>
                <w:color w:val="000000"/>
                <w:sz w:val="20"/>
              </w:rPr>
              <w:t>3</w:t>
            </w:r>
            <w:r>
              <w:rPr>
                <w:rFonts w:cs="Calibri"/>
                <w:b/>
                <w:bCs/>
                <w:color w:val="000000"/>
                <w:sz w:val="20"/>
              </w:rPr>
              <w:t xml:space="preserve"> 108 668</w:t>
            </w:r>
          </w:p>
        </w:tc>
        <w:tc>
          <w:tcPr>
            <w:tcW w:w="1554" w:type="dxa"/>
            <w:tcBorders>
              <w:top w:val="single" w:sz="4" w:space="0" w:color="auto"/>
              <w:left w:val="single" w:sz="4" w:space="0" w:color="auto"/>
              <w:bottom w:val="single" w:sz="4" w:space="0" w:color="auto"/>
              <w:right w:val="single" w:sz="4" w:space="0" w:color="auto"/>
            </w:tcBorders>
            <w:shd w:val="clear" w:color="auto" w:fill="auto"/>
            <w:noWrap/>
            <w:hideMark/>
          </w:tcPr>
          <w:p w14:paraId="7DFE8048" w14:textId="2F098088" w:rsidR="00D7063F" w:rsidRPr="00BE641A"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73 818</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C3D53" w14:textId="222ED6AA" w:rsidR="00D7063F" w:rsidRPr="00BE641A" w:rsidRDefault="003107F8" w:rsidP="00D7063F">
            <w:pPr>
              <w:autoSpaceDE/>
              <w:autoSpaceDN/>
              <w:spacing w:before="0" w:after="0" w:line="240" w:lineRule="auto"/>
              <w:jc w:val="center"/>
              <w:rPr>
                <w:rFonts w:cs="Calibri"/>
                <w:b/>
                <w:bCs/>
                <w:color w:val="000000"/>
                <w:sz w:val="20"/>
              </w:rPr>
            </w:pPr>
            <w:r>
              <w:rPr>
                <w:rFonts w:cs="Calibri"/>
                <w:b/>
                <w:bCs/>
                <w:color w:val="000000"/>
                <w:sz w:val="20"/>
              </w:rPr>
              <w:t>42</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953AC" w14:textId="6881AA36" w:rsidR="00D7063F" w:rsidRPr="00BE641A"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170 112</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BC201" w14:textId="3C3FF69A" w:rsidR="00D7063F" w:rsidRPr="00BE641A" w:rsidRDefault="003107F8" w:rsidP="00D7063F">
            <w:pPr>
              <w:autoSpaceDE/>
              <w:autoSpaceDN/>
              <w:spacing w:before="0" w:after="0" w:line="240" w:lineRule="auto"/>
              <w:jc w:val="center"/>
              <w:rPr>
                <w:rFonts w:cs="Calibri"/>
                <w:b/>
                <w:bCs/>
                <w:color w:val="000000"/>
                <w:sz w:val="20"/>
              </w:rPr>
            </w:pPr>
            <w:r>
              <w:rPr>
                <w:rFonts w:cs="Calibri"/>
                <w:b/>
                <w:bCs/>
                <w:color w:val="000000"/>
                <w:sz w:val="20"/>
              </w:rPr>
              <w:t>18</w:t>
            </w:r>
          </w:p>
        </w:tc>
      </w:tr>
      <w:tr w:rsidR="00D7063F" w:rsidRPr="00BE641A" w14:paraId="289ACA32" w14:textId="77777777" w:rsidTr="00E66302">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1F5CD" w14:textId="2FCDC45B" w:rsidR="00D7063F" w:rsidRPr="00BE641A" w:rsidRDefault="00D7063F" w:rsidP="00D7063F">
            <w:pPr>
              <w:autoSpaceDE/>
              <w:autoSpaceDN/>
              <w:spacing w:before="0" w:after="0" w:line="240" w:lineRule="auto"/>
              <w:rPr>
                <w:rFonts w:cs="Calibri"/>
                <w:b/>
                <w:bCs/>
                <w:color w:val="000000"/>
                <w:sz w:val="20"/>
              </w:rPr>
            </w:pPr>
            <w:r w:rsidRPr="00BE641A">
              <w:rPr>
                <w:rFonts w:cs="Calibri"/>
                <w:b/>
                <w:bCs/>
                <w:color w:val="000000"/>
                <w:sz w:val="20"/>
              </w:rPr>
              <w:t xml:space="preserve">1 m2-re vetített </w:t>
            </w:r>
            <w:r>
              <w:rPr>
                <w:rFonts w:cs="Calibri"/>
                <w:b/>
                <w:bCs/>
                <w:color w:val="000000"/>
                <w:sz w:val="20"/>
              </w:rPr>
              <w:t>megtakarítás / év</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FB9D4" w14:textId="04C02EF1" w:rsidR="00D7063F" w:rsidRPr="00BE641A" w:rsidRDefault="00D7063F" w:rsidP="00D7063F">
            <w:pPr>
              <w:autoSpaceDE/>
              <w:autoSpaceDN/>
              <w:spacing w:before="0" w:after="0" w:line="240" w:lineRule="auto"/>
              <w:jc w:val="center"/>
              <w:rPr>
                <w:rFonts w:cs="Calibri"/>
                <w:b/>
                <w:bCs/>
                <w:color w:val="000000"/>
                <w:sz w:val="20"/>
              </w:rPr>
            </w:pPr>
          </w:p>
        </w:tc>
        <w:tc>
          <w:tcPr>
            <w:tcW w:w="1554" w:type="dxa"/>
            <w:tcBorders>
              <w:top w:val="single" w:sz="4" w:space="0" w:color="auto"/>
              <w:left w:val="single" w:sz="4" w:space="0" w:color="auto"/>
              <w:bottom w:val="single" w:sz="4" w:space="0" w:color="auto"/>
              <w:right w:val="single" w:sz="4" w:space="0" w:color="auto"/>
            </w:tcBorders>
            <w:shd w:val="clear" w:color="auto" w:fill="auto"/>
            <w:noWrap/>
            <w:hideMark/>
          </w:tcPr>
          <w:p w14:paraId="1708C1BA" w14:textId="578CA9CC" w:rsidR="00D7063F" w:rsidRPr="00BE641A"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5 913</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CA987" w14:textId="3C37A011" w:rsidR="00D7063F" w:rsidRPr="00BE641A" w:rsidRDefault="00D7063F" w:rsidP="00D7063F">
            <w:pPr>
              <w:autoSpaceDE/>
              <w:autoSpaceDN/>
              <w:spacing w:before="0" w:after="0" w:line="240" w:lineRule="auto"/>
              <w:jc w:val="center"/>
              <w:rPr>
                <w:rFonts w:cs="Calibri"/>
                <w:b/>
                <w:bCs/>
                <w:color w:val="000000"/>
                <w:sz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07949" w14:textId="305F6CAC" w:rsidR="00D7063F" w:rsidRPr="00BE641A"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13 003</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9A5CE" w14:textId="6FCD0DAF" w:rsidR="00D7063F" w:rsidRPr="00BE641A" w:rsidRDefault="00D7063F" w:rsidP="00D7063F">
            <w:pPr>
              <w:autoSpaceDE/>
              <w:autoSpaceDN/>
              <w:spacing w:before="0" w:after="0" w:line="240" w:lineRule="auto"/>
              <w:jc w:val="center"/>
              <w:rPr>
                <w:rFonts w:cs="Calibri"/>
                <w:b/>
                <w:bCs/>
                <w:color w:val="000000"/>
                <w:sz w:val="20"/>
              </w:rPr>
            </w:pPr>
          </w:p>
        </w:tc>
      </w:tr>
      <w:tr w:rsidR="00D7063F" w:rsidRPr="00BE641A" w14:paraId="259B606A" w14:textId="77777777" w:rsidTr="00E66302">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09BC1C" w14:textId="59DE0729" w:rsidR="00D7063F" w:rsidRPr="00BE641A" w:rsidRDefault="00D7063F" w:rsidP="00D7063F">
            <w:pPr>
              <w:autoSpaceDE/>
              <w:autoSpaceDN/>
              <w:spacing w:before="0" w:after="0" w:line="240" w:lineRule="auto"/>
              <w:rPr>
                <w:rFonts w:cs="Calibri"/>
                <w:b/>
                <w:bCs/>
                <w:color w:val="000000"/>
                <w:sz w:val="20"/>
              </w:rPr>
            </w:pPr>
            <w:r w:rsidRPr="00BE641A">
              <w:rPr>
                <w:rFonts w:cs="Calibri"/>
                <w:b/>
                <w:bCs/>
                <w:color w:val="000000"/>
                <w:sz w:val="20"/>
              </w:rPr>
              <w:t xml:space="preserve">1 m2-re vetített </w:t>
            </w:r>
            <w:r>
              <w:rPr>
                <w:rFonts w:cs="Calibri"/>
                <w:b/>
                <w:bCs/>
                <w:color w:val="000000"/>
                <w:sz w:val="20"/>
              </w:rPr>
              <w:t>megtakarítás / hónap</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26520" w14:textId="77777777" w:rsidR="00D7063F" w:rsidRPr="00BE641A" w:rsidRDefault="00D7063F" w:rsidP="00D7063F">
            <w:pPr>
              <w:autoSpaceDE/>
              <w:autoSpaceDN/>
              <w:spacing w:before="0" w:after="0" w:line="240" w:lineRule="auto"/>
              <w:jc w:val="center"/>
              <w:rPr>
                <w:rFonts w:cs="Calibri"/>
                <w:b/>
                <w:bCs/>
                <w:color w:val="000000"/>
                <w:sz w:val="20"/>
              </w:rPr>
            </w:pPr>
          </w:p>
        </w:tc>
        <w:tc>
          <w:tcPr>
            <w:tcW w:w="1554" w:type="dxa"/>
            <w:tcBorders>
              <w:top w:val="single" w:sz="4" w:space="0" w:color="auto"/>
              <w:left w:val="single" w:sz="4" w:space="0" w:color="auto"/>
              <w:bottom w:val="single" w:sz="4" w:space="0" w:color="auto"/>
              <w:right w:val="single" w:sz="4" w:space="0" w:color="auto"/>
            </w:tcBorders>
            <w:shd w:val="clear" w:color="auto" w:fill="auto"/>
            <w:noWrap/>
          </w:tcPr>
          <w:p w14:paraId="696E4621" w14:textId="1C2DE800" w:rsidR="00D7063F" w:rsidRPr="00BE641A"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493</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54118" w14:textId="77777777" w:rsidR="00D7063F" w:rsidRPr="00BE641A" w:rsidRDefault="00D7063F" w:rsidP="00D7063F">
            <w:pPr>
              <w:autoSpaceDE/>
              <w:autoSpaceDN/>
              <w:spacing w:before="0" w:after="0" w:line="240" w:lineRule="auto"/>
              <w:jc w:val="center"/>
              <w:rPr>
                <w:rFonts w:cs="Calibri"/>
                <w:b/>
                <w:bCs/>
                <w:color w:val="000000"/>
                <w:sz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F1F26" w14:textId="31F15736" w:rsidR="00D7063F" w:rsidRPr="00BE641A"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1 084</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A97B9" w14:textId="77777777" w:rsidR="00D7063F" w:rsidRPr="00BE641A" w:rsidRDefault="00D7063F" w:rsidP="00D7063F">
            <w:pPr>
              <w:autoSpaceDE/>
              <w:autoSpaceDN/>
              <w:spacing w:before="0" w:after="0" w:line="240" w:lineRule="auto"/>
              <w:jc w:val="center"/>
              <w:rPr>
                <w:rFonts w:cs="Calibri"/>
                <w:b/>
                <w:bCs/>
                <w:color w:val="000000"/>
                <w:sz w:val="20"/>
              </w:rPr>
            </w:pPr>
          </w:p>
        </w:tc>
      </w:tr>
      <w:tr w:rsidR="004928EB" w:rsidRPr="00BE641A" w14:paraId="16D38909" w14:textId="77777777" w:rsidTr="00D7063F">
        <w:tc>
          <w:tcPr>
            <w:tcW w:w="9659"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4499B32" w14:textId="2AE1E7B1" w:rsidR="004928EB" w:rsidRPr="00BE641A" w:rsidRDefault="004928EB" w:rsidP="00D7063F">
            <w:pPr>
              <w:autoSpaceDE/>
              <w:autoSpaceDN/>
              <w:spacing w:before="0" w:after="0" w:line="240" w:lineRule="auto"/>
              <w:rPr>
                <w:rFonts w:cs="Calibri"/>
                <w:b/>
                <w:bCs/>
                <w:color w:val="000000"/>
                <w:sz w:val="20"/>
              </w:rPr>
            </w:pPr>
            <w:r>
              <w:rPr>
                <w:rFonts w:cs="Calibri"/>
                <w:b/>
                <w:bCs/>
                <w:color w:val="000000"/>
                <w:sz w:val="20"/>
              </w:rPr>
              <w:t>B verzió összesen</w:t>
            </w:r>
          </w:p>
        </w:tc>
      </w:tr>
      <w:tr w:rsidR="00D7063F" w:rsidRPr="00BE641A" w14:paraId="151B8B7D" w14:textId="77777777" w:rsidTr="00E66302">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0AA79" w14:textId="0BC05D56" w:rsidR="00D7063F" w:rsidRPr="00BE641A" w:rsidRDefault="00D7063F" w:rsidP="00D7063F">
            <w:pPr>
              <w:autoSpaceDE/>
              <w:autoSpaceDN/>
              <w:spacing w:before="0" w:after="0" w:line="240" w:lineRule="auto"/>
              <w:rPr>
                <w:rFonts w:cs="Calibri"/>
                <w:b/>
                <w:bCs/>
                <w:color w:val="000000"/>
                <w:sz w:val="20"/>
              </w:rPr>
            </w:pPr>
            <w:r w:rsidRPr="00BE641A">
              <w:rPr>
                <w:rFonts w:cs="Calibri"/>
                <w:b/>
                <w:bCs/>
                <w:color w:val="000000"/>
                <w:sz w:val="20"/>
              </w:rPr>
              <w:t>29 épület összesen</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8D553" w14:textId="31F493B1" w:rsidR="00D7063F" w:rsidRP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3</w:t>
            </w:r>
            <w:r>
              <w:rPr>
                <w:rFonts w:cs="Calibri"/>
                <w:b/>
                <w:bCs/>
                <w:color w:val="000000"/>
                <w:sz w:val="20"/>
              </w:rPr>
              <w:t xml:space="preserve"> </w:t>
            </w:r>
            <w:r w:rsidRPr="00D7063F">
              <w:rPr>
                <w:rFonts w:cs="Calibri"/>
                <w:b/>
                <w:bCs/>
                <w:color w:val="000000"/>
                <w:sz w:val="20"/>
              </w:rPr>
              <w:t>160</w:t>
            </w:r>
            <w:r>
              <w:rPr>
                <w:rFonts w:cs="Calibri"/>
                <w:b/>
                <w:bCs/>
                <w:color w:val="000000"/>
                <w:sz w:val="20"/>
              </w:rPr>
              <w:t xml:space="preserve"> </w:t>
            </w:r>
            <w:r w:rsidRPr="00D7063F">
              <w:rPr>
                <w:rFonts w:cs="Calibri"/>
                <w:b/>
                <w:bCs/>
                <w:color w:val="000000"/>
                <w:sz w:val="20"/>
              </w:rPr>
              <w:t>542</w:t>
            </w: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CA42D" w14:textId="48AB9E23"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75 264</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30FB7" w14:textId="41E4F254" w:rsidR="00D7063F" w:rsidRPr="00BE641A" w:rsidRDefault="003107F8" w:rsidP="00D7063F">
            <w:pPr>
              <w:autoSpaceDE/>
              <w:autoSpaceDN/>
              <w:spacing w:before="0" w:after="0" w:line="240" w:lineRule="auto"/>
              <w:jc w:val="center"/>
              <w:rPr>
                <w:rFonts w:cs="Calibri"/>
                <w:b/>
                <w:bCs/>
                <w:color w:val="000000"/>
                <w:sz w:val="20"/>
              </w:rPr>
            </w:pPr>
            <w:r>
              <w:rPr>
                <w:rFonts w:cs="Calibri"/>
                <w:b/>
                <w:bCs/>
                <w:color w:val="000000"/>
                <w:sz w:val="20"/>
              </w:rPr>
              <w:t>42</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EB040" w14:textId="4D5DB60F"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171 558</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C801C" w14:textId="5ADACB1B" w:rsidR="00D7063F" w:rsidRPr="00BE641A" w:rsidRDefault="003107F8" w:rsidP="00D7063F">
            <w:pPr>
              <w:autoSpaceDE/>
              <w:autoSpaceDN/>
              <w:spacing w:before="0" w:after="0" w:line="240" w:lineRule="auto"/>
              <w:jc w:val="center"/>
              <w:rPr>
                <w:rFonts w:cs="Calibri"/>
                <w:b/>
                <w:bCs/>
                <w:color w:val="000000"/>
                <w:sz w:val="20"/>
              </w:rPr>
            </w:pPr>
            <w:r>
              <w:rPr>
                <w:rFonts w:cs="Calibri"/>
                <w:b/>
                <w:bCs/>
                <w:color w:val="000000"/>
                <w:sz w:val="20"/>
              </w:rPr>
              <w:t>18</w:t>
            </w:r>
          </w:p>
        </w:tc>
      </w:tr>
      <w:tr w:rsidR="00D7063F" w:rsidRPr="00BE641A" w14:paraId="07B40920" w14:textId="77777777" w:rsidTr="00E66302">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EE700" w14:textId="686164B5" w:rsidR="00D7063F" w:rsidRPr="00BE641A" w:rsidRDefault="00D7063F" w:rsidP="00D7063F">
            <w:pPr>
              <w:autoSpaceDE/>
              <w:autoSpaceDN/>
              <w:spacing w:before="0" w:after="0" w:line="240" w:lineRule="auto"/>
              <w:rPr>
                <w:rFonts w:cs="Calibri"/>
                <w:b/>
                <w:bCs/>
                <w:color w:val="000000"/>
                <w:sz w:val="20"/>
              </w:rPr>
            </w:pPr>
            <w:r w:rsidRPr="00BE641A">
              <w:rPr>
                <w:rFonts w:cs="Calibri"/>
                <w:b/>
                <w:bCs/>
                <w:color w:val="000000"/>
                <w:sz w:val="20"/>
              </w:rPr>
              <w:t xml:space="preserve">1 m2-re vetített </w:t>
            </w:r>
            <w:r>
              <w:rPr>
                <w:rFonts w:cs="Calibri"/>
                <w:b/>
                <w:bCs/>
                <w:color w:val="000000"/>
                <w:sz w:val="20"/>
              </w:rPr>
              <w:t>megtakarítás / év</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0B0C2" w14:textId="77777777" w:rsidR="00D7063F" w:rsidRPr="00BE641A" w:rsidRDefault="00D7063F" w:rsidP="00D7063F">
            <w:pPr>
              <w:autoSpaceDE/>
              <w:autoSpaceDN/>
              <w:spacing w:before="0" w:after="0" w:line="240" w:lineRule="auto"/>
              <w:jc w:val="center"/>
              <w:rPr>
                <w:rFonts w:cs="Calibri"/>
                <w:b/>
                <w:bCs/>
                <w:color w:val="000000"/>
                <w:sz w:val="20"/>
              </w:rPr>
            </w:pP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9E070" w14:textId="7ADE71AA"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6 027</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3F9FB" w14:textId="77777777" w:rsidR="00D7063F" w:rsidRPr="00BE641A" w:rsidRDefault="00D7063F" w:rsidP="00D7063F">
            <w:pPr>
              <w:autoSpaceDE/>
              <w:autoSpaceDN/>
              <w:spacing w:before="0" w:after="0" w:line="240" w:lineRule="auto"/>
              <w:jc w:val="center"/>
              <w:rPr>
                <w:rFonts w:cs="Calibri"/>
                <w:b/>
                <w:bCs/>
                <w:color w:val="000000"/>
                <w:sz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A1575" w14:textId="1F1E3C63"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13 117</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260C56" w14:textId="77777777" w:rsidR="00D7063F" w:rsidRPr="00BE641A" w:rsidRDefault="00D7063F" w:rsidP="00D7063F">
            <w:pPr>
              <w:autoSpaceDE/>
              <w:autoSpaceDN/>
              <w:spacing w:before="0" w:after="0" w:line="240" w:lineRule="auto"/>
              <w:jc w:val="center"/>
              <w:rPr>
                <w:rFonts w:cs="Calibri"/>
                <w:b/>
                <w:bCs/>
                <w:color w:val="000000"/>
                <w:sz w:val="20"/>
              </w:rPr>
            </w:pPr>
          </w:p>
        </w:tc>
      </w:tr>
      <w:tr w:rsidR="00D7063F" w:rsidRPr="00BE641A" w14:paraId="43852B0A" w14:textId="77777777" w:rsidTr="00E66302">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F3BE5" w14:textId="603AE2C2" w:rsidR="00D7063F" w:rsidRPr="00BE641A" w:rsidRDefault="00D7063F" w:rsidP="00D7063F">
            <w:pPr>
              <w:autoSpaceDE/>
              <w:autoSpaceDN/>
              <w:spacing w:before="0" w:after="0" w:line="240" w:lineRule="auto"/>
              <w:rPr>
                <w:rFonts w:cs="Calibri"/>
                <w:b/>
                <w:bCs/>
                <w:color w:val="000000"/>
                <w:sz w:val="20"/>
              </w:rPr>
            </w:pPr>
            <w:r w:rsidRPr="00BE641A">
              <w:rPr>
                <w:rFonts w:cs="Calibri"/>
                <w:b/>
                <w:bCs/>
                <w:color w:val="000000"/>
                <w:sz w:val="20"/>
              </w:rPr>
              <w:t xml:space="preserve">1 m2-re vetített </w:t>
            </w:r>
            <w:r>
              <w:rPr>
                <w:rFonts w:cs="Calibri"/>
                <w:b/>
                <w:bCs/>
                <w:color w:val="000000"/>
                <w:sz w:val="20"/>
              </w:rPr>
              <w:t>megtakarítás / hónap</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9A725" w14:textId="77777777" w:rsidR="00D7063F" w:rsidRPr="00BE641A" w:rsidRDefault="00D7063F" w:rsidP="00D7063F">
            <w:pPr>
              <w:autoSpaceDE/>
              <w:autoSpaceDN/>
              <w:spacing w:before="0" w:after="0" w:line="240" w:lineRule="auto"/>
              <w:jc w:val="center"/>
              <w:rPr>
                <w:rFonts w:cs="Calibri"/>
                <w:b/>
                <w:bCs/>
                <w:color w:val="000000"/>
                <w:sz w:val="20"/>
              </w:rPr>
            </w:pP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DFFF3" w14:textId="42BB7581"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502</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0C806" w14:textId="77777777" w:rsidR="00D7063F" w:rsidRPr="00BE641A" w:rsidRDefault="00D7063F" w:rsidP="00D7063F">
            <w:pPr>
              <w:autoSpaceDE/>
              <w:autoSpaceDN/>
              <w:spacing w:before="0" w:after="0" w:line="240" w:lineRule="auto"/>
              <w:jc w:val="center"/>
              <w:rPr>
                <w:rFonts w:cs="Calibri"/>
                <w:b/>
                <w:bCs/>
                <w:color w:val="000000"/>
                <w:sz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6513D" w14:textId="65FF5AC2"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1 093</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780CD" w14:textId="77777777" w:rsidR="00D7063F" w:rsidRPr="00BE641A" w:rsidRDefault="00D7063F" w:rsidP="00D7063F">
            <w:pPr>
              <w:autoSpaceDE/>
              <w:autoSpaceDN/>
              <w:spacing w:before="0" w:after="0" w:line="240" w:lineRule="auto"/>
              <w:jc w:val="center"/>
              <w:rPr>
                <w:rFonts w:cs="Calibri"/>
                <w:b/>
                <w:bCs/>
                <w:color w:val="000000"/>
                <w:sz w:val="20"/>
              </w:rPr>
            </w:pPr>
          </w:p>
        </w:tc>
      </w:tr>
      <w:tr w:rsidR="004928EB" w:rsidRPr="00BE641A" w14:paraId="180F5389" w14:textId="77777777" w:rsidTr="00D7063F">
        <w:tc>
          <w:tcPr>
            <w:tcW w:w="9659"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B18234E" w14:textId="12FC6138" w:rsidR="004928EB" w:rsidRPr="00BE641A" w:rsidRDefault="004928EB" w:rsidP="00D7063F">
            <w:pPr>
              <w:autoSpaceDE/>
              <w:autoSpaceDN/>
              <w:spacing w:before="0" w:after="0" w:line="240" w:lineRule="auto"/>
              <w:rPr>
                <w:rFonts w:cs="Calibri"/>
                <w:b/>
                <w:bCs/>
                <w:color w:val="000000"/>
                <w:sz w:val="20"/>
              </w:rPr>
            </w:pPr>
            <w:r>
              <w:rPr>
                <w:rFonts w:cs="Calibri"/>
                <w:b/>
                <w:bCs/>
                <w:color w:val="000000"/>
                <w:sz w:val="20"/>
              </w:rPr>
              <w:t>C verzió összesen</w:t>
            </w:r>
          </w:p>
        </w:tc>
      </w:tr>
      <w:tr w:rsidR="00D7063F" w:rsidRPr="00BE641A" w14:paraId="2333ADFB" w14:textId="77777777" w:rsidTr="00E66302">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FBA6A" w14:textId="02DAB3CB" w:rsidR="00D7063F" w:rsidRPr="00BE641A" w:rsidRDefault="00D7063F" w:rsidP="00D7063F">
            <w:pPr>
              <w:autoSpaceDE/>
              <w:autoSpaceDN/>
              <w:spacing w:before="0" w:after="0" w:line="240" w:lineRule="auto"/>
              <w:rPr>
                <w:rFonts w:cs="Calibri"/>
                <w:b/>
                <w:bCs/>
                <w:color w:val="000000"/>
                <w:sz w:val="20"/>
              </w:rPr>
            </w:pPr>
            <w:r w:rsidRPr="00BE641A">
              <w:rPr>
                <w:rFonts w:cs="Calibri"/>
                <w:b/>
                <w:bCs/>
                <w:color w:val="000000"/>
                <w:sz w:val="20"/>
              </w:rPr>
              <w:t>29 épület összesen</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F4848" w14:textId="544893D3" w:rsidR="00D7063F" w:rsidRPr="00BE641A"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2 855 786</w:t>
            </w: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4A87B" w14:textId="7F5BFB23"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75 264</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0449C" w14:textId="095EBE03" w:rsidR="00D7063F" w:rsidRPr="00BE641A" w:rsidRDefault="003107F8" w:rsidP="00D7063F">
            <w:pPr>
              <w:autoSpaceDE/>
              <w:autoSpaceDN/>
              <w:spacing w:before="0" w:after="0" w:line="240" w:lineRule="auto"/>
              <w:jc w:val="center"/>
              <w:rPr>
                <w:rFonts w:cs="Calibri"/>
                <w:b/>
                <w:bCs/>
                <w:color w:val="000000"/>
                <w:sz w:val="20"/>
              </w:rPr>
            </w:pPr>
            <w:r>
              <w:rPr>
                <w:rFonts w:cs="Calibri"/>
                <w:b/>
                <w:bCs/>
                <w:color w:val="000000"/>
                <w:sz w:val="20"/>
              </w:rPr>
              <w:t>38</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4EAEA" w14:textId="39007B79"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171 558</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4EF79" w14:textId="49561348" w:rsidR="00D7063F" w:rsidRPr="00BE641A" w:rsidRDefault="003107F8" w:rsidP="00D7063F">
            <w:pPr>
              <w:autoSpaceDE/>
              <w:autoSpaceDN/>
              <w:spacing w:before="0" w:after="0" w:line="240" w:lineRule="auto"/>
              <w:jc w:val="center"/>
              <w:rPr>
                <w:rFonts w:cs="Calibri"/>
                <w:b/>
                <w:bCs/>
                <w:color w:val="000000"/>
                <w:sz w:val="20"/>
              </w:rPr>
            </w:pPr>
            <w:r>
              <w:rPr>
                <w:rFonts w:cs="Calibri"/>
                <w:b/>
                <w:bCs/>
                <w:color w:val="000000"/>
                <w:sz w:val="20"/>
              </w:rPr>
              <w:t>17</w:t>
            </w:r>
          </w:p>
        </w:tc>
      </w:tr>
      <w:tr w:rsidR="00D7063F" w:rsidRPr="00BE641A" w14:paraId="26CB331C" w14:textId="77777777" w:rsidTr="00E66302">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50EBDF" w14:textId="7AC54EFA" w:rsidR="00D7063F" w:rsidRPr="00BE641A" w:rsidRDefault="00D7063F" w:rsidP="00D7063F">
            <w:pPr>
              <w:autoSpaceDE/>
              <w:autoSpaceDN/>
              <w:spacing w:before="0" w:after="0" w:line="240" w:lineRule="auto"/>
              <w:rPr>
                <w:rFonts w:cs="Calibri"/>
                <w:b/>
                <w:bCs/>
                <w:color w:val="000000"/>
                <w:sz w:val="20"/>
              </w:rPr>
            </w:pPr>
            <w:r w:rsidRPr="00BE641A">
              <w:rPr>
                <w:rFonts w:cs="Calibri"/>
                <w:b/>
                <w:bCs/>
                <w:color w:val="000000"/>
                <w:sz w:val="20"/>
              </w:rPr>
              <w:t xml:space="preserve">1 m2-re vetített </w:t>
            </w:r>
            <w:r>
              <w:rPr>
                <w:rFonts w:cs="Calibri"/>
                <w:b/>
                <w:bCs/>
                <w:color w:val="000000"/>
                <w:sz w:val="20"/>
              </w:rPr>
              <w:t>megtakarítás / év</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5AABE" w14:textId="77777777" w:rsidR="00D7063F" w:rsidRPr="00BE641A" w:rsidRDefault="00D7063F" w:rsidP="00D7063F">
            <w:pPr>
              <w:autoSpaceDE/>
              <w:autoSpaceDN/>
              <w:spacing w:before="0" w:after="0" w:line="240" w:lineRule="auto"/>
              <w:jc w:val="center"/>
              <w:rPr>
                <w:rFonts w:cs="Calibri"/>
                <w:b/>
                <w:bCs/>
                <w:color w:val="000000"/>
                <w:sz w:val="20"/>
              </w:rPr>
            </w:pP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427F7" w14:textId="06BE66BA"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6 027</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E32FA" w14:textId="77777777" w:rsidR="00D7063F" w:rsidRPr="00BE641A" w:rsidRDefault="00D7063F" w:rsidP="00D7063F">
            <w:pPr>
              <w:autoSpaceDE/>
              <w:autoSpaceDN/>
              <w:spacing w:before="0" w:after="0" w:line="240" w:lineRule="auto"/>
              <w:jc w:val="center"/>
              <w:rPr>
                <w:rFonts w:cs="Calibri"/>
                <w:b/>
                <w:bCs/>
                <w:color w:val="000000"/>
                <w:sz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69197" w14:textId="628DA51A"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13 117</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C0F7E" w14:textId="77777777" w:rsidR="00D7063F" w:rsidRPr="00BE641A" w:rsidRDefault="00D7063F" w:rsidP="00D7063F">
            <w:pPr>
              <w:autoSpaceDE/>
              <w:autoSpaceDN/>
              <w:spacing w:before="0" w:after="0" w:line="240" w:lineRule="auto"/>
              <w:jc w:val="center"/>
              <w:rPr>
                <w:rFonts w:cs="Calibri"/>
                <w:b/>
                <w:bCs/>
                <w:color w:val="000000"/>
                <w:sz w:val="20"/>
              </w:rPr>
            </w:pPr>
          </w:p>
        </w:tc>
      </w:tr>
      <w:tr w:rsidR="00D7063F" w:rsidRPr="00BE641A" w14:paraId="6C1D47B5" w14:textId="77777777" w:rsidTr="00E66302">
        <w:tc>
          <w:tcPr>
            <w:tcW w:w="3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9DC32" w14:textId="3A6DBDDC" w:rsidR="00D7063F" w:rsidRPr="00BE641A" w:rsidRDefault="00D7063F" w:rsidP="00D7063F">
            <w:pPr>
              <w:autoSpaceDE/>
              <w:autoSpaceDN/>
              <w:spacing w:before="0" w:after="0" w:line="240" w:lineRule="auto"/>
              <w:rPr>
                <w:rFonts w:cs="Calibri"/>
                <w:b/>
                <w:bCs/>
                <w:color w:val="000000"/>
                <w:sz w:val="20"/>
              </w:rPr>
            </w:pPr>
            <w:r w:rsidRPr="00BE641A">
              <w:rPr>
                <w:rFonts w:cs="Calibri"/>
                <w:b/>
                <w:bCs/>
                <w:color w:val="000000"/>
                <w:sz w:val="20"/>
              </w:rPr>
              <w:t xml:space="preserve">1 m2-re vetített </w:t>
            </w:r>
            <w:r>
              <w:rPr>
                <w:rFonts w:cs="Calibri"/>
                <w:b/>
                <w:bCs/>
                <w:color w:val="000000"/>
                <w:sz w:val="20"/>
              </w:rPr>
              <w:t>megtakarítás / hónap</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111BA" w14:textId="77777777" w:rsidR="00D7063F" w:rsidRPr="00BE641A" w:rsidRDefault="00D7063F" w:rsidP="00D7063F">
            <w:pPr>
              <w:autoSpaceDE/>
              <w:autoSpaceDN/>
              <w:spacing w:before="0" w:after="0" w:line="240" w:lineRule="auto"/>
              <w:jc w:val="center"/>
              <w:rPr>
                <w:rFonts w:cs="Calibri"/>
                <w:b/>
                <w:bCs/>
                <w:color w:val="000000"/>
                <w:sz w:val="20"/>
              </w:rPr>
            </w:pP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1E2D1" w14:textId="5177AE88"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502</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372206" w14:textId="77777777" w:rsidR="00D7063F" w:rsidRPr="00BE641A" w:rsidRDefault="00D7063F" w:rsidP="00D7063F">
            <w:pPr>
              <w:autoSpaceDE/>
              <w:autoSpaceDN/>
              <w:spacing w:before="0" w:after="0" w:line="240" w:lineRule="auto"/>
              <w:jc w:val="center"/>
              <w:rPr>
                <w:rFonts w:cs="Calibri"/>
                <w:b/>
                <w:bCs/>
                <w:color w:val="000000"/>
                <w:sz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11F90" w14:textId="6F03AF9C" w:rsidR="00D7063F" w:rsidRDefault="00D7063F" w:rsidP="00D7063F">
            <w:pPr>
              <w:autoSpaceDE/>
              <w:autoSpaceDN/>
              <w:spacing w:before="0" w:after="0" w:line="240" w:lineRule="auto"/>
              <w:jc w:val="center"/>
              <w:rPr>
                <w:rFonts w:cs="Calibri"/>
                <w:b/>
                <w:bCs/>
                <w:color w:val="000000"/>
                <w:sz w:val="20"/>
              </w:rPr>
            </w:pPr>
            <w:r w:rsidRPr="00D7063F">
              <w:rPr>
                <w:rFonts w:cs="Calibri"/>
                <w:b/>
                <w:bCs/>
                <w:color w:val="000000"/>
                <w:sz w:val="20"/>
              </w:rPr>
              <w:t>1 093</w:t>
            </w:r>
          </w:p>
        </w:tc>
        <w:tc>
          <w:tcPr>
            <w:tcW w:w="11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4B9EB" w14:textId="77777777" w:rsidR="00D7063F" w:rsidRPr="00BE641A" w:rsidRDefault="00D7063F" w:rsidP="00D7063F">
            <w:pPr>
              <w:autoSpaceDE/>
              <w:autoSpaceDN/>
              <w:spacing w:before="0" w:after="0" w:line="240" w:lineRule="auto"/>
              <w:jc w:val="center"/>
              <w:rPr>
                <w:rFonts w:cs="Calibri"/>
                <w:b/>
                <w:bCs/>
                <w:color w:val="000000"/>
                <w:sz w:val="20"/>
              </w:rPr>
            </w:pPr>
          </w:p>
        </w:tc>
      </w:tr>
    </w:tbl>
    <w:p w14:paraId="1491DE98" w14:textId="70C1306E" w:rsidR="00BE641A" w:rsidRDefault="00BE641A" w:rsidP="00BE641A">
      <w:pPr>
        <w:pStyle w:val="kepalairas"/>
      </w:pPr>
      <w:r>
        <w:t>Beruházási költség</w:t>
      </w:r>
      <w:r w:rsidR="006D62F0">
        <w:t xml:space="preserve">, megtakarítás és </w:t>
      </w:r>
      <w:r>
        <w:t>megtérülés</w:t>
      </w:r>
    </w:p>
    <w:p w14:paraId="235D0798" w14:textId="318E59F2" w:rsidR="00120CEB" w:rsidRDefault="00120CEB" w:rsidP="00C45A7D">
      <w:pPr>
        <w:rPr>
          <w:b/>
          <w:bCs/>
        </w:rPr>
      </w:pPr>
      <w:r w:rsidRPr="008E60B5">
        <w:rPr>
          <w:b/>
          <w:bCs/>
        </w:rPr>
        <w:t xml:space="preserve">Az önkormányzati 100%-os társasházi </w:t>
      </w:r>
      <w:r w:rsidR="008E60B5" w:rsidRPr="008E60B5">
        <w:rPr>
          <w:b/>
          <w:bCs/>
        </w:rPr>
        <w:t xml:space="preserve">épületek felújítása összesen 2,85-3,16 milliárd forintot igényelnek. Az éves megtakarítások Alapba való visszatérítése lassú ütemű tud lenni. </w:t>
      </w:r>
      <w:r w:rsidR="004B21CA">
        <w:rPr>
          <w:b/>
          <w:bCs/>
        </w:rPr>
        <w:t>A jelenlegi allokált 1,</w:t>
      </w:r>
      <w:r w:rsidR="0007257B">
        <w:rPr>
          <w:b/>
          <w:bCs/>
        </w:rPr>
        <w:t>62</w:t>
      </w:r>
      <w:r w:rsidR="004B21CA">
        <w:rPr>
          <w:b/>
          <w:bCs/>
        </w:rPr>
        <w:t xml:space="preserve"> milliárd összeget ki kell a 10 év futamidő alatt egészíteni. </w:t>
      </w:r>
    </w:p>
    <w:p w14:paraId="3E731C23" w14:textId="5EC1447C" w:rsidR="004B21CA" w:rsidRPr="004B21CA" w:rsidRDefault="004B21CA" w:rsidP="00C45A7D">
      <w:r>
        <w:t xml:space="preserve">Az önkormányzat számára az eseti önkormányzati forrásallokációs döntések helyett javasolható, hogy </w:t>
      </w:r>
      <w:r w:rsidRPr="004B21CA">
        <w:rPr>
          <w:b/>
          <w:bCs/>
        </w:rPr>
        <w:t xml:space="preserve">a saját tulajdonú ingatlanokon a felújítással </w:t>
      </w:r>
      <w:proofErr w:type="spellStart"/>
      <w:r w:rsidRPr="004B21CA">
        <w:rPr>
          <w:b/>
          <w:bCs/>
        </w:rPr>
        <w:t>egyidőben</w:t>
      </w:r>
      <w:proofErr w:type="spellEnd"/>
      <w:r w:rsidRPr="004B21CA">
        <w:rPr>
          <w:b/>
          <w:bCs/>
        </w:rPr>
        <w:t xml:space="preserve"> a telkek beépítési lehetőségeit használja ki a helyi építési szabályzatban és a környék adottságainak figyelembevételével. A legtöbb ingatlanon a tetőtér beépítése és további új épületszárnyak megvalósítása rendelkezésre áll.</w:t>
      </w:r>
      <w:r>
        <w:t xml:space="preserve"> </w:t>
      </w:r>
    </w:p>
    <w:p w14:paraId="5E3234FA" w14:textId="67C24850" w:rsidR="006467F1" w:rsidRDefault="006467F1" w:rsidP="00C45A7D">
      <w:r>
        <w:t>A</w:t>
      </w:r>
      <w:r w:rsidRPr="006467F1">
        <w:t xml:space="preserve">z előfinanszírozás </w:t>
      </w:r>
      <w:r>
        <w:t xml:space="preserve">visszatörlesztése </w:t>
      </w:r>
      <w:r w:rsidRPr="006467F1">
        <w:t xml:space="preserve">az Önkormányzat felé </w:t>
      </w:r>
      <w:r>
        <w:t xml:space="preserve">két módon történhet a korábbi értékelés szerint: </w:t>
      </w:r>
    </w:p>
    <w:p w14:paraId="2D867CB3" w14:textId="77777777" w:rsidR="006467F1" w:rsidRDefault="006467F1" w:rsidP="009F316B">
      <w:pPr>
        <w:pStyle w:val="Cmsor4"/>
      </w:pPr>
      <w:r w:rsidRPr="006467F1">
        <w:t>Szcenárió 1: Lakbér mértékének emelése</w:t>
      </w:r>
    </w:p>
    <w:p w14:paraId="39B26473" w14:textId="4E38FE92" w:rsidR="006467F1" w:rsidRDefault="006467F1" w:rsidP="006467F1">
      <w:r>
        <w:t>Az Önkormányzat tulajdonában álló lakások és nem lakás céljára szolgáló helyiségek bérbeadásáról szóló Budapest Főváros VII. kerület Erzsébetváros Önkormányzata Képviselő-testületének 12/2012. (III.26.) önkormányzati rendelete módosításával a felújított épületekre felemelt lakbért határoz meg.</w:t>
      </w:r>
    </w:p>
    <w:p w14:paraId="7B8B00BA" w14:textId="0AACE8A3" w:rsidR="00450ED6" w:rsidRDefault="00450ED6" w:rsidP="006467F1">
      <w:r>
        <w:t>A jelenleg hatályos rendelet lakbér mértékei</w:t>
      </w:r>
      <w:r w:rsidR="00375295">
        <w:t xml:space="preserve"> (bruttó, </w:t>
      </w:r>
      <w:proofErr w:type="spellStart"/>
      <w:r w:rsidR="00375295">
        <w:t>áfá-t</w:t>
      </w:r>
      <w:proofErr w:type="spellEnd"/>
      <w:r w:rsidR="00375295">
        <w:t xml:space="preserve"> tartalmazó értékek)</w:t>
      </w:r>
      <w:r>
        <w:t>:</w:t>
      </w:r>
    </w:p>
    <w:tbl>
      <w:tblPr>
        <w:tblW w:w="86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0"/>
        <w:gridCol w:w="1705"/>
        <w:gridCol w:w="1701"/>
        <w:gridCol w:w="1730"/>
      </w:tblGrid>
      <w:tr w:rsidR="00BE641A" w:rsidRPr="00BE641A" w14:paraId="75ECF231" w14:textId="77777777" w:rsidTr="00334AA4">
        <w:tc>
          <w:tcPr>
            <w:tcW w:w="3540" w:type="dxa"/>
            <w:shd w:val="clear" w:color="auto" w:fill="D9D9D9" w:themeFill="background1" w:themeFillShade="D9"/>
            <w:vAlign w:val="center"/>
            <w:hideMark/>
          </w:tcPr>
          <w:p w14:paraId="56C79AE6" w14:textId="14E3EF92" w:rsidR="00BE641A" w:rsidRPr="00BE641A" w:rsidRDefault="00BE641A" w:rsidP="00BE641A">
            <w:pPr>
              <w:pStyle w:val="tablazat"/>
              <w:rPr>
                <w:b/>
                <w:bCs/>
              </w:rPr>
            </w:pPr>
            <w:r>
              <w:rPr>
                <w:b/>
                <w:bCs/>
                <w:color w:val="000000"/>
                <w:szCs w:val="20"/>
              </w:rPr>
              <w:t>Komfort fokozat</w:t>
            </w:r>
          </w:p>
        </w:tc>
        <w:tc>
          <w:tcPr>
            <w:tcW w:w="1705" w:type="dxa"/>
            <w:shd w:val="clear" w:color="auto" w:fill="D9D9D9" w:themeFill="background1" w:themeFillShade="D9"/>
            <w:vAlign w:val="center"/>
            <w:hideMark/>
          </w:tcPr>
          <w:p w14:paraId="428E5441" w14:textId="091C11CF" w:rsidR="00BE641A" w:rsidRPr="00BE641A" w:rsidRDefault="00BE641A" w:rsidP="00BE641A">
            <w:pPr>
              <w:pStyle w:val="tablazat"/>
              <w:jc w:val="center"/>
              <w:rPr>
                <w:b/>
                <w:bCs/>
              </w:rPr>
            </w:pPr>
            <w:r>
              <w:rPr>
                <w:b/>
                <w:bCs/>
                <w:color w:val="000000"/>
                <w:szCs w:val="20"/>
              </w:rPr>
              <w:t>Szociális lakbér (Ft/m2/hó)</w:t>
            </w:r>
          </w:p>
        </w:tc>
        <w:tc>
          <w:tcPr>
            <w:tcW w:w="1701" w:type="dxa"/>
            <w:shd w:val="clear" w:color="auto" w:fill="D9D9D9" w:themeFill="background1" w:themeFillShade="D9"/>
            <w:vAlign w:val="center"/>
            <w:hideMark/>
          </w:tcPr>
          <w:p w14:paraId="69430E43" w14:textId="6A05E379" w:rsidR="00BE641A" w:rsidRPr="00BE641A" w:rsidRDefault="00BE641A" w:rsidP="00BE641A">
            <w:pPr>
              <w:pStyle w:val="tablazat"/>
              <w:jc w:val="center"/>
              <w:rPr>
                <w:b/>
                <w:bCs/>
              </w:rPr>
            </w:pPr>
            <w:r>
              <w:rPr>
                <w:b/>
                <w:bCs/>
                <w:color w:val="000000"/>
                <w:szCs w:val="20"/>
              </w:rPr>
              <w:t>Költségelvű lakbér (Ft/m2/hó)</w:t>
            </w:r>
          </w:p>
        </w:tc>
        <w:tc>
          <w:tcPr>
            <w:tcW w:w="1730" w:type="dxa"/>
            <w:shd w:val="clear" w:color="auto" w:fill="D9D9D9" w:themeFill="background1" w:themeFillShade="D9"/>
            <w:vAlign w:val="center"/>
            <w:hideMark/>
          </w:tcPr>
          <w:p w14:paraId="4C871993" w14:textId="57739B5D" w:rsidR="00BE641A" w:rsidRPr="00BE641A" w:rsidRDefault="00BE641A" w:rsidP="00BE641A">
            <w:pPr>
              <w:pStyle w:val="tablazat"/>
              <w:jc w:val="center"/>
              <w:rPr>
                <w:b/>
                <w:bCs/>
              </w:rPr>
            </w:pPr>
            <w:r>
              <w:rPr>
                <w:b/>
                <w:bCs/>
                <w:color w:val="000000"/>
                <w:szCs w:val="20"/>
              </w:rPr>
              <w:t>Piaci alapú lakbér (Ft/m2/hó)</w:t>
            </w:r>
          </w:p>
        </w:tc>
      </w:tr>
      <w:tr w:rsidR="00BE641A" w:rsidRPr="001A31BE" w14:paraId="65235787" w14:textId="77777777" w:rsidTr="00334AA4">
        <w:tc>
          <w:tcPr>
            <w:tcW w:w="3540" w:type="dxa"/>
            <w:vAlign w:val="center"/>
            <w:hideMark/>
          </w:tcPr>
          <w:p w14:paraId="1E14412E" w14:textId="7B917289" w:rsidR="00BE641A" w:rsidRPr="001A31BE" w:rsidRDefault="00BE641A" w:rsidP="00BE641A">
            <w:pPr>
              <w:pStyle w:val="tablazat"/>
            </w:pPr>
            <w:r>
              <w:rPr>
                <w:color w:val="000000"/>
                <w:szCs w:val="20"/>
              </w:rPr>
              <w:t>Nem távfűtéses összkomfortos lakás esetén:</w:t>
            </w:r>
          </w:p>
        </w:tc>
        <w:tc>
          <w:tcPr>
            <w:tcW w:w="1705" w:type="dxa"/>
            <w:vAlign w:val="center"/>
            <w:hideMark/>
          </w:tcPr>
          <w:p w14:paraId="0A155376" w14:textId="63B5A6F4" w:rsidR="00BE641A" w:rsidRPr="001A31BE" w:rsidRDefault="00BE641A" w:rsidP="00BE641A">
            <w:pPr>
              <w:pStyle w:val="tablazat"/>
              <w:jc w:val="center"/>
            </w:pPr>
            <w:r>
              <w:rPr>
                <w:color w:val="000000"/>
                <w:szCs w:val="20"/>
              </w:rPr>
              <w:t>355,6</w:t>
            </w:r>
          </w:p>
        </w:tc>
        <w:tc>
          <w:tcPr>
            <w:tcW w:w="1701" w:type="dxa"/>
            <w:vAlign w:val="center"/>
            <w:hideMark/>
          </w:tcPr>
          <w:p w14:paraId="6F2F8FDC" w14:textId="11F06D5E" w:rsidR="00BE641A" w:rsidRPr="001A31BE" w:rsidRDefault="00BE641A" w:rsidP="00BE641A">
            <w:pPr>
              <w:pStyle w:val="tablazat"/>
              <w:jc w:val="center"/>
            </w:pPr>
            <w:r>
              <w:rPr>
                <w:color w:val="000000"/>
                <w:szCs w:val="20"/>
              </w:rPr>
              <w:t>406,4</w:t>
            </w:r>
          </w:p>
        </w:tc>
        <w:tc>
          <w:tcPr>
            <w:tcW w:w="1730" w:type="dxa"/>
            <w:vAlign w:val="center"/>
            <w:hideMark/>
          </w:tcPr>
          <w:p w14:paraId="0EAEDB65" w14:textId="56228F3D" w:rsidR="00BE641A" w:rsidRPr="001A31BE" w:rsidRDefault="00BE641A" w:rsidP="00BE641A">
            <w:pPr>
              <w:pStyle w:val="tablazat"/>
              <w:jc w:val="center"/>
            </w:pPr>
            <w:r>
              <w:rPr>
                <w:color w:val="000000"/>
                <w:szCs w:val="20"/>
              </w:rPr>
              <w:t>1016</w:t>
            </w:r>
          </w:p>
        </w:tc>
      </w:tr>
      <w:tr w:rsidR="00BE641A" w:rsidRPr="001A31BE" w14:paraId="32F2A0D8" w14:textId="77777777" w:rsidTr="00334AA4">
        <w:tc>
          <w:tcPr>
            <w:tcW w:w="3540" w:type="dxa"/>
            <w:vAlign w:val="center"/>
            <w:hideMark/>
          </w:tcPr>
          <w:p w14:paraId="17E1CBD5" w14:textId="0A7949ED" w:rsidR="00BE641A" w:rsidRPr="001A31BE" w:rsidRDefault="00BE641A" w:rsidP="00BE641A">
            <w:pPr>
              <w:pStyle w:val="tablazat"/>
            </w:pPr>
            <w:r>
              <w:rPr>
                <w:color w:val="000000"/>
                <w:szCs w:val="20"/>
              </w:rPr>
              <w:t>Komfortos és távfűtéses összkomfort. lakás esetén:</w:t>
            </w:r>
          </w:p>
        </w:tc>
        <w:tc>
          <w:tcPr>
            <w:tcW w:w="1705" w:type="dxa"/>
            <w:vAlign w:val="center"/>
            <w:hideMark/>
          </w:tcPr>
          <w:p w14:paraId="4C557289" w14:textId="60DBAEF5" w:rsidR="00BE641A" w:rsidRPr="001A31BE" w:rsidRDefault="00BE641A" w:rsidP="00BE641A">
            <w:pPr>
              <w:pStyle w:val="tablazat"/>
              <w:jc w:val="center"/>
            </w:pPr>
            <w:r>
              <w:rPr>
                <w:color w:val="000000"/>
                <w:szCs w:val="20"/>
              </w:rPr>
              <w:t>355,6</w:t>
            </w:r>
          </w:p>
        </w:tc>
        <w:tc>
          <w:tcPr>
            <w:tcW w:w="1701" w:type="dxa"/>
            <w:vAlign w:val="center"/>
            <w:hideMark/>
          </w:tcPr>
          <w:p w14:paraId="0517C88A" w14:textId="690F5524" w:rsidR="00BE641A" w:rsidRPr="001A31BE" w:rsidRDefault="00BE641A" w:rsidP="00BE641A">
            <w:pPr>
              <w:pStyle w:val="tablazat"/>
              <w:jc w:val="center"/>
            </w:pPr>
            <w:r>
              <w:rPr>
                <w:color w:val="000000"/>
                <w:szCs w:val="20"/>
              </w:rPr>
              <w:t>406,4</w:t>
            </w:r>
          </w:p>
        </w:tc>
        <w:tc>
          <w:tcPr>
            <w:tcW w:w="1730" w:type="dxa"/>
            <w:vAlign w:val="center"/>
            <w:hideMark/>
          </w:tcPr>
          <w:p w14:paraId="7C7516A5" w14:textId="65302E18" w:rsidR="00BE641A" w:rsidRPr="001A31BE" w:rsidRDefault="00BE641A" w:rsidP="00BE641A">
            <w:pPr>
              <w:pStyle w:val="tablazat"/>
              <w:jc w:val="center"/>
            </w:pPr>
            <w:r>
              <w:rPr>
                <w:color w:val="000000"/>
                <w:szCs w:val="20"/>
              </w:rPr>
              <w:t>1016</w:t>
            </w:r>
          </w:p>
        </w:tc>
      </w:tr>
      <w:tr w:rsidR="00BE641A" w:rsidRPr="001A31BE" w14:paraId="6136535B" w14:textId="77777777" w:rsidTr="00334AA4">
        <w:tc>
          <w:tcPr>
            <w:tcW w:w="3540" w:type="dxa"/>
            <w:vAlign w:val="center"/>
            <w:hideMark/>
          </w:tcPr>
          <w:p w14:paraId="21113D56" w14:textId="3AE28451" w:rsidR="00BE641A" w:rsidRPr="001A31BE" w:rsidRDefault="00BE641A" w:rsidP="00BE641A">
            <w:pPr>
              <w:pStyle w:val="tablazat"/>
            </w:pPr>
            <w:r>
              <w:rPr>
                <w:color w:val="000000"/>
                <w:szCs w:val="20"/>
              </w:rPr>
              <w:t>Félkomfortos lakás esetén:</w:t>
            </w:r>
          </w:p>
        </w:tc>
        <w:tc>
          <w:tcPr>
            <w:tcW w:w="1705" w:type="dxa"/>
            <w:vAlign w:val="center"/>
            <w:hideMark/>
          </w:tcPr>
          <w:p w14:paraId="2D6ACEEE" w14:textId="1A1545C0" w:rsidR="00BE641A" w:rsidRPr="001A31BE" w:rsidRDefault="00BE641A" w:rsidP="00BE641A">
            <w:pPr>
              <w:pStyle w:val="tablazat"/>
              <w:jc w:val="center"/>
            </w:pPr>
            <w:r>
              <w:rPr>
                <w:color w:val="000000"/>
                <w:szCs w:val="20"/>
              </w:rPr>
              <w:t>231,14</w:t>
            </w:r>
          </w:p>
        </w:tc>
        <w:tc>
          <w:tcPr>
            <w:tcW w:w="1701" w:type="dxa"/>
            <w:vAlign w:val="center"/>
            <w:hideMark/>
          </w:tcPr>
          <w:p w14:paraId="75914D42" w14:textId="4E0ADED9" w:rsidR="00BE641A" w:rsidRPr="001A31BE" w:rsidRDefault="00BE641A" w:rsidP="00BE641A">
            <w:pPr>
              <w:pStyle w:val="tablazat"/>
              <w:jc w:val="center"/>
            </w:pPr>
            <w:r>
              <w:rPr>
                <w:color w:val="000000"/>
                <w:szCs w:val="20"/>
              </w:rPr>
              <w:t>264,16</w:t>
            </w:r>
          </w:p>
        </w:tc>
        <w:tc>
          <w:tcPr>
            <w:tcW w:w="1730" w:type="dxa"/>
            <w:vAlign w:val="center"/>
            <w:hideMark/>
          </w:tcPr>
          <w:p w14:paraId="624DE425" w14:textId="27F80A25" w:rsidR="00BE641A" w:rsidRPr="001A31BE" w:rsidRDefault="00BE641A" w:rsidP="00BE641A">
            <w:pPr>
              <w:pStyle w:val="tablazat"/>
              <w:jc w:val="center"/>
            </w:pPr>
            <w:r>
              <w:rPr>
                <w:color w:val="000000"/>
                <w:szCs w:val="20"/>
              </w:rPr>
              <w:t>0</w:t>
            </w:r>
          </w:p>
        </w:tc>
      </w:tr>
      <w:tr w:rsidR="00BE641A" w:rsidRPr="001A31BE" w14:paraId="3ED939FE" w14:textId="77777777" w:rsidTr="00334AA4">
        <w:tc>
          <w:tcPr>
            <w:tcW w:w="3540" w:type="dxa"/>
            <w:vAlign w:val="center"/>
            <w:hideMark/>
          </w:tcPr>
          <w:p w14:paraId="7C28A3D2" w14:textId="2162184A" w:rsidR="00BE641A" w:rsidRPr="001A31BE" w:rsidRDefault="00BE641A" w:rsidP="00BE641A">
            <w:pPr>
              <w:pStyle w:val="tablazat"/>
            </w:pPr>
            <w:r>
              <w:rPr>
                <w:color w:val="000000"/>
                <w:szCs w:val="20"/>
              </w:rPr>
              <w:t>Komfortnélküli lakás esetén:</w:t>
            </w:r>
          </w:p>
        </w:tc>
        <w:tc>
          <w:tcPr>
            <w:tcW w:w="1705" w:type="dxa"/>
            <w:vAlign w:val="center"/>
            <w:hideMark/>
          </w:tcPr>
          <w:p w14:paraId="3E21A05B" w14:textId="074C3482" w:rsidR="00BE641A" w:rsidRPr="001A31BE" w:rsidRDefault="00BE641A" w:rsidP="00BE641A">
            <w:pPr>
              <w:pStyle w:val="tablazat"/>
              <w:jc w:val="center"/>
            </w:pPr>
            <w:r>
              <w:rPr>
                <w:color w:val="000000"/>
                <w:szCs w:val="20"/>
              </w:rPr>
              <w:t>177,8</w:t>
            </w:r>
          </w:p>
        </w:tc>
        <w:tc>
          <w:tcPr>
            <w:tcW w:w="1701" w:type="dxa"/>
            <w:vAlign w:val="center"/>
            <w:hideMark/>
          </w:tcPr>
          <w:p w14:paraId="2B11A0A5" w14:textId="056C9A80" w:rsidR="00BE641A" w:rsidRPr="001A31BE" w:rsidRDefault="00BE641A" w:rsidP="00BE641A">
            <w:pPr>
              <w:pStyle w:val="tablazat"/>
              <w:jc w:val="center"/>
            </w:pPr>
            <w:r>
              <w:rPr>
                <w:color w:val="000000"/>
                <w:szCs w:val="20"/>
              </w:rPr>
              <w:t>203,2</w:t>
            </w:r>
          </w:p>
        </w:tc>
        <w:tc>
          <w:tcPr>
            <w:tcW w:w="1730" w:type="dxa"/>
            <w:vAlign w:val="center"/>
            <w:hideMark/>
          </w:tcPr>
          <w:p w14:paraId="5E4CAEC2" w14:textId="326FC0CC" w:rsidR="00BE641A" w:rsidRPr="001A31BE" w:rsidRDefault="00BE641A" w:rsidP="00BE641A">
            <w:pPr>
              <w:pStyle w:val="tablazat"/>
              <w:jc w:val="center"/>
            </w:pPr>
            <w:r>
              <w:rPr>
                <w:color w:val="000000"/>
                <w:szCs w:val="20"/>
              </w:rPr>
              <w:t>0</w:t>
            </w:r>
          </w:p>
        </w:tc>
      </w:tr>
      <w:tr w:rsidR="00BE641A" w:rsidRPr="001A31BE" w14:paraId="43DCCC6E" w14:textId="77777777" w:rsidTr="00334AA4">
        <w:tc>
          <w:tcPr>
            <w:tcW w:w="3540" w:type="dxa"/>
            <w:vAlign w:val="center"/>
            <w:hideMark/>
          </w:tcPr>
          <w:p w14:paraId="2E92A63B" w14:textId="423DAA27" w:rsidR="00BE641A" w:rsidRPr="001A31BE" w:rsidRDefault="00BE641A" w:rsidP="00BE641A">
            <w:pPr>
              <w:pStyle w:val="tablazat"/>
            </w:pPr>
            <w:r>
              <w:rPr>
                <w:color w:val="000000"/>
                <w:szCs w:val="20"/>
              </w:rPr>
              <w:t>Szükséglakás esetén:</w:t>
            </w:r>
          </w:p>
        </w:tc>
        <w:tc>
          <w:tcPr>
            <w:tcW w:w="1705" w:type="dxa"/>
            <w:vAlign w:val="center"/>
            <w:hideMark/>
          </w:tcPr>
          <w:p w14:paraId="4B0000EC" w14:textId="17529557" w:rsidR="00BE641A" w:rsidRPr="001A31BE" w:rsidRDefault="00BE641A" w:rsidP="00BE641A">
            <w:pPr>
              <w:pStyle w:val="tablazat"/>
              <w:jc w:val="center"/>
            </w:pPr>
            <w:r>
              <w:rPr>
                <w:color w:val="000000"/>
                <w:szCs w:val="20"/>
              </w:rPr>
              <w:t>142,24</w:t>
            </w:r>
          </w:p>
        </w:tc>
        <w:tc>
          <w:tcPr>
            <w:tcW w:w="1701" w:type="dxa"/>
            <w:vAlign w:val="center"/>
            <w:hideMark/>
          </w:tcPr>
          <w:p w14:paraId="5A302F41" w14:textId="391BB41F" w:rsidR="00BE641A" w:rsidRPr="001A31BE" w:rsidRDefault="00BE641A" w:rsidP="00BE641A">
            <w:pPr>
              <w:pStyle w:val="tablazat"/>
              <w:jc w:val="center"/>
            </w:pPr>
            <w:r>
              <w:rPr>
                <w:color w:val="000000"/>
                <w:szCs w:val="20"/>
              </w:rPr>
              <w:t>162,56</w:t>
            </w:r>
          </w:p>
        </w:tc>
        <w:tc>
          <w:tcPr>
            <w:tcW w:w="1730" w:type="dxa"/>
            <w:vAlign w:val="center"/>
            <w:hideMark/>
          </w:tcPr>
          <w:p w14:paraId="0591C26F" w14:textId="76D9CA99" w:rsidR="00BE641A" w:rsidRPr="001A31BE" w:rsidRDefault="00BE641A" w:rsidP="00BE641A">
            <w:pPr>
              <w:pStyle w:val="tablazat"/>
              <w:jc w:val="center"/>
            </w:pPr>
            <w:r>
              <w:rPr>
                <w:color w:val="000000"/>
                <w:szCs w:val="20"/>
              </w:rPr>
              <w:t>0</w:t>
            </w:r>
          </w:p>
        </w:tc>
      </w:tr>
    </w:tbl>
    <w:p w14:paraId="78A96728" w14:textId="53A85333" w:rsidR="006467F1" w:rsidRDefault="00450ED6" w:rsidP="006467F1">
      <w:r>
        <w:t>E szcenárióban a</w:t>
      </w:r>
      <w:r w:rsidR="006D62F0">
        <w:t xml:space="preserve"> </w:t>
      </w:r>
      <w:r>
        <w:t xml:space="preserve">felújított épületek piaci alapú bérlakássá kell, hogy sorolásra kerüljenek. </w:t>
      </w:r>
    </w:p>
    <w:p w14:paraId="7B8CA9DC" w14:textId="5EB765C5" w:rsidR="00450ED6" w:rsidRDefault="00450ED6" w:rsidP="006467F1">
      <w:r>
        <w:t xml:space="preserve">A lakbér </w:t>
      </w:r>
      <w:r w:rsidR="00375295">
        <w:t>havi díjának növelése a visszafizetési idő függvényében az alábbi mértékű</w:t>
      </w:r>
      <w:r w:rsidR="00D7063F">
        <w:rPr>
          <w:rStyle w:val="Lbjegyzet-hivatkozs"/>
        </w:rPr>
        <w:footnoteReference w:id="2"/>
      </w:r>
      <w:r w:rsidR="00375295">
        <w:t>:</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9"/>
        <w:gridCol w:w="1701"/>
        <w:gridCol w:w="1701"/>
        <w:gridCol w:w="1701"/>
      </w:tblGrid>
      <w:tr w:rsidR="00334AA4" w:rsidRPr="005E7474" w14:paraId="7300F4A4" w14:textId="77777777" w:rsidTr="00334AA4">
        <w:trPr>
          <w:trHeight w:val="390"/>
        </w:trPr>
        <w:tc>
          <w:tcPr>
            <w:tcW w:w="3539" w:type="dxa"/>
            <w:shd w:val="clear" w:color="auto" w:fill="D9D9D9" w:themeFill="background1" w:themeFillShade="D9"/>
            <w:noWrap/>
            <w:vAlign w:val="center"/>
            <w:hideMark/>
          </w:tcPr>
          <w:p w14:paraId="35F32C5B" w14:textId="21F3AC77" w:rsidR="005E7474" w:rsidRPr="005E7474" w:rsidRDefault="005E7474" w:rsidP="005E7474">
            <w:pPr>
              <w:pStyle w:val="tablazat"/>
              <w:jc w:val="center"/>
            </w:pPr>
            <w:r w:rsidRPr="005E7474">
              <w:lastRenderedPageBreak/>
              <w:t>Lakbér</w:t>
            </w:r>
            <w:r>
              <w:t xml:space="preserve">- és </w:t>
            </w:r>
            <w:proofErr w:type="spellStart"/>
            <w:r>
              <w:t>helyiségbér</w:t>
            </w:r>
            <w:r w:rsidRPr="005E7474">
              <w:t>emelés</w:t>
            </w:r>
            <w:proofErr w:type="spellEnd"/>
            <w:r w:rsidRPr="005E7474">
              <w:t xml:space="preserve"> futamideje</w:t>
            </w:r>
            <w:r>
              <w:t xml:space="preserve"> (év)</w:t>
            </w:r>
          </w:p>
        </w:tc>
        <w:tc>
          <w:tcPr>
            <w:tcW w:w="1701" w:type="dxa"/>
            <w:shd w:val="clear" w:color="auto" w:fill="D9D9D9" w:themeFill="background1" w:themeFillShade="D9"/>
            <w:noWrap/>
            <w:vAlign w:val="center"/>
            <w:hideMark/>
          </w:tcPr>
          <w:p w14:paraId="4CF977A0" w14:textId="65074883" w:rsidR="005E7474" w:rsidRPr="005E7474" w:rsidRDefault="005E7474" w:rsidP="005E7474">
            <w:pPr>
              <w:pStyle w:val="tablazat"/>
              <w:jc w:val="center"/>
            </w:pPr>
            <w:r w:rsidRPr="005E7474">
              <w:t>A verzió</w:t>
            </w:r>
            <w:r>
              <w:br/>
            </w:r>
            <w:r w:rsidRPr="005E7474">
              <w:t>(Ft/m2/hó)</w:t>
            </w:r>
          </w:p>
        </w:tc>
        <w:tc>
          <w:tcPr>
            <w:tcW w:w="1701" w:type="dxa"/>
            <w:shd w:val="clear" w:color="auto" w:fill="D9D9D9" w:themeFill="background1" w:themeFillShade="D9"/>
            <w:noWrap/>
            <w:vAlign w:val="center"/>
            <w:hideMark/>
          </w:tcPr>
          <w:p w14:paraId="196F036E" w14:textId="354D4AA4" w:rsidR="005E7474" w:rsidRPr="005E7474" w:rsidRDefault="005E7474" w:rsidP="005E7474">
            <w:pPr>
              <w:pStyle w:val="tablazat"/>
              <w:jc w:val="center"/>
            </w:pPr>
            <w:r w:rsidRPr="005E7474">
              <w:t>B verzió</w:t>
            </w:r>
            <w:r>
              <w:br/>
            </w:r>
            <w:r w:rsidRPr="005E7474">
              <w:t>(Ft/m2/hó)</w:t>
            </w:r>
          </w:p>
        </w:tc>
        <w:tc>
          <w:tcPr>
            <w:tcW w:w="1701" w:type="dxa"/>
            <w:shd w:val="clear" w:color="auto" w:fill="D9D9D9" w:themeFill="background1" w:themeFillShade="D9"/>
            <w:noWrap/>
            <w:vAlign w:val="center"/>
            <w:hideMark/>
          </w:tcPr>
          <w:p w14:paraId="52E33F51" w14:textId="21BC5582" w:rsidR="005E7474" w:rsidRPr="005E7474" w:rsidRDefault="005E7474" w:rsidP="005E7474">
            <w:pPr>
              <w:pStyle w:val="tablazat"/>
              <w:jc w:val="center"/>
            </w:pPr>
            <w:r w:rsidRPr="005E7474">
              <w:t>C verzió</w:t>
            </w:r>
            <w:r>
              <w:br/>
            </w:r>
            <w:r w:rsidRPr="005E7474">
              <w:t>(Ft/m2/hó)</w:t>
            </w:r>
          </w:p>
        </w:tc>
      </w:tr>
      <w:tr w:rsidR="005E7474" w:rsidRPr="005E7474" w14:paraId="1F553AEB" w14:textId="77777777" w:rsidTr="00334AA4">
        <w:trPr>
          <w:trHeight w:val="300"/>
        </w:trPr>
        <w:tc>
          <w:tcPr>
            <w:tcW w:w="3539" w:type="dxa"/>
            <w:shd w:val="clear" w:color="auto" w:fill="auto"/>
            <w:noWrap/>
            <w:vAlign w:val="center"/>
            <w:hideMark/>
          </w:tcPr>
          <w:p w14:paraId="06B63F34" w14:textId="77777777" w:rsidR="005E7474" w:rsidRPr="005E7474" w:rsidRDefault="005E7474" w:rsidP="005E7474">
            <w:pPr>
              <w:pStyle w:val="tablazat"/>
              <w:jc w:val="center"/>
            </w:pPr>
            <w:r w:rsidRPr="005E7474">
              <w:t>4</w:t>
            </w:r>
          </w:p>
        </w:tc>
        <w:tc>
          <w:tcPr>
            <w:tcW w:w="1701" w:type="dxa"/>
            <w:shd w:val="clear" w:color="auto" w:fill="auto"/>
            <w:noWrap/>
            <w:vAlign w:val="center"/>
            <w:hideMark/>
          </w:tcPr>
          <w:p w14:paraId="18A358AD" w14:textId="77777777" w:rsidR="005E7474" w:rsidRPr="005E7474" w:rsidRDefault="005E7474" w:rsidP="005E7474">
            <w:pPr>
              <w:pStyle w:val="tablazat"/>
              <w:jc w:val="center"/>
            </w:pPr>
            <w:r w:rsidRPr="005E7474">
              <w:t>2 106</w:t>
            </w:r>
          </w:p>
        </w:tc>
        <w:tc>
          <w:tcPr>
            <w:tcW w:w="1701" w:type="dxa"/>
            <w:shd w:val="clear" w:color="auto" w:fill="auto"/>
            <w:noWrap/>
            <w:vAlign w:val="center"/>
            <w:hideMark/>
          </w:tcPr>
          <w:p w14:paraId="4D8DB3D2" w14:textId="77777777" w:rsidR="005E7474" w:rsidRPr="005E7474" w:rsidRDefault="005E7474" w:rsidP="005E7474">
            <w:pPr>
              <w:pStyle w:val="tablazat"/>
              <w:jc w:val="center"/>
            </w:pPr>
            <w:r w:rsidRPr="005E7474">
              <w:t>2 141</w:t>
            </w:r>
          </w:p>
        </w:tc>
        <w:tc>
          <w:tcPr>
            <w:tcW w:w="1701" w:type="dxa"/>
            <w:shd w:val="clear" w:color="auto" w:fill="auto"/>
            <w:noWrap/>
            <w:vAlign w:val="center"/>
            <w:hideMark/>
          </w:tcPr>
          <w:p w14:paraId="50386A5C" w14:textId="77777777" w:rsidR="005E7474" w:rsidRPr="005E7474" w:rsidRDefault="005E7474" w:rsidP="005E7474">
            <w:pPr>
              <w:pStyle w:val="tablazat"/>
              <w:jc w:val="center"/>
            </w:pPr>
            <w:r w:rsidRPr="005E7474">
              <w:t>1 934</w:t>
            </w:r>
          </w:p>
        </w:tc>
      </w:tr>
      <w:tr w:rsidR="005E7474" w:rsidRPr="005E7474" w14:paraId="78882FFD" w14:textId="77777777" w:rsidTr="00334AA4">
        <w:trPr>
          <w:trHeight w:val="300"/>
        </w:trPr>
        <w:tc>
          <w:tcPr>
            <w:tcW w:w="3539" w:type="dxa"/>
            <w:shd w:val="clear" w:color="auto" w:fill="auto"/>
            <w:noWrap/>
            <w:vAlign w:val="center"/>
            <w:hideMark/>
          </w:tcPr>
          <w:p w14:paraId="23C207A3" w14:textId="77777777" w:rsidR="005E7474" w:rsidRPr="005E7474" w:rsidRDefault="005E7474" w:rsidP="005E7474">
            <w:pPr>
              <w:pStyle w:val="tablazat"/>
              <w:jc w:val="center"/>
            </w:pPr>
            <w:r w:rsidRPr="005E7474">
              <w:t>6</w:t>
            </w:r>
          </w:p>
        </w:tc>
        <w:tc>
          <w:tcPr>
            <w:tcW w:w="1701" w:type="dxa"/>
            <w:shd w:val="clear" w:color="auto" w:fill="auto"/>
            <w:noWrap/>
            <w:vAlign w:val="center"/>
            <w:hideMark/>
          </w:tcPr>
          <w:p w14:paraId="65ABCFE1" w14:textId="77777777" w:rsidR="005E7474" w:rsidRPr="005E7474" w:rsidRDefault="005E7474" w:rsidP="005E7474">
            <w:pPr>
              <w:pStyle w:val="tablazat"/>
              <w:jc w:val="center"/>
            </w:pPr>
            <w:r w:rsidRPr="005E7474">
              <w:t>1 404</w:t>
            </w:r>
          </w:p>
        </w:tc>
        <w:tc>
          <w:tcPr>
            <w:tcW w:w="1701" w:type="dxa"/>
            <w:shd w:val="clear" w:color="auto" w:fill="auto"/>
            <w:noWrap/>
            <w:vAlign w:val="center"/>
            <w:hideMark/>
          </w:tcPr>
          <w:p w14:paraId="0B52D883" w14:textId="77777777" w:rsidR="005E7474" w:rsidRPr="005E7474" w:rsidRDefault="005E7474" w:rsidP="005E7474">
            <w:pPr>
              <w:pStyle w:val="tablazat"/>
              <w:jc w:val="center"/>
            </w:pPr>
            <w:r w:rsidRPr="005E7474">
              <w:t>1 427</w:t>
            </w:r>
          </w:p>
        </w:tc>
        <w:tc>
          <w:tcPr>
            <w:tcW w:w="1701" w:type="dxa"/>
            <w:shd w:val="clear" w:color="auto" w:fill="auto"/>
            <w:noWrap/>
            <w:vAlign w:val="center"/>
            <w:hideMark/>
          </w:tcPr>
          <w:p w14:paraId="0448D10A" w14:textId="77777777" w:rsidR="005E7474" w:rsidRPr="005E7474" w:rsidRDefault="005E7474" w:rsidP="005E7474">
            <w:pPr>
              <w:pStyle w:val="tablazat"/>
              <w:jc w:val="center"/>
            </w:pPr>
            <w:r w:rsidRPr="005E7474">
              <w:t>1 290</w:t>
            </w:r>
          </w:p>
        </w:tc>
      </w:tr>
      <w:tr w:rsidR="005E7474" w:rsidRPr="005E7474" w14:paraId="5546477F" w14:textId="77777777" w:rsidTr="00334AA4">
        <w:trPr>
          <w:trHeight w:val="300"/>
        </w:trPr>
        <w:tc>
          <w:tcPr>
            <w:tcW w:w="3539" w:type="dxa"/>
            <w:shd w:val="clear" w:color="auto" w:fill="auto"/>
            <w:noWrap/>
            <w:vAlign w:val="center"/>
            <w:hideMark/>
          </w:tcPr>
          <w:p w14:paraId="1BA6086E" w14:textId="77777777" w:rsidR="005E7474" w:rsidRPr="005E7474" w:rsidRDefault="005E7474" w:rsidP="005E7474">
            <w:pPr>
              <w:pStyle w:val="tablazat"/>
              <w:jc w:val="center"/>
            </w:pPr>
            <w:r w:rsidRPr="005E7474">
              <w:t>8</w:t>
            </w:r>
          </w:p>
        </w:tc>
        <w:tc>
          <w:tcPr>
            <w:tcW w:w="1701" w:type="dxa"/>
            <w:shd w:val="clear" w:color="auto" w:fill="auto"/>
            <w:noWrap/>
            <w:vAlign w:val="center"/>
            <w:hideMark/>
          </w:tcPr>
          <w:p w14:paraId="4B9E1FD4" w14:textId="77777777" w:rsidR="005E7474" w:rsidRPr="005E7474" w:rsidRDefault="005E7474" w:rsidP="005E7474">
            <w:pPr>
              <w:pStyle w:val="tablazat"/>
              <w:jc w:val="center"/>
            </w:pPr>
            <w:r w:rsidRPr="005E7474">
              <w:t>1 053</w:t>
            </w:r>
          </w:p>
        </w:tc>
        <w:tc>
          <w:tcPr>
            <w:tcW w:w="1701" w:type="dxa"/>
            <w:shd w:val="clear" w:color="auto" w:fill="auto"/>
            <w:noWrap/>
            <w:vAlign w:val="center"/>
            <w:hideMark/>
          </w:tcPr>
          <w:p w14:paraId="0C37E6E1" w14:textId="77777777" w:rsidR="005E7474" w:rsidRPr="005E7474" w:rsidRDefault="005E7474" w:rsidP="005E7474">
            <w:pPr>
              <w:pStyle w:val="tablazat"/>
              <w:jc w:val="center"/>
            </w:pPr>
            <w:r w:rsidRPr="005E7474">
              <w:t>1 070</w:t>
            </w:r>
          </w:p>
        </w:tc>
        <w:tc>
          <w:tcPr>
            <w:tcW w:w="1701" w:type="dxa"/>
            <w:shd w:val="clear" w:color="auto" w:fill="auto"/>
            <w:noWrap/>
            <w:vAlign w:val="center"/>
            <w:hideMark/>
          </w:tcPr>
          <w:p w14:paraId="57A0F791" w14:textId="77777777" w:rsidR="005E7474" w:rsidRPr="005E7474" w:rsidRDefault="005E7474" w:rsidP="005E7474">
            <w:pPr>
              <w:pStyle w:val="tablazat"/>
              <w:jc w:val="center"/>
            </w:pPr>
            <w:r w:rsidRPr="005E7474">
              <w:t>967</w:t>
            </w:r>
          </w:p>
        </w:tc>
      </w:tr>
      <w:tr w:rsidR="005E7474" w:rsidRPr="005E7474" w14:paraId="3ED2A239" w14:textId="77777777" w:rsidTr="00334AA4">
        <w:trPr>
          <w:trHeight w:val="300"/>
        </w:trPr>
        <w:tc>
          <w:tcPr>
            <w:tcW w:w="3539" w:type="dxa"/>
            <w:shd w:val="clear" w:color="auto" w:fill="auto"/>
            <w:noWrap/>
            <w:vAlign w:val="center"/>
            <w:hideMark/>
          </w:tcPr>
          <w:p w14:paraId="0431BA78" w14:textId="77777777" w:rsidR="005E7474" w:rsidRPr="005E7474" w:rsidRDefault="005E7474" w:rsidP="005E7474">
            <w:pPr>
              <w:pStyle w:val="tablazat"/>
              <w:jc w:val="center"/>
            </w:pPr>
            <w:r w:rsidRPr="005E7474">
              <w:t>10</w:t>
            </w:r>
          </w:p>
        </w:tc>
        <w:tc>
          <w:tcPr>
            <w:tcW w:w="1701" w:type="dxa"/>
            <w:shd w:val="clear" w:color="auto" w:fill="auto"/>
            <w:noWrap/>
            <w:vAlign w:val="center"/>
            <w:hideMark/>
          </w:tcPr>
          <w:p w14:paraId="02CB2D38" w14:textId="77777777" w:rsidR="005E7474" w:rsidRPr="005E7474" w:rsidRDefault="005E7474" w:rsidP="005E7474">
            <w:pPr>
              <w:pStyle w:val="tablazat"/>
              <w:jc w:val="center"/>
            </w:pPr>
            <w:r w:rsidRPr="005E7474">
              <w:t>842</w:t>
            </w:r>
          </w:p>
        </w:tc>
        <w:tc>
          <w:tcPr>
            <w:tcW w:w="1701" w:type="dxa"/>
            <w:shd w:val="clear" w:color="auto" w:fill="auto"/>
            <w:noWrap/>
            <w:vAlign w:val="center"/>
            <w:hideMark/>
          </w:tcPr>
          <w:p w14:paraId="4792637B" w14:textId="77777777" w:rsidR="005E7474" w:rsidRPr="005E7474" w:rsidRDefault="005E7474" w:rsidP="005E7474">
            <w:pPr>
              <w:pStyle w:val="tablazat"/>
              <w:jc w:val="center"/>
            </w:pPr>
            <w:r w:rsidRPr="005E7474">
              <w:t>856</w:t>
            </w:r>
          </w:p>
        </w:tc>
        <w:tc>
          <w:tcPr>
            <w:tcW w:w="1701" w:type="dxa"/>
            <w:shd w:val="clear" w:color="auto" w:fill="auto"/>
            <w:noWrap/>
            <w:vAlign w:val="center"/>
            <w:hideMark/>
          </w:tcPr>
          <w:p w14:paraId="55FF50FB" w14:textId="77777777" w:rsidR="005E7474" w:rsidRPr="005E7474" w:rsidRDefault="005E7474" w:rsidP="005E7474">
            <w:pPr>
              <w:pStyle w:val="tablazat"/>
              <w:jc w:val="center"/>
            </w:pPr>
            <w:r w:rsidRPr="005E7474">
              <w:t>774</w:t>
            </w:r>
          </w:p>
        </w:tc>
      </w:tr>
      <w:tr w:rsidR="005E7474" w:rsidRPr="005E7474" w14:paraId="16803C9A" w14:textId="77777777" w:rsidTr="00334AA4">
        <w:trPr>
          <w:trHeight w:val="300"/>
        </w:trPr>
        <w:tc>
          <w:tcPr>
            <w:tcW w:w="3539" w:type="dxa"/>
            <w:shd w:val="clear" w:color="auto" w:fill="auto"/>
            <w:noWrap/>
            <w:vAlign w:val="center"/>
            <w:hideMark/>
          </w:tcPr>
          <w:p w14:paraId="31A633E8" w14:textId="77777777" w:rsidR="005E7474" w:rsidRPr="005E7474" w:rsidRDefault="005E7474" w:rsidP="005E7474">
            <w:pPr>
              <w:pStyle w:val="tablazat"/>
              <w:jc w:val="center"/>
            </w:pPr>
            <w:r w:rsidRPr="005E7474">
              <w:t>12</w:t>
            </w:r>
          </w:p>
        </w:tc>
        <w:tc>
          <w:tcPr>
            <w:tcW w:w="1701" w:type="dxa"/>
            <w:shd w:val="clear" w:color="auto" w:fill="auto"/>
            <w:noWrap/>
            <w:vAlign w:val="center"/>
            <w:hideMark/>
          </w:tcPr>
          <w:p w14:paraId="502224E5" w14:textId="77777777" w:rsidR="005E7474" w:rsidRPr="005E7474" w:rsidRDefault="005E7474" w:rsidP="005E7474">
            <w:pPr>
              <w:pStyle w:val="tablazat"/>
              <w:jc w:val="center"/>
            </w:pPr>
            <w:r w:rsidRPr="005E7474">
              <w:t>702</w:t>
            </w:r>
          </w:p>
        </w:tc>
        <w:tc>
          <w:tcPr>
            <w:tcW w:w="1701" w:type="dxa"/>
            <w:shd w:val="clear" w:color="auto" w:fill="auto"/>
            <w:noWrap/>
            <w:vAlign w:val="center"/>
            <w:hideMark/>
          </w:tcPr>
          <w:p w14:paraId="48EE4852" w14:textId="77777777" w:rsidR="005E7474" w:rsidRPr="005E7474" w:rsidRDefault="005E7474" w:rsidP="005E7474">
            <w:pPr>
              <w:pStyle w:val="tablazat"/>
              <w:jc w:val="center"/>
            </w:pPr>
            <w:r w:rsidRPr="005E7474">
              <w:t>714</w:t>
            </w:r>
          </w:p>
        </w:tc>
        <w:tc>
          <w:tcPr>
            <w:tcW w:w="1701" w:type="dxa"/>
            <w:shd w:val="clear" w:color="auto" w:fill="auto"/>
            <w:noWrap/>
            <w:vAlign w:val="center"/>
            <w:hideMark/>
          </w:tcPr>
          <w:p w14:paraId="7859578A" w14:textId="77777777" w:rsidR="005E7474" w:rsidRPr="005E7474" w:rsidRDefault="005E7474" w:rsidP="005E7474">
            <w:pPr>
              <w:pStyle w:val="tablazat"/>
              <w:jc w:val="center"/>
            </w:pPr>
            <w:r w:rsidRPr="005E7474">
              <w:t>645</w:t>
            </w:r>
          </w:p>
        </w:tc>
      </w:tr>
      <w:tr w:rsidR="005E7474" w:rsidRPr="005E7474" w14:paraId="09276AE6" w14:textId="77777777" w:rsidTr="00334AA4">
        <w:trPr>
          <w:trHeight w:val="300"/>
        </w:trPr>
        <w:tc>
          <w:tcPr>
            <w:tcW w:w="3539" w:type="dxa"/>
            <w:shd w:val="clear" w:color="auto" w:fill="auto"/>
            <w:noWrap/>
            <w:vAlign w:val="center"/>
            <w:hideMark/>
          </w:tcPr>
          <w:p w14:paraId="50A18FF9" w14:textId="77777777" w:rsidR="005E7474" w:rsidRPr="005E7474" w:rsidRDefault="005E7474" w:rsidP="005E7474">
            <w:pPr>
              <w:pStyle w:val="tablazat"/>
              <w:jc w:val="center"/>
            </w:pPr>
            <w:r w:rsidRPr="005E7474">
              <w:t>14</w:t>
            </w:r>
          </w:p>
        </w:tc>
        <w:tc>
          <w:tcPr>
            <w:tcW w:w="1701" w:type="dxa"/>
            <w:shd w:val="clear" w:color="auto" w:fill="auto"/>
            <w:noWrap/>
            <w:vAlign w:val="center"/>
            <w:hideMark/>
          </w:tcPr>
          <w:p w14:paraId="611D2DDA" w14:textId="77777777" w:rsidR="005E7474" w:rsidRPr="005E7474" w:rsidRDefault="005E7474" w:rsidP="005E7474">
            <w:pPr>
              <w:pStyle w:val="tablazat"/>
              <w:jc w:val="center"/>
            </w:pPr>
            <w:r w:rsidRPr="005E7474">
              <w:t>602</w:t>
            </w:r>
          </w:p>
        </w:tc>
        <w:tc>
          <w:tcPr>
            <w:tcW w:w="1701" w:type="dxa"/>
            <w:shd w:val="clear" w:color="auto" w:fill="auto"/>
            <w:noWrap/>
            <w:vAlign w:val="center"/>
            <w:hideMark/>
          </w:tcPr>
          <w:p w14:paraId="377501B3" w14:textId="77777777" w:rsidR="005E7474" w:rsidRPr="005E7474" w:rsidRDefault="005E7474" w:rsidP="005E7474">
            <w:pPr>
              <w:pStyle w:val="tablazat"/>
              <w:jc w:val="center"/>
            </w:pPr>
            <w:r w:rsidRPr="005E7474">
              <w:t>612</w:t>
            </w:r>
          </w:p>
        </w:tc>
        <w:tc>
          <w:tcPr>
            <w:tcW w:w="1701" w:type="dxa"/>
            <w:shd w:val="clear" w:color="auto" w:fill="auto"/>
            <w:noWrap/>
            <w:vAlign w:val="center"/>
            <w:hideMark/>
          </w:tcPr>
          <w:p w14:paraId="1ECF1362" w14:textId="77777777" w:rsidR="005E7474" w:rsidRPr="005E7474" w:rsidRDefault="005E7474" w:rsidP="005E7474">
            <w:pPr>
              <w:pStyle w:val="tablazat"/>
              <w:jc w:val="center"/>
            </w:pPr>
            <w:r w:rsidRPr="005E7474">
              <w:t>553</w:t>
            </w:r>
          </w:p>
        </w:tc>
      </w:tr>
    </w:tbl>
    <w:p w14:paraId="360C8CA3" w14:textId="77777777" w:rsidR="00914BE9" w:rsidRDefault="00914BE9" w:rsidP="00914BE9"/>
    <w:p w14:paraId="5825148A" w14:textId="07648344" w:rsidR="006467F1" w:rsidRDefault="006467F1" w:rsidP="009F316B">
      <w:pPr>
        <w:pStyle w:val="Cmsor4"/>
      </w:pPr>
      <w:r w:rsidRPr="006467F1">
        <w:t xml:space="preserve">Szcenárió 2: Energiahatékonyságra vonatkozó szerződés (EPC) </w:t>
      </w:r>
    </w:p>
    <w:p w14:paraId="69B92413" w14:textId="2191DA83" w:rsidR="00451ECA" w:rsidRDefault="006467F1" w:rsidP="00C45A7D">
      <w:r>
        <w:t xml:space="preserve">Az önkormányzat </w:t>
      </w:r>
      <w:bookmarkStart w:id="35" w:name="_Hlk133257111"/>
      <w:r>
        <w:t xml:space="preserve">a bérlőkkel </w:t>
      </w:r>
      <w:r w:rsidRPr="00CD2A00">
        <w:t>energiahatékonyságra vonatkozó szerződés</w:t>
      </w:r>
      <w:r>
        <w:t>t</w:t>
      </w:r>
      <w:r w:rsidRPr="00CD2A00">
        <w:t xml:space="preserve"> </w:t>
      </w:r>
      <w:r>
        <w:t>(EPC) köt</w:t>
      </w:r>
      <w:bookmarkEnd w:id="35"/>
      <w:r>
        <w:t xml:space="preserve">. Az </w:t>
      </w:r>
      <w:r w:rsidRPr="006467F1">
        <w:t>energiahatékonyságból származó megtakarítás</w:t>
      </w:r>
      <w:r>
        <w:t>okból kerül visszafizetésre a beruházás költsége</w:t>
      </w:r>
      <w:r w:rsidRPr="006467F1">
        <w:t>.</w:t>
      </w:r>
    </w:p>
    <w:p w14:paraId="204D9CBB" w14:textId="245C3F34" w:rsidR="00B3446C" w:rsidRDefault="000752FF" w:rsidP="00C45A7D">
      <w:r>
        <w:t xml:space="preserve">Piaci áron való megtérülés esetén </w:t>
      </w:r>
      <w:r w:rsidR="003107F8">
        <w:t>17-18</w:t>
      </w:r>
      <w:r>
        <w:t xml:space="preserve"> év, rezsitámogatással csökkentett áron </w:t>
      </w:r>
      <w:r w:rsidR="003107F8">
        <w:t>38-42</w:t>
      </w:r>
      <w:r>
        <w:t xml:space="preserve"> év </w:t>
      </w:r>
      <w:r w:rsidR="00A16ED5">
        <w:t xml:space="preserve">a megtérülési idő csupán az </w:t>
      </w:r>
      <w:proofErr w:type="spellStart"/>
      <w:r w:rsidR="00A16ED5">
        <w:t>energiamegtakarításokból</w:t>
      </w:r>
      <w:proofErr w:type="spellEnd"/>
      <w:r w:rsidR="00A16ED5">
        <w:t xml:space="preserve">. </w:t>
      </w:r>
      <w:r>
        <w:t xml:space="preserve">Javasolható a </w:t>
      </w:r>
      <w:r w:rsidR="003107F8">
        <w:t xml:space="preserve">legfeljebb </w:t>
      </w:r>
      <w:r>
        <w:t>1</w:t>
      </w:r>
      <w:r w:rsidR="003107F8">
        <w:t>8</w:t>
      </w:r>
      <w:r>
        <w:t xml:space="preserve"> éves visszafizetést rögzíteni a szerződésbe</w:t>
      </w:r>
      <w:r w:rsidR="003107F8">
        <w:t>n</w:t>
      </w:r>
      <w:r>
        <w:t>.</w:t>
      </w:r>
    </w:p>
    <w:p w14:paraId="4F7C10AB" w14:textId="06EDF862" w:rsidR="00B3446C" w:rsidRPr="009D2986" w:rsidRDefault="006979CF" w:rsidP="00B3446C">
      <w:r>
        <w:rPr>
          <w:noProof/>
        </w:rPr>
        <w:drawing>
          <wp:inline distT="0" distB="0" distL="0" distR="0" wp14:anchorId="55128BE1" wp14:editId="604CDF6C">
            <wp:extent cx="2854379" cy="2076122"/>
            <wp:effectExtent l="0" t="0" r="3175" b="635"/>
            <wp:docPr id="34" name="Kép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73242" cy="2089842"/>
                    </a:xfrm>
                    <a:prstGeom prst="rect">
                      <a:avLst/>
                    </a:prstGeom>
                    <a:noFill/>
                  </pic:spPr>
                </pic:pic>
              </a:graphicData>
            </a:graphic>
          </wp:inline>
        </w:drawing>
      </w:r>
      <w:r w:rsidR="00A16ED5">
        <w:t xml:space="preserve"> </w:t>
      </w:r>
      <w:r>
        <w:rPr>
          <w:noProof/>
        </w:rPr>
        <w:drawing>
          <wp:inline distT="0" distB="0" distL="0" distR="0" wp14:anchorId="16B8056E" wp14:editId="79E3593A">
            <wp:extent cx="2828261" cy="2057124"/>
            <wp:effectExtent l="0" t="0" r="0" b="635"/>
            <wp:docPr id="35" name="Kép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841158" cy="2066504"/>
                    </a:xfrm>
                    <a:prstGeom prst="rect">
                      <a:avLst/>
                    </a:prstGeom>
                    <a:noFill/>
                  </pic:spPr>
                </pic:pic>
              </a:graphicData>
            </a:graphic>
          </wp:inline>
        </w:drawing>
      </w:r>
    </w:p>
    <w:p w14:paraId="645D9C22" w14:textId="1706CECD" w:rsidR="00914BE9" w:rsidRDefault="000752FF" w:rsidP="00B3446C">
      <w:r w:rsidRPr="000752FF">
        <w:t>Az Alap</w:t>
      </w:r>
      <w:r w:rsidR="004B21CA">
        <w:t xml:space="preserve">ba 2027-től kezdve (piaci energiaárakkal számolva 2028-től) évenkénti 550 millió forint alaptőke emeléssel a felújítások megvalósíthatók. </w:t>
      </w:r>
      <w:r w:rsidR="006979CF">
        <w:t xml:space="preserve">A felújított épületekben az Alapba való visszatérítés alacsony mértékű, de folyamatos bevételeket jelent az ingatlanok vagyonkezelési igényeinek ellátásához. </w:t>
      </w:r>
      <w:r w:rsidR="004B21CA">
        <w:t xml:space="preserve">A 29 épület felújítását követően az Alap </w:t>
      </w:r>
      <w:r w:rsidR="006979CF">
        <w:t xml:space="preserve">tudja folyamatosan biztosítani </w:t>
      </w:r>
      <w:r w:rsidR="004B21CA">
        <w:t xml:space="preserve">a </w:t>
      </w:r>
      <w:r w:rsidR="006979CF">
        <w:t>kisebb korszerűsítési feladatok forrását</w:t>
      </w:r>
      <w:r w:rsidR="003625C7">
        <w:t>, valamint a nem lakóépületek felújítási programjait.</w:t>
      </w:r>
    </w:p>
    <w:p w14:paraId="42173130" w14:textId="466D5808" w:rsidR="009D2986" w:rsidRDefault="005A31CC" w:rsidP="009D2986">
      <w:pPr>
        <w:pStyle w:val="Cmsor3"/>
      </w:pPr>
      <w:bookmarkStart w:id="36" w:name="_Toc133258003"/>
      <w:r>
        <w:t>Magántulajdonú társasházak f</w:t>
      </w:r>
      <w:r w:rsidR="009D2986">
        <w:t>izetőképességi vizsgálat</w:t>
      </w:r>
      <w:r>
        <w:t>a</w:t>
      </w:r>
      <w:bookmarkEnd w:id="36"/>
    </w:p>
    <w:p w14:paraId="64EE91D9" w14:textId="2F5E23F3" w:rsidR="00020E6A" w:rsidRDefault="00020E6A" w:rsidP="00020E6A">
      <w:r>
        <w:t xml:space="preserve">Az önkormányzat klímacéljai eléréséhez elengedhetetlen a társasházak </w:t>
      </w:r>
      <w:proofErr w:type="spellStart"/>
      <w:r>
        <w:t>energiahatékony</w:t>
      </w:r>
      <w:proofErr w:type="spellEnd"/>
      <w:r>
        <w:t xml:space="preserve"> felújítása. Emellett az orosz–ukrán háború nyomán kibontakozó energiaválság és a háztartások jelentősen megemelkedő rezsi költségei miatt a lakóingatlanok energetikai hatékonyságának javítása a közeljövőben kiemelt érdek lehet az ingatlantulajdonosok számára is.</w:t>
      </w:r>
    </w:p>
    <w:p w14:paraId="4995ED41" w14:textId="2529A4AA" w:rsidR="00020E6A" w:rsidRDefault="00020E6A" w:rsidP="00020E6A">
      <w:r>
        <w:t>Az önkormányzati épületek példamutató felújításának eredményeképpen az Alapra pályázó 120 épület felújítási igényével számolunk.</w:t>
      </w:r>
    </w:p>
    <w:p w14:paraId="1341CA7F" w14:textId="2FF29BA7" w:rsidR="0026278E" w:rsidRPr="005A31CC" w:rsidRDefault="00C45A7D" w:rsidP="005A31CC">
      <w:r w:rsidRPr="005A31CC">
        <w:t xml:space="preserve">A </w:t>
      </w:r>
      <w:r w:rsidR="005A31CC" w:rsidRPr="005A31CC">
        <w:t xml:space="preserve">120 </w:t>
      </w:r>
      <w:r w:rsidRPr="005A31CC">
        <w:t xml:space="preserve">magántulajdonú társasházak </w:t>
      </w:r>
      <w:proofErr w:type="spellStart"/>
      <w:r w:rsidRPr="005A31CC">
        <w:t>energiamegtakarításai</w:t>
      </w:r>
      <w:proofErr w:type="spellEnd"/>
      <w:r w:rsidRPr="005A31CC">
        <w:t xml:space="preserve"> </w:t>
      </w:r>
      <w:proofErr w:type="spellStart"/>
      <w:r w:rsidRPr="005A31CC">
        <w:t>hőtechnikai</w:t>
      </w:r>
      <w:proofErr w:type="spellEnd"/>
      <w:r w:rsidRPr="005A31CC">
        <w:t xml:space="preserve"> felújítása révén évente 29</w:t>
      </w:r>
      <w:r w:rsidR="008561C7">
        <w:t> </w:t>
      </w:r>
      <w:r w:rsidRPr="005A31CC">
        <w:t>231</w:t>
      </w:r>
      <w:r w:rsidR="008561C7">
        <w:t> </w:t>
      </w:r>
      <w:r w:rsidRPr="005A31CC">
        <w:t>kWh fűtési hőigény csökkenést ér el, 7</w:t>
      </w:r>
      <w:r w:rsidR="008561C7">
        <w:t> </w:t>
      </w:r>
      <w:r w:rsidRPr="005A31CC">
        <w:t xml:space="preserve">670 tonna CO2e megtakarítással. </w:t>
      </w:r>
      <w:r w:rsidR="005A31CC" w:rsidRPr="005A31CC">
        <w:t>A 120 épületre telepített napelemek energiatermelése 5</w:t>
      </w:r>
      <w:r w:rsidR="008561C7">
        <w:t> </w:t>
      </w:r>
      <w:r w:rsidR="005A31CC" w:rsidRPr="005A31CC">
        <w:t>712</w:t>
      </w:r>
      <w:r w:rsidR="008561C7">
        <w:t> </w:t>
      </w:r>
      <w:r w:rsidR="005A31CC" w:rsidRPr="005A31CC">
        <w:t>kWh, amely 2</w:t>
      </w:r>
      <w:r w:rsidR="008561C7">
        <w:t> </w:t>
      </w:r>
      <w:r w:rsidR="005A31CC" w:rsidRPr="005A31CC">
        <w:t>112 tonna CO2e csökkenést jelent.</w:t>
      </w:r>
      <w:r w:rsidR="005A31CC">
        <w:t xml:space="preserve"> </w:t>
      </w:r>
      <w:r w:rsidRPr="005A31CC">
        <w:t xml:space="preserve">Az </w:t>
      </w:r>
      <w:r w:rsidRPr="005A31CC">
        <w:lastRenderedPageBreak/>
        <w:t>épületek</w:t>
      </w:r>
      <w:r w:rsidR="008561C7">
        <w:t xml:space="preserve">ben </w:t>
      </w:r>
      <w:r w:rsidR="00B3446C">
        <w:t>központi ki</w:t>
      </w:r>
      <w:r w:rsidRPr="005A31CC">
        <w:t>épít</w:t>
      </w:r>
      <w:r w:rsidR="00B3446C">
        <w:t>ésű</w:t>
      </w:r>
      <w:r w:rsidRPr="005A31CC">
        <w:t xml:space="preserve"> hőszivattyú</w:t>
      </w:r>
      <w:r w:rsidR="00B3446C">
        <w:t>k</w:t>
      </w:r>
      <w:r w:rsidRPr="005A31CC">
        <w:t xml:space="preserve"> energiatermelése </w:t>
      </w:r>
      <w:r w:rsidR="008561C7">
        <w:t>1</w:t>
      </w:r>
      <w:r w:rsidR="005A31CC">
        <w:t>5</w:t>
      </w:r>
      <w:r w:rsidR="008561C7">
        <w:t> 486 </w:t>
      </w:r>
      <w:r w:rsidRPr="005A31CC">
        <w:t xml:space="preserve">kWh, amely </w:t>
      </w:r>
      <w:r w:rsidR="008561C7">
        <w:t>3 378</w:t>
      </w:r>
      <w:r w:rsidR="005A31CC" w:rsidRPr="005A31CC">
        <w:t xml:space="preserve"> tonna CO2e csökkenést </w:t>
      </w:r>
      <w:r w:rsidR="008561C7">
        <w:t>eredményez</w:t>
      </w:r>
      <w:r w:rsidR="005A31CC" w:rsidRPr="005A31CC">
        <w:t>.</w:t>
      </w:r>
    </w:p>
    <w:tbl>
      <w:tblPr>
        <w:tblW w:w="10052" w:type="dxa"/>
        <w:tblInd w:w="-567" w:type="dxa"/>
        <w:tblCellMar>
          <w:left w:w="70" w:type="dxa"/>
          <w:right w:w="70" w:type="dxa"/>
        </w:tblCellMar>
        <w:tblLook w:val="04A0" w:firstRow="1" w:lastRow="0" w:firstColumn="1" w:lastColumn="0" w:noHBand="0" w:noVBand="1"/>
      </w:tblPr>
      <w:tblGrid>
        <w:gridCol w:w="2694"/>
        <w:gridCol w:w="1165"/>
        <w:gridCol w:w="1253"/>
        <w:gridCol w:w="1230"/>
        <w:gridCol w:w="1253"/>
        <w:gridCol w:w="1204"/>
        <w:gridCol w:w="1253"/>
      </w:tblGrid>
      <w:tr w:rsidR="00914BE9" w:rsidRPr="005A31CC" w14:paraId="5A231716" w14:textId="77777777" w:rsidTr="003624F0">
        <w:tc>
          <w:tcPr>
            <w:tcW w:w="2694" w:type="dxa"/>
            <w:vMerge w:val="restart"/>
            <w:tcBorders>
              <w:top w:val="nil"/>
              <w:left w:val="nil"/>
              <w:right w:val="nil"/>
            </w:tcBorders>
            <w:shd w:val="clear" w:color="000000" w:fill="D9D9D9"/>
            <w:vAlign w:val="center"/>
            <w:hideMark/>
          </w:tcPr>
          <w:p w14:paraId="38023D92" w14:textId="77777777" w:rsidR="00914BE9" w:rsidRPr="0026278E" w:rsidRDefault="00914BE9" w:rsidP="003624F0">
            <w:pPr>
              <w:autoSpaceDE/>
              <w:autoSpaceDN/>
              <w:spacing w:before="0" w:after="0" w:line="240" w:lineRule="auto"/>
              <w:jc w:val="center"/>
              <w:rPr>
                <w:rFonts w:cs="Calibri"/>
                <w:b/>
                <w:bCs/>
                <w:sz w:val="20"/>
              </w:rPr>
            </w:pPr>
            <w:r w:rsidRPr="0026278E">
              <w:rPr>
                <w:rFonts w:cs="Calibri"/>
                <w:b/>
                <w:bCs/>
                <w:sz w:val="20"/>
              </w:rPr>
              <w:t xml:space="preserve">Az energiahatékonysági fejlesztések és az </w:t>
            </w:r>
            <w:proofErr w:type="spellStart"/>
            <w:r w:rsidRPr="0026278E">
              <w:rPr>
                <w:rFonts w:cs="Calibri"/>
                <w:b/>
                <w:bCs/>
                <w:sz w:val="20"/>
              </w:rPr>
              <w:t>energiamegtakarítás</w:t>
            </w:r>
            <w:proofErr w:type="spellEnd"/>
            <w:r w:rsidRPr="0026278E">
              <w:rPr>
                <w:rFonts w:cs="Calibri"/>
                <w:b/>
                <w:bCs/>
                <w:sz w:val="20"/>
              </w:rPr>
              <w:t xml:space="preserve"> összesítése</w:t>
            </w:r>
          </w:p>
        </w:tc>
        <w:tc>
          <w:tcPr>
            <w:tcW w:w="1165" w:type="dxa"/>
            <w:tcBorders>
              <w:top w:val="nil"/>
              <w:left w:val="nil"/>
              <w:bottom w:val="nil"/>
              <w:right w:val="nil"/>
            </w:tcBorders>
            <w:shd w:val="clear" w:color="000000" w:fill="C6E0B4"/>
            <w:vAlign w:val="center"/>
            <w:hideMark/>
          </w:tcPr>
          <w:p w14:paraId="3EF445C9" w14:textId="2DCF856E" w:rsidR="00914BE9" w:rsidRPr="0026278E" w:rsidRDefault="00914BE9" w:rsidP="003624F0">
            <w:pPr>
              <w:autoSpaceDE/>
              <w:autoSpaceDN/>
              <w:spacing w:before="0" w:after="0" w:line="240" w:lineRule="auto"/>
              <w:jc w:val="center"/>
              <w:rPr>
                <w:rFonts w:cs="Calibri"/>
                <w:b/>
                <w:bCs/>
                <w:color w:val="000000"/>
                <w:sz w:val="20"/>
              </w:rPr>
            </w:pPr>
            <w:r w:rsidRPr="0026278E">
              <w:rPr>
                <w:rFonts w:cs="Calibri"/>
                <w:b/>
                <w:bCs/>
                <w:color w:val="000000"/>
                <w:sz w:val="20"/>
              </w:rPr>
              <w:t>Fűtési hőigény csökkenés</w:t>
            </w:r>
          </w:p>
        </w:tc>
        <w:tc>
          <w:tcPr>
            <w:tcW w:w="1253" w:type="dxa"/>
            <w:tcBorders>
              <w:top w:val="nil"/>
              <w:left w:val="nil"/>
              <w:bottom w:val="nil"/>
              <w:right w:val="nil"/>
            </w:tcBorders>
            <w:shd w:val="clear" w:color="000000" w:fill="C6E0B4"/>
            <w:vAlign w:val="center"/>
            <w:hideMark/>
          </w:tcPr>
          <w:p w14:paraId="3C260B22" w14:textId="19C35CBB" w:rsidR="00914BE9" w:rsidRPr="0026278E" w:rsidRDefault="00914BE9" w:rsidP="003624F0">
            <w:pPr>
              <w:autoSpaceDE/>
              <w:autoSpaceDN/>
              <w:spacing w:before="0" w:after="0" w:line="240" w:lineRule="auto"/>
              <w:jc w:val="center"/>
              <w:rPr>
                <w:rFonts w:cs="Calibri"/>
                <w:b/>
                <w:bCs/>
                <w:color w:val="000000"/>
                <w:sz w:val="20"/>
              </w:rPr>
            </w:pPr>
            <w:r w:rsidRPr="0026278E">
              <w:rPr>
                <w:rFonts w:cs="Calibri"/>
                <w:b/>
                <w:bCs/>
                <w:color w:val="000000"/>
                <w:sz w:val="20"/>
              </w:rPr>
              <w:t>CO</w:t>
            </w:r>
            <w:r w:rsidRPr="0026278E">
              <w:rPr>
                <w:rFonts w:cs="Calibri"/>
                <w:b/>
                <w:bCs/>
                <w:color w:val="000000"/>
                <w:sz w:val="20"/>
                <w:vertAlign w:val="subscript"/>
              </w:rPr>
              <w:t>2equivalent</w:t>
            </w:r>
            <w:r w:rsidRPr="0026278E">
              <w:rPr>
                <w:rFonts w:cs="Calibri"/>
                <w:b/>
                <w:bCs/>
                <w:color w:val="000000"/>
                <w:sz w:val="20"/>
              </w:rPr>
              <w:t xml:space="preserve"> megtakarítás</w:t>
            </w:r>
          </w:p>
        </w:tc>
        <w:tc>
          <w:tcPr>
            <w:tcW w:w="1230" w:type="dxa"/>
            <w:tcBorders>
              <w:top w:val="nil"/>
              <w:left w:val="nil"/>
              <w:bottom w:val="nil"/>
              <w:right w:val="nil"/>
            </w:tcBorders>
            <w:shd w:val="clear" w:color="000000" w:fill="FFE699"/>
            <w:vAlign w:val="center"/>
            <w:hideMark/>
          </w:tcPr>
          <w:p w14:paraId="1A85EC66" w14:textId="77777777" w:rsidR="00914BE9" w:rsidRPr="0026278E" w:rsidRDefault="00914BE9" w:rsidP="003624F0">
            <w:pPr>
              <w:autoSpaceDE/>
              <w:autoSpaceDN/>
              <w:spacing w:before="0" w:after="0" w:line="240" w:lineRule="auto"/>
              <w:jc w:val="center"/>
              <w:rPr>
                <w:rFonts w:cs="Calibri"/>
                <w:b/>
                <w:bCs/>
                <w:color w:val="000000"/>
                <w:sz w:val="20"/>
              </w:rPr>
            </w:pPr>
            <w:r w:rsidRPr="0026278E">
              <w:rPr>
                <w:rFonts w:cs="Calibri"/>
                <w:b/>
                <w:bCs/>
                <w:color w:val="000000"/>
                <w:sz w:val="20"/>
              </w:rPr>
              <w:t>Megújuló energia</w:t>
            </w:r>
          </w:p>
        </w:tc>
        <w:tc>
          <w:tcPr>
            <w:tcW w:w="1253" w:type="dxa"/>
            <w:tcBorders>
              <w:top w:val="nil"/>
              <w:left w:val="nil"/>
              <w:bottom w:val="nil"/>
              <w:right w:val="nil"/>
            </w:tcBorders>
            <w:shd w:val="clear" w:color="000000" w:fill="FFE699"/>
            <w:vAlign w:val="center"/>
            <w:hideMark/>
          </w:tcPr>
          <w:p w14:paraId="1ECABEC0" w14:textId="76C94061" w:rsidR="00914BE9" w:rsidRPr="0026278E" w:rsidRDefault="00914BE9" w:rsidP="003624F0">
            <w:pPr>
              <w:autoSpaceDE/>
              <w:autoSpaceDN/>
              <w:spacing w:before="0" w:after="0" w:line="240" w:lineRule="auto"/>
              <w:jc w:val="center"/>
              <w:rPr>
                <w:rFonts w:cs="Calibri"/>
                <w:b/>
                <w:bCs/>
                <w:color w:val="000000"/>
                <w:sz w:val="20"/>
              </w:rPr>
            </w:pPr>
            <w:r w:rsidRPr="0026278E">
              <w:rPr>
                <w:rFonts w:cs="Calibri"/>
                <w:b/>
                <w:bCs/>
                <w:color w:val="000000"/>
                <w:sz w:val="20"/>
              </w:rPr>
              <w:t>CO</w:t>
            </w:r>
            <w:r w:rsidRPr="0026278E">
              <w:rPr>
                <w:rFonts w:cs="Calibri"/>
                <w:b/>
                <w:bCs/>
                <w:color w:val="000000"/>
                <w:sz w:val="20"/>
                <w:vertAlign w:val="subscript"/>
              </w:rPr>
              <w:t>2equivalent</w:t>
            </w:r>
            <w:r w:rsidRPr="0026278E">
              <w:rPr>
                <w:rFonts w:cs="Calibri"/>
                <w:b/>
                <w:bCs/>
                <w:color w:val="000000"/>
                <w:sz w:val="20"/>
              </w:rPr>
              <w:t xml:space="preserve"> megtakarítás</w:t>
            </w:r>
          </w:p>
        </w:tc>
        <w:tc>
          <w:tcPr>
            <w:tcW w:w="1204" w:type="dxa"/>
            <w:tcBorders>
              <w:top w:val="nil"/>
              <w:left w:val="nil"/>
              <w:bottom w:val="nil"/>
              <w:right w:val="nil"/>
            </w:tcBorders>
            <w:shd w:val="clear" w:color="auto" w:fill="B4C6E7"/>
            <w:vAlign w:val="center"/>
            <w:hideMark/>
          </w:tcPr>
          <w:p w14:paraId="6304A058" w14:textId="77777777" w:rsidR="00914BE9" w:rsidRPr="0026278E" w:rsidRDefault="00914BE9" w:rsidP="003624F0">
            <w:pPr>
              <w:autoSpaceDE/>
              <w:autoSpaceDN/>
              <w:spacing w:before="0" w:after="0" w:line="240" w:lineRule="auto"/>
              <w:jc w:val="center"/>
              <w:rPr>
                <w:rFonts w:cs="Calibri"/>
                <w:b/>
                <w:bCs/>
                <w:color w:val="000000"/>
                <w:sz w:val="20"/>
              </w:rPr>
            </w:pPr>
            <w:proofErr w:type="spellStart"/>
            <w:proofErr w:type="gramStart"/>
            <w:r w:rsidRPr="0026278E">
              <w:rPr>
                <w:rFonts w:cs="Calibri"/>
                <w:b/>
                <w:bCs/>
                <w:color w:val="000000"/>
                <w:sz w:val="20"/>
              </w:rPr>
              <w:t>PV</w:t>
            </w:r>
            <w:r w:rsidRPr="0026278E">
              <w:rPr>
                <w:rFonts w:cs="Calibri"/>
                <w:b/>
                <w:bCs/>
                <w:color w:val="000000"/>
                <w:sz w:val="20"/>
                <w:vertAlign w:val="subscript"/>
              </w:rPr>
              <w:t>termelés</w:t>
            </w:r>
            <w:proofErr w:type="spellEnd"/>
            <w:r w:rsidRPr="0026278E">
              <w:rPr>
                <w:rFonts w:cs="Calibri"/>
                <w:b/>
                <w:bCs/>
                <w:color w:val="000000"/>
                <w:sz w:val="20"/>
                <w:vertAlign w:val="subscript"/>
              </w:rPr>
              <w:t xml:space="preserve">       Megújuló</w:t>
            </w:r>
            <w:proofErr w:type="gramEnd"/>
            <w:r w:rsidRPr="0026278E">
              <w:rPr>
                <w:rFonts w:cs="Calibri"/>
                <w:b/>
                <w:bCs/>
                <w:color w:val="000000"/>
                <w:sz w:val="20"/>
                <w:vertAlign w:val="subscript"/>
              </w:rPr>
              <w:t xml:space="preserve"> energia</w:t>
            </w:r>
          </w:p>
        </w:tc>
        <w:tc>
          <w:tcPr>
            <w:tcW w:w="1253" w:type="dxa"/>
            <w:tcBorders>
              <w:top w:val="nil"/>
              <w:left w:val="nil"/>
              <w:bottom w:val="nil"/>
              <w:right w:val="nil"/>
            </w:tcBorders>
            <w:shd w:val="clear" w:color="000000" w:fill="B4C6E7"/>
            <w:vAlign w:val="center"/>
            <w:hideMark/>
          </w:tcPr>
          <w:p w14:paraId="43882C95" w14:textId="21B7D043" w:rsidR="00914BE9" w:rsidRPr="0026278E" w:rsidRDefault="00914BE9" w:rsidP="003624F0">
            <w:pPr>
              <w:autoSpaceDE/>
              <w:autoSpaceDN/>
              <w:spacing w:before="0" w:after="0" w:line="240" w:lineRule="auto"/>
              <w:jc w:val="center"/>
              <w:rPr>
                <w:rFonts w:cs="Calibri"/>
                <w:b/>
                <w:bCs/>
                <w:color w:val="000000"/>
                <w:sz w:val="20"/>
              </w:rPr>
            </w:pPr>
            <w:r w:rsidRPr="0026278E">
              <w:rPr>
                <w:rFonts w:cs="Calibri"/>
                <w:b/>
                <w:bCs/>
                <w:color w:val="000000"/>
                <w:sz w:val="20"/>
              </w:rPr>
              <w:t>CO</w:t>
            </w:r>
            <w:r w:rsidRPr="0026278E">
              <w:rPr>
                <w:rFonts w:cs="Calibri"/>
                <w:b/>
                <w:bCs/>
                <w:color w:val="000000"/>
                <w:sz w:val="20"/>
                <w:vertAlign w:val="subscript"/>
              </w:rPr>
              <w:t>2equivalent</w:t>
            </w:r>
            <w:r w:rsidRPr="0026278E">
              <w:rPr>
                <w:rFonts w:cs="Calibri"/>
                <w:b/>
                <w:bCs/>
                <w:color w:val="000000"/>
                <w:sz w:val="20"/>
              </w:rPr>
              <w:t xml:space="preserve"> megtakarítás</w:t>
            </w:r>
          </w:p>
        </w:tc>
      </w:tr>
      <w:tr w:rsidR="00914BE9" w:rsidRPr="005A31CC" w14:paraId="457FCAF7" w14:textId="77777777" w:rsidTr="003624F0">
        <w:tc>
          <w:tcPr>
            <w:tcW w:w="2694" w:type="dxa"/>
            <w:vMerge/>
            <w:tcBorders>
              <w:left w:val="nil"/>
              <w:right w:val="nil"/>
            </w:tcBorders>
            <w:shd w:val="clear" w:color="000000" w:fill="D9D9D9"/>
            <w:vAlign w:val="center"/>
            <w:hideMark/>
          </w:tcPr>
          <w:p w14:paraId="0F39815C" w14:textId="3111AA27" w:rsidR="00914BE9" w:rsidRPr="0026278E" w:rsidRDefault="00914BE9" w:rsidP="003624F0">
            <w:pPr>
              <w:autoSpaceDE/>
              <w:autoSpaceDN/>
              <w:spacing w:before="0" w:after="0" w:line="240" w:lineRule="auto"/>
              <w:jc w:val="center"/>
              <w:rPr>
                <w:rFonts w:cs="Calibri"/>
                <w:b/>
                <w:bCs/>
                <w:sz w:val="20"/>
              </w:rPr>
            </w:pPr>
          </w:p>
        </w:tc>
        <w:tc>
          <w:tcPr>
            <w:tcW w:w="1165" w:type="dxa"/>
            <w:tcBorders>
              <w:top w:val="nil"/>
              <w:left w:val="nil"/>
              <w:bottom w:val="nil"/>
              <w:right w:val="nil"/>
            </w:tcBorders>
            <w:shd w:val="clear" w:color="000000" w:fill="C6E0B4"/>
            <w:noWrap/>
            <w:vAlign w:val="center"/>
            <w:hideMark/>
          </w:tcPr>
          <w:p w14:paraId="09EFDA5A" w14:textId="77777777" w:rsidR="00914BE9" w:rsidRPr="0026278E" w:rsidRDefault="00914BE9" w:rsidP="003624F0">
            <w:pPr>
              <w:autoSpaceDE/>
              <w:autoSpaceDN/>
              <w:spacing w:before="0" w:after="0" w:line="240" w:lineRule="auto"/>
              <w:jc w:val="center"/>
              <w:rPr>
                <w:rFonts w:cs="Calibri"/>
                <w:b/>
                <w:bCs/>
                <w:color w:val="000000"/>
                <w:sz w:val="20"/>
              </w:rPr>
            </w:pPr>
            <w:proofErr w:type="spellStart"/>
            <w:r w:rsidRPr="0026278E">
              <w:rPr>
                <w:rFonts w:cs="Calibri"/>
                <w:b/>
                <w:bCs/>
                <w:color w:val="000000"/>
                <w:sz w:val="20"/>
              </w:rPr>
              <w:t>MWh</w:t>
            </w:r>
            <w:proofErr w:type="spellEnd"/>
            <w:r w:rsidRPr="0026278E">
              <w:rPr>
                <w:rFonts w:cs="Calibri"/>
                <w:b/>
                <w:bCs/>
                <w:color w:val="000000"/>
                <w:sz w:val="20"/>
              </w:rPr>
              <w:t>/</w:t>
            </w:r>
            <w:proofErr w:type="gramStart"/>
            <w:r w:rsidRPr="0026278E">
              <w:rPr>
                <w:rFonts w:cs="Calibri"/>
                <w:b/>
                <w:bCs/>
                <w:color w:val="000000"/>
                <w:sz w:val="20"/>
              </w:rPr>
              <w:t>a</w:t>
            </w:r>
            <w:proofErr w:type="gramEnd"/>
          </w:p>
        </w:tc>
        <w:tc>
          <w:tcPr>
            <w:tcW w:w="1253" w:type="dxa"/>
            <w:tcBorders>
              <w:top w:val="nil"/>
              <w:left w:val="nil"/>
              <w:bottom w:val="nil"/>
              <w:right w:val="nil"/>
            </w:tcBorders>
            <w:shd w:val="clear" w:color="000000" w:fill="C6E0B4"/>
            <w:noWrap/>
            <w:vAlign w:val="center"/>
            <w:hideMark/>
          </w:tcPr>
          <w:p w14:paraId="5198592E" w14:textId="77777777" w:rsidR="00914BE9" w:rsidRPr="0026278E" w:rsidRDefault="00914BE9" w:rsidP="003624F0">
            <w:pPr>
              <w:autoSpaceDE/>
              <w:autoSpaceDN/>
              <w:spacing w:before="0" w:after="0" w:line="240" w:lineRule="auto"/>
              <w:jc w:val="center"/>
              <w:rPr>
                <w:rFonts w:cs="Calibri"/>
                <w:b/>
                <w:bCs/>
                <w:color w:val="000000"/>
                <w:sz w:val="20"/>
              </w:rPr>
            </w:pPr>
            <w:proofErr w:type="spellStart"/>
            <w:r w:rsidRPr="0026278E">
              <w:rPr>
                <w:rFonts w:cs="Calibri"/>
                <w:b/>
                <w:bCs/>
                <w:color w:val="000000"/>
                <w:sz w:val="20"/>
              </w:rPr>
              <w:t>ton</w:t>
            </w:r>
            <w:proofErr w:type="spellEnd"/>
            <w:r w:rsidRPr="0026278E">
              <w:rPr>
                <w:rFonts w:cs="Calibri"/>
                <w:b/>
                <w:bCs/>
                <w:color w:val="000000"/>
                <w:sz w:val="20"/>
              </w:rPr>
              <w:t>/év</w:t>
            </w:r>
          </w:p>
        </w:tc>
        <w:tc>
          <w:tcPr>
            <w:tcW w:w="1230" w:type="dxa"/>
            <w:tcBorders>
              <w:top w:val="nil"/>
              <w:left w:val="nil"/>
              <w:bottom w:val="nil"/>
              <w:right w:val="nil"/>
            </w:tcBorders>
            <w:shd w:val="clear" w:color="000000" w:fill="FFE699"/>
            <w:noWrap/>
            <w:vAlign w:val="center"/>
            <w:hideMark/>
          </w:tcPr>
          <w:p w14:paraId="5CA2132D" w14:textId="77777777" w:rsidR="00914BE9" w:rsidRPr="0026278E" w:rsidRDefault="00914BE9" w:rsidP="003624F0">
            <w:pPr>
              <w:autoSpaceDE/>
              <w:autoSpaceDN/>
              <w:spacing w:before="0" w:after="0" w:line="240" w:lineRule="auto"/>
              <w:jc w:val="center"/>
              <w:rPr>
                <w:rFonts w:cs="Calibri"/>
                <w:b/>
                <w:bCs/>
                <w:color w:val="000000"/>
                <w:sz w:val="20"/>
              </w:rPr>
            </w:pPr>
            <w:proofErr w:type="spellStart"/>
            <w:r w:rsidRPr="0026278E">
              <w:rPr>
                <w:rFonts w:cs="Calibri"/>
                <w:b/>
                <w:bCs/>
                <w:color w:val="000000"/>
                <w:sz w:val="20"/>
              </w:rPr>
              <w:t>MWh</w:t>
            </w:r>
            <w:proofErr w:type="spellEnd"/>
            <w:r w:rsidRPr="0026278E">
              <w:rPr>
                <w:rFonts w:cs="Calibri"/>
                <w:b/>
                <w:bCs/>
                <w:color w:val="000000"/>
                <w:sz w:val="20"/>
              </w:rPr>
              <w:t>/év</w:t>
            </w:r>
          </w:p>
        </w:tc>
        <w:tc>
          <w:tcPr>
            <w:tcW w:w="1253" w:type="dxa"/>
            <w:tcBorders>
              <w:top w:val="nil"/>
              <w:left w:val="nil"/>
              <w:bottom w:val="nil"/>
              <w:right w:val="nil"/>
            </w:tcBorders>
            <w:shd w:val="clear" w:color="000000" w:fill="FFE699"/>
            <w:noWrap/>
            <w:vAlign w:val="center"/>
            <w:hideMark/>
          </w:tcPr>
          <w:p w14:paraId="50C67A8A" w14:textId="77777777" w:rsidR="00914BE9" w:rsidRPr="0026278E" w:rsidRDefault="00914BE9" w:rsidP="003624F0">
            <w:pPr>
              <w:autoSpaceDE/>
              <w:autoSpaceDN/>
              <w:spacing w:before="0" w:after="0" w:line="240" w:lineRule="auto"/>
              <w:jc w:val="center"/>
              <w:rPr>
                <w:rFonts w:cs="Calibri"/>
                <w:b/>
                <w:bCs/>
                <w:color w:val="000000"/>
                <w:sz w:val="20"/>
              </w:rPr>
            </w:pPr>
            <w:proofErr w:type="spellStart"/>
            <w:r w:rsidRPr="0026278E">
              <w:rPr>
                <w:rFonts w:cs="Calibri"/>
                <w:b/>
                <w:bCs/>
                <w:color w:val="000000"/>
                <w:sz w:val="20"/>
              </w:rPr>
              <w:t>ton</w:t>
            </w:r>
            <w:proofErr w:type="spellEnd"/>
            <w:r w:rsidRPr="0026278E">
              <w:rPr>
                <w:rFonts w:cs="Calibri"/>
                <w:b/>
                <w:bCs/>
                <w:color w:val="000000"/>
                <w:sz w:val="20"/>
              </w:rPr>
              <w:t>/év</w:t>
            </w:r>
          </w:p>
        </w:tc>
        <w:tc>
          <w:tcPr>
            <w:tcW w:w="1204" w:type="dxa"/>
            <w:tcBorders>
              <w:top w:val="nil"/>
              <w:left w:val="nil"/>
              <w:bottom w:val="nil"/>
              <w:right w:val="nil"/>
            </w:tcBorders>
            <w:shd w:val="clear" w:color="000000" w:fill="B4C6E7"/>
            <w:noWrap/>
            <w:vAlign w:val="center"/>
            <w:hideMark/>
          </w:tcPr>
          <w:p w14:paraId="6957EE20" w14:textId="77777777" w:rsidR="00914BE9" w:rsidRPr="0026278E" w:rsidRDefault="00914BE9" w:rsidP="003624F0">
            <w:pPr>
              <w:autoSpaceDE/>
              <w:autoSpaceDN/>
              <w:spacing w:before="0" w:after="0" w:line="240" w:lineRule="auto"/>
              <w:jc w:val="center"/>
              <w:rPr>
                <w:rFonts w:cs="Calibri"/>
                <w:b/>
                <w:bCs/>
                <w:color w:val="000000"/>
                <w:sz w:val="20"/>
              </w:rPr>
            </w:pPr>
            <w:proofErr w:type="spellStart"/>
            <w:r w:rsidRPr="0026278E">
              <w:rPr>
                <w:rFonts w:cs="Calibri"/>
                <w:b/>
                <w:bCs/>
                <w:color w:val="000000"/>
                <w:sz w:val="20"/>
              </w:rPr>
              <w:t>MWh</w:t>
            </w:r>
            <w:proofErr w:type="spellEnd"/>
            <w:r w:rsidRPr="0026278E">
              <w:rPr>
                <w:rFonts w:cs="Calibri"/>
                <w:b/>
                <w:bCs/>
                <w:color w:val="000000"/>
                <w:sz w:val="20"/>
              </w:rPr>
              <w:t>/</w:t>
            </w:r>
            <w:proofErr w:type="gramStart"/>
            <w:r w:rsidRPr="0026278E">
              <w:rPr>
                <w:rFonts w:cs="Calibri"/>
                <w:b/>
                <w:bCs/>
                <w:color w:val="000000"/>
                <w:sz w:val="20"/>
              </w:rPr>
              <w:t>a</w:t>
            </w:r>
            <w:proofErr w:type="gramEnd"/>
          </w:p>
        </w:tc>
        <w:tc>
          <w:tcPr>
            <w:tcW w:w="1253" w:type="dxa"/>
            <w:tcBorders>
              <w:top w:val="nil"/>
              <w:left w:val="nil"/>
              <w:bottom w:val="nil"/>
              <w:right w:val="nil"/>
            </w:tcBorders>
            <w:shd w:val="clear" w:color="000000" w:fill="B4C6E7"/>
            <w:noWrap/>
            <w:vAlign w:val="center"/>
            <w:hideMark/>
          </w:tcPr>
          <w:p w14:paraId="6D573456" w14:textId="77777777" w:rsidR="00914BE9" w:rsidRPr="0026278E" w:rsidRDefault="00914BE9" w:rsidP="003624F0">
            <w:pPr>
              <w:autoSpaceDE/>
              <w:autoSpaceDN/>
              <w:spacing w:before="0" w:after="0" w:line="240" w:lineRule="auto"/>
              <w:jc w:val="center"/>
              <w:rPr>
                <w:rFonts w:cs="Calibri"/>
                <w:b/>
                <w:bCs/>
                <w:color w:val="000000"/>
                <w:sz w:val="20"/>
              </w:rPr>
            </w:pPr>
            <w:proofErr w:type="spellStart"/>
            <w:r w:rsidRPr="0026278E">
              <w:rPr>
                <w:rFonts w:cs="Calibri"/>
                <w:b/>
                <w:bCs/>
                <w:color w:val="000000"/>
                <w:sz w:val="20"/>
              </w:rPr>
              <w:t>ton</w:t>
            </w:r>
            <w:proofErr w:type="spellEnd"/>
            <w:r w:rsidRPr="0026278E">
              <w:rPr>
                <w:rFonts w:cs="Calibri"/>
                <w:b/>
                <w:bCs/>
                <w:color w:val="000000"/>
                <w:sz w:val="20"/>
              </w:rPr>
              <w:t>/év</w:t>
            </w:r>
          </w:p>
        </w:tc>
      </w:tr>
      <w:tr w:rsidR="0026278E" w:rsidRPr="005A31CC" w14:paraId="4B68BD48" w14:textId="77777777" w:rsidTr="007F3552">
        <w:trPr>
          <w:trHeight w:val="330"/>
        </w:trPr>
        <w:tc>
          <w:tcPr>
            <w:tcW w:w="269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29A4C28" w14:textId="0C542384"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 xml:space="preserve">Épület </w:t>
            </w:r>
            <w:proofErr w:type="spellStart"/>
            <w:r w:rsidRPr="0026278E">
              <w:rPr>
                <w:rFonts w:cs="Calibri"/>
                <w:b/>
                <w:bCs/>
                <w:color w:val="000000"/>
                <w:sz w:val="20"/>
              </w:rPr>
              <w:t>hőtechnikai</w:t>
            </w:r>
            <w:proofErr w:type="spellEnd"/>
            <w:r w:rsidRPr="0026278E">
              <w:rPr>
                <w:rFonts w:cs="Calibri"/>
                <w:b/>
                <w:bCs/>
                <w:color w:val="000000"/>
                <w:sz w:val="20"/>
              </w:rPr>
              <w:t xml:space="preserve"> felújítás lakóépületben (gázfűtésű) / </w:t>
            </w:r>
            <w:r w:rsidR="00C45A7D" w:rsidRPr="005A31CC">
              <w:rPr>
                <w:rFonts w:cs="Calibri"/>
                <w:b/>
                <w:bCs/>
                <w:color w:val="000000"/>
                <w:sz w:val="20"/>
              </w:rPr>
              <w:t>db</w:t>
            </w:r>
          </w:p>
        </w:tc>
        <w:tc>
          <w:tcPr>
            <w:tcW w:w="1165" w:type="dxa"/>
            <w:tcBorders>
              <w:top w:val="single" w:sz="8" w:space="0" w:color="auto"/>
              <w:left w:val="single" w:sz="8" w:space="0" w:color="auto"/>
              <w:bottom w:val="single" w:sz="4" w:space="0" w:color="auto"/>
              <w:right w:val="single" w:sz="4" w:space="0" w:color="auto"/>
            </w:tcBorders>
            <w:shd w:val="clear" w:color="000000" w:fill="C6E0B4"/>
            <w:noWrap/>
            <w:vAlign w:val="center"/>
            <w:hideMark/>
          </w:tcPr>
          <w:p w14:paraId="3802BE24"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244</w:t>
            </w:r>
          </w:p>
        </w:tc>
        <w:tc>
          <w:tcPr>
            <w:tcW w:w="1253" w:type="dxa"/>
            <w:tcBorders>
              <w:top w:val="single" w:sz="8" w:space="0" w:color="auto"/>
              <w:left w:val="single" w:sz="8" w:space="0" w:color="auto"/>
              <w:bottom w:val="single" w:sz="4" w:space="0" w:color="auto"/>
              <w:right w:val="single" w:sz="4" w:space="0" w:color="auto"/>
            </w:tcBorders>
            <w:shd w:val="clear" w:color="000000" w:fill="C6E0B4"/>
            <w:noWrap/>
            <w:vAlign w:val="center"/>
            <w:hideMark/>
          </w:tcPr>
          <w:p w14:paraId="5C452B84"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64</w:t>
            </w:r>
          </w:p>
        </w:tc>
        <w:tc>
          <w:tcPr>
            <w:tcW w:w="1230" w:type="dxa"/>
            <w:tcBorders>
              <w:top w:val="single" w:sz="8" w:space="0" w:color="auto"/>
              <w:left w:val="nil"/>
              <w:bottom w:val="single" w:sz="4" w:space="0" w:color="auto"/>
              <w:right w:val="single" w:sz="4" w:space="0" w:color="auto"/>
            </w:tcBorders>
            <w:shd w:val="clear" w:color="auto" w:fill="auto"/>
            <w:noWrap/>
            <w:vAlign w:val="center"/>
            <w:hideMark/>
          </w:tcPr>
          <w:p w14:paraId="64A348E2" w14:textId="23BD5A1B" w:rsidR="0026278E" w:rsidRPr="0026278E" w:rsidRDefault="0026278E" w:rsidP="007F3552">
            <w:pPr>
              <w:autoSpaceDE/>
              <w:autoSpaceDN/>
              <w:spacing w:before="0" w:after="0" w:line="240" w:lineRule="auto"/>
              <w:jc w:val="center"/>
              <w:rPr>
                <w:rFonts w:cs="Calibri"/>
                <w:b/>
                <w:bCs/>
                <w:color w:val="000000"/>
                <w:sz w:val="20"/>
              </w:rPr>
            </w:pPr>
          </w:p>
        </w:tc>
        <w:tc>
          <w:tcPr>
            <w:tcW w:w="1253" w:type="dxa"/>
            <w:tcBorders>
              <w:top w:val="single" w:sz="8" w:space="0" w:color="auto"/>
              <w:left w:val="nil"/>
              <w:bottom w:val="single" w:sz="4" w:space="0" w:color="auto"/>
              <w:right w:val="single" w:sz="4" w:space="0" w:color="auto"/>
            </w:tcBorders>
            <w:shd w:val="clear" w:color="auto" w:fill="auto"/>
            <w:noWrap/>
            <w:vAlign w:val="center"/>
            <w:hideMark/>
          </w:tcPr>
          <w:p w14:paraId="672FEF73" w14:textId="32368764" w:rsidR="0026278E" w:rsidRPr="0026278E" w:rsidRDefault="0026278E" w:rsidP="007F3552">
            <w:pPr>
              <w:autoSpaceDE/>
              <w:autoSpaceDN/>
              <w:spacing w:before="0" w:after="0" w:line="240" w:lineRule="auto"/>
              <w:jc w:val="center"/>
              <w:rPr>
                <w:rFonts w:cs="Calibri"/>
                <w:b/>
                <w:bCs/>
                <w:color w:val="000000"/>
                <w:sz w:val="20"/>
              </w:rPr>
            </w:pPr>
          </w:p>
        </w:tc>
        <w:tc>
          <w:tcPr>
            <w:tcW w:w="1204" w:type="dxa"/>
            <w:tcBorders>
              <w:top w:val="single" w:sz="8" w:space="0" w:color="auto"/>
              <w:left w:val="nil"/>
              <w:bottom w:val="single" w:sz="4" w:space="0" w:color="auto"/>
              <w:right w:val="single" w:sz="4" w:space="0" w:color="auto"/>
            </w:tcBorders>
            <w:shd w:val="clear" w:color="auto" w:fill="auto"/>
            <w:noWrap/>
            <w:vAlign w:val="center"/>
            <w:hideMark/>
          </w:tcPr>
          <w:p w14:paraId="3501F774" w14:textId="70F4C90A" w:rsidR="0026278E" w:rsidRPr="0026278E" w:rsidRDefault="0026278E" w:rsidP="007F3552">
            <w:pPr>
              <w:autoSpaceDE/>
              <w:autoSpaceDN/>
              <w:spacing w:before="0" w:after="0" w:line="240" w:lineRule="auto"/>
              <w:jc w:val="center"/>
              <w:rPr>
                <w:rFonts w:cs="Calibri"/>
                <w:b/>
                <w:bCs/>
                <w:color w:val="000000"/>
                <w:sz w:val="20"/>
              </w:rPr>
            </w:pPr>
          </w:p>
        </w:tc>
        <w:tc>
          <w:tcPr>
            <w:tcW w:w="1253" w:type="dxa"/>
            <w:tcBorders>
              <w:top w:val="single" w:sz="8" w:space="0" w:color="auto"/>
              <w:left w:val="nil"/>
              <w:bottom w:val="single" w:sz="4" w:space="0" w:color="auto"/>
              <w:right w:val="single" w:sz="8" w:space="0" w:color="auto"/>
            </w:tcBorders>
            <w:shd w:val="clear" w:color="auto" w:fill="auto"/>
            <w:noWrap/>
            <w:vAlign w:val="center"/>
            <w:hideMark/>
          </w:tcPr>
          <w:p w14:paraId="277EED77" w14:textId="79D169EF" w:rsidR="0026278E" w:rsidRPr="0026278E" w:rsidRDefault="0026278E" w:rsidP="007F3552">
            <w:pPr>
              <w:autoSpaceDE/>
              <w:autoSpaceDN/>
              <w:spacing w:before="0" w:after="0" w:line="240" w:lineRule="auto"/>
              <w:jc w:val="center"/>
              <w:rPr>
                <w:rFonts w:cs="Calibri"/>
                <w:b/>
                <w:bCs/>
                <w:color w:val="000000"/>
                <w:sz w:val="20"/>
              </w:rPr>
            </w:pPr>
          </w:p>
        </w:tc>
      </w:tr>
      <w:tr w:rsidR="0026278E" w:rsidRPr="005A31CC" w14:paraId="21FC1AE6" w14:textId="77777777" w:rsidTr="007F3552">
        <w:trPr>
          <w:trHeight w:val="330"/>
        </w:trPr>
        <w:tc>
          <w:tcPr>
            <w:tcW w:w="2694" w:type="dxa"/>
            <w:tcBorders>
              <w:top w:val="nil"/>
              <w:left w:val="single" w:sz="4" w:space="0" w:color="auto"/>
              <w:bottom w:val="single" w:sz="4" w:space="0" w:color="auto"/>
              <w:right w:val="nil"/>
            </w:tcBorders>
            <w:shd w:val="clear" w:color="auto" w:fill="auto"/>
            <w:noWrap/>
            <w:vAlign w:val="center"/>
            <w:hideMark/>
          </w:tcPr>
          <w:p w14:paraId="0C323ED6" w14:textId="1356E14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 xml:space="preserve">Központi ellátás (VRF) / </w:t>
            </w:r>
            <w:r w:rsidR="00C45A7D" w:rsidRPr="005A31CC">
              <w:rPr>
                <w:rFonts w:cs="Calibri"/>
                <w:b/>
                <w:bCs/>
                <w:color w:val="000000"/>
                <w:sz w:val="20"/>
              </w:rPr>
              <w:t>db</w:t>
            </w:r>
          </w:p>
        </w:tc>
        <w:tc>
          <w:tcPr>
            <w:tcW w:w="1165" w:type="dxa"/>
            <w:tcBorders>
              <w:top w:val="nil"/>
              <w:left w:val="single" w:sz="8" w:space="0" w:color="auto"/>
              <w:bottom w:val="single" w:sz="4" w:space="0" w:color="auto"/>
              <w:right w:val="single" w:sz="4" w:space="0" w:color="auto"/>
            </w:tcBorders>
            <w:shd w:val="clear" w:color="auto" w:fill="auto"/>
            <w:noWrap/>
            <w:vAlign w:val="center"/>
            <w:hideMark/>
          </w:tcPr>
          <w:p w14:paraId="0F7016C2" w14:textId="71D9E5D7" w:rsidR="0026278E" w:rsidRPr="0026278E" w:rsidRDefault="0026278E" w:rsidP="007F3552">
            <w:pPr>
              <w:autoSpaceDE/>
              <w:autoSpaceDN/>
              <w:spacing w:before="0" w:after="0" w:line="240" w:lineRule="auto"/>
              <w:jc w:val="center"/>
              <w:rPr>
                <w:rFonts w:cs="Calibri"/>
                <w:b/>
                <w:bCs/>
                <w:color w:val="000000"/>
                <w:sz w:val="20"/>
              </w:rPr>
            </w:pPr>
          </w:p>
        </w:tc>
        <w:tc>
          <w:tcPr>
            <w:tcW w:w="1253" w:type="dxa"/>
            <w:tcBorders>
              <w:top w:val="nil"/>
              <w:left w:val="single" w:sz="8" w:space="0" w:color="auto"/>
              <w:bottom w:val="single" w:sz="4" w:space="0" w:color="auto"/>
              <w:right w:val="single" w:sz="4" w:space="0" w:color="auto"/>
            </w:tcBorders>
            <w:shd w:val="clear" w:color="auto" w:fill="auto"/>
            <w:noWrap/>
            <w:vAlign w:val="center"/>
            <w:hideMark/>
          </w:tcPr>
          <w:p w14:paraId="5A25BE42" w14:textId="4F535839" w:rsidR="0026278E" w:rsidRPr="0026278E" w:rsidRDefault="0026278E" w:rsidP="007F3552">
            <w:pPr>
              <w:autoSpaceDE/>
              <w:autoSpaceDN/>
              <w:spacing w:before="0" w:after="0" w:line="240" w:lineRule="auto"/>
              <w:jc w:val="center"/>
              <w:rPr>
                <w:rFonts w:cs="Calibri"/>
                <w:b/>
                <w:bCs/>
                <w:color w:val="000000"/>
                <w:sz w:val="20"/>
              </w:rPr>
            </w:pPr>
          </w:p>
        </w:tc>
        <w:tc>
          <w:tcPr>
            <w:tcW w:w="1230" w:type="dxa"/>
            <w:tcBorders>
              <w:top w:val="nil"/>
              <w:left w:val="nil"/>
              <w:bottom w:val="single" w:sz="4" w:space="0" w:color="auto"/>
              <w:right w:val="single" w:sz="4" w:space="0" w:color="auto"/>
            </w:tcBorders>
            <w:shd w:val="clear" w:color="000000" w:fill="FFE699"/>
            <w:noWrap/>
            <w:vAlign w:val="center"/>
            <w:hideMark/>
          </w:tcPr>
          <w:p w14:paraId="7500C323"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129</w:t>
            </w:r>
          </w:p>
        </w:tc>
        <w:tc>
          <w:tcPr>
            <w:tcW w:w="1253" w:type="dxa"/>
            <w:tcBorders>
              <w:top w:val="nil"/>
              <w:left w:val="nil"/>
              <w:bottom w:val="single" w:sz="4" w:space="0" w:color="auto"/>
              <w:right w:val="single" w:sz="4" w:space="0" w:color="auto"/>
            </w:tcBorders>
            <w:shd w:val="clear" w:color="000000" w:fill="FFE699"/>
            <w:noWrap/>
            <w:vAlign w:val="center"/>
            <w:hideMark/>
          </w:tcPr>
          <w:p w14:paraId="394B1BC3"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28</w:t>
            </w:r>
          </w:p>
        </w:tc>
        <w:tc>
          <w:tcPr>
            <w:tcW w:w="1204" w:type="dxa"/>
            <w:tcBorders>
              <w:top w:val="nil"/>
              <w:left w:val="nil"/>
              <w:bottom w:val="single" w:sz="4" w:space="0" w:color="auto"/>
              <w:right w:val="single" w:sz="4" w:space="0" w:color="auto"/>
            </w:tcBorders>
            <w:shd w:val="clear" w:color="auto" w:fill="auto"/>
            <w:noWrap/>
            <w:vAlign w:val="center"/>
            <w:hideMark/>
          </w:tcPr>
          <w:p w14:paraId="1174E009" w14:textId="4B6C6AEF" w:rsidR="0026278E" w:rsidRPr="0026278E" w:rsidRDefault="0026278E" w:rsidP="007F3552">
            <w:pPr>
              <w:autoSpaceDE/>
              <w:autoSpaceDN/>
              <w:spacing w:before="0" w:after="0" w:line="240" w:lineRule="auto"/>
              <w:jc w:val="center"/>
              <w:rPr>
                <w:rFonts w:cs="Calibri"/>
                <w:b/>
                <w:bCs/>
                <w:color w:val="000000"/>
                <w:sz w:val="20"/>
              </w:rPr>
            </w:pPr>
          </w:p>
        </w:tc>
        <w:tc>
          <w:tcPr>
            <w:tcW w:w="1253" w:type="dxa"/>
            <w:tcBorders>
              <w:top w:val="nil"/>
              <w:left w:val="nil"/>
              <w:bottom w:val="single" w:sz="4" w:space="0" w:color="auto"/>
              <w:right w:val="single" w:sz="8" w:space="0" w:color="auto"/>
            </w:tcBorders>
            <w:shd w:val="clear" w:color="auto" w:fill="auto"/>
            <w:noWrap/>
            <w:vAlign w:val="center"/>
            <w:hideMark/>
          </w:tcPr>
          <w:p w14:paraId="4BC364BA" w14:textId="194F1FB4" w:rsidR="0026278E" w:rsidRPr="0026278E" w:rsidRDefault="0026278E" w:rsidP="007F3552">
            <w:pPr>
              <w:autoSpaceDE/>
              <w:autoSpaceDN/>
              <w:spacing w:before="0" w:after="0" w:line="240" w:lineRule="auto"/>
              <w:jc w:val="center"/>
              <w:rPr>
                <w:rFonts w:cs="Calibri"/>
                <w:b/>
                <w:bCs/>
                <w:color w:val="000000"/>
                <w:sz w:val="20"/>
              </w:rPr>
            </w:pPr>
          </w:p>
        </w:tc>
      </w:tr>
      <w:tr w:rsidR="0026278E" w:rsidRPr="005A31CC" w14:paraId="27F5FE85" w14:textId="77777777" w:rsidTr="007F3552">
        <w:trPr>
          <w:trHeight w:val="345"/>
        </w:trPr>
        <w:tc>
          <w:tcPr>
            <w:tcW w:w="2694" w:type="dxa"/>
            <w:tcBorders>
              <w:top w:val="nil"/>
              <w:left w:val="single" w:sz="8" w:space="0" w:color="auto"/>
              <w:bottom w:val="single" w:sz="8" w:space="0" w:color="auto"/>
              <w:right w:val="nil"/>
            </w:tcBorders>
            <w:shd w:val="clear" w:color="auto" w:fill="auto"/>
            <w:noWrap/>
            <w:vAlign w:val="center"/>
            <w:hideMark/>
          </w:tcPr>
          <w:p w14:paraId="5FA0AF89" w14:textId="60B1513B"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 xml:space="preserve">PV telepítés lakóépületre / </w:t>
            </w:r>
            <w:r w:rsidR="00C45A7D" w:rsidRPr="005A31CC">
              <w:rPr>
                <w:rFonts w:cs="Calibri"/>
                <w:b/>
                <w:bCs/>
                <w:color w:val="000000"/>
                <w:sz w:val="20"/>
              </w:rPr>
              <w:t>db</w:t>
            </w:r>
          </w:p>
        </w:tc>
        <w:tc>
          <w:tcPr>
            <w:tcW w:w="1165" w:type="dxa"/>
            <w:tcBorders>
              <w:top w:val="nil"/>
              <w:left w:val="single" w:sz="8" w:space="0" w:color="auto"/>
              <w:bottom w:val="single" w:sz="8" w:space="0" w:color="auto"/>
              <w:right w:val="single" w:sz="4" w:space="0" w:color="auto"/>
            </w:tcBorders>
            <w:shd w:val="clear" w:color="auto" w:fill="auto"/>
            <w:noWrap/>
            <w:vAlign w:val="center"/>
            <w:hideMark/>
          </w:tcPr>
          <w:p w14:paraId="35C6EB26" w14:textId="0B7FFDCE" w:rsidR="0026278E" w:rsidRPr="0026278E" w:rsidRDefault="0026278E" w:rsidP="007F3552">
            <w:pPr>
              <w:autoSpaceDE/>
              <w:autoSpaceDN/>
              <w:spacing w:before="0" w:after="0" w:line="240" w:lineRule="auto"/>
              <w:jc w:val="center"/>
              <w:rPr>
                <w:rFonts w:cs="Calibri"/>
                <w:b/>
                <w:bCs/>
                <w:color w:val="000000"/>
                <w:sz w:val="20"/>
              </w:rPr>
            </w:pPr>
          </w:p>
        </w:tc>
        <w:tc>
          <w:tcPr>
            <w:tcW w:w="1253" w:type="dxa"/>
            <w:tcBorders>
              <w:top w:val="nil"/>
              <w:left w:val="single" w:sz="8" w:space="0" w:color="auto"/>
              <w:bottom w:val="single" w:sz="8" w:space="0" w:color="auto"/>
              <w:right w:val="single" w:sz="4" w:space="0" w:color="auto"/>
            </w:tcBorders>
            <w:shd w:val="clear" w:color="auto" w:fill="auto"/>
            <w:noWrap/>
            <w:vAlign w:val="center"/>
            <w:hideMark/>
          </w:tcPr>
          <w:p w14:paraId="2B37EED7" w14:textId="48389144" w:rsidR="0026278E" w:rsidRPr="0026278E" w:rsidRDefault="0026278E" w:rsidP="007F3552">
            <w:pPr>
              <w:autoSpaceDE/>
              <w:autoSpaceDN/>
              <w:spacing w:before="0" w:after="0" w:line="240" w:lineRule="auto"/>
              <w:jc w:val="center"/>
              <w:rPr>
                <w:rFonts w:cs="Calibri"/>
                <w:b/>
                <w:bCs/>
                <w:color w:val="000000"/>
                <w:sz w:val="20"/>
              </w:rPr>
            </w:pPr>
          </w:p>
        </w:tc>
        <w:tc>
          <w:tcPr>
            <w:tcW w:w="1230" w:type="dxa"/>
            <w:tcBorders>
              <w:top w:val="nil"/>
              <w:left w:val="nil"/>
              <w:bottom w:val="single" w:sz="8" w:space="0" w:color="auto"/>
              <w:right w:val="single" w:sz="4" w:space="0" w:color="auto"/>
            </w:tcBorders>
            <w:shd w:val="clear" w:color="auto" w:fill="auto"/>
            <w:noWrap/>
            <w:vAlign w:val="center"/>
            <w:hideMark/>
          </w:tcPr>
          <w:p w14:paraId="1BD28660" w14:textId="3D29B7D8" w:rsidR="0026278E" w:rsidRPr="0026278E" w:rsidRDefault="0026278E" w:rsidP="007F3552">
            <w:pPr>
              <w:autoSpaceDE/>
              <w:autoSpaceDN/>
              <w:spacing w:before="0" w:after="0" w:line="240" w:lineRule="auto"/>
              <w:jc w:val="center"/>
              <w:rPr>
                <w:rFonts w:cs="Calibri"/>
                <w:b/>
                <w:bCs/>
                <w:color w:val="000000"/>
                <w:sz w:val="20"/>
              </w:rPr>
            </w:pPr>
          </w:p>
        </w:tc>
        <w:tc>
          <w:tcPr>
            <w:tcW w:w="1253" w:type="dxa"/>
            <w:tcBorders>
              <w:top w:val="nil"/>
              <w:left w:val="nil"/>
              <w:bottom w:val="single" w:sz="8" w:space="0" w:color="auto"/>
              <w:right w:val="single" w:sz="4" w:space="0" w:color="auto"/>
            </w:tcBorders>
            <w:shd w:val="clear" w:color="auto" w:fill="auto"/>
            <w:noWrap/>
            <w:vAlign w:val="center"/>
            <w:hideMark/>
          </w:tcPr>
          <w:p w14:paraId="7679C34C" w14:textId="047EA0A8" w:rsidR="0026278E" w:rsidRPr="0026278E" w:rsidRDefault="0026278E" w:rsidP="007F3552">
            <w:pPr>
              <w:autoSpaceDE/>
              <w:autoSpaceDN/>
              <w:spacing w:before="0" w:after="0" w:line="240" w:lineRule="auto"/>
              <w:jc w:val="center"/>
              <w:rPr>
                <w:rFonts w:cs="Calibri"/>
                <w:b/>
                <w:bCs/>
                <w:color w:val="000000"/>
                <w:sz w:val="20"/>
              </w:rPr>
            </w:pPr>
          </w:p>
        </w:tc>
        <w:tc>
          <w:tcPr>
            <w:tcW w:w="1204" w:type="dxa"/>
            <w:tcBorders>
              <w:top w:val="nil"/>
              <w:left w:val="nil"/>
              <w:bottom w:val="single" w:sz="4" w:space="0" w:color="auto"/>
              <w:right w:val="single" w:sz="4" w:space="0" w:color="auto"/>
            </w:tcBorders>
            <w:shd w:val="clear" w:color="000000" w:fill="B4C6E7"/>
            <w:noWrap/>
            <w:vAlign w:val="center"/>
            <w:hideMark/>
          </w:tcPr>
          <w:p w14:paraId="3846442E"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48</w:t>
            </w:r>
          </w:p>
        </w:tc>
        <w:tc>
          <w:tcPr>
            <w:tcW w:w="1253" w:type="dxa"/>
            <w:tcBorders>
              <w:top w:val="nil"/>
              <w:left w:val="nil"/>
              <w:bottom w:val="single" w:sz="4" w:space="0" w:color="auto"/>
              <w:right w:val="single" w:sz="4" w:space="0" w:color="auto"/>
            </w:tcBorders>
            <w:shd w:val="clear" w:color="000000" w:fill="B4C6E7"/>
            <w:noWrap/>
            <w:vAlign w:val="center"/>
            <w:hideMark/>
          </w:tcPr>
          <w:p w14:paraId="7AB25F11"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18</w:t>
            </w:r>
          </w:p>
        </w:tc>
      </w:tr>
      <w:tr w:rsidR="005A31CC" w:rsidRPr="005A31CC" w14:paraId="41DB83AB" w14:textId="77777777" w:rsidTr="005A31CC">
        <w:trPr>
          <w:trHeight w:val="345"/>
        </w:trPr>
        <w:tc>
          <w:tcPr>
            <w:tcW w:w="2694" w:type="dxa"/>
            <w:tcBorders>
              <w:top w:val="nil"/>
              <w:left w:val="nil"/>
              <w:bottom w:val="nil"/>
              <w:right w:val="nil"/>
            </w:tcBorders>
            <w:shd w:val="clear" w:color="000000" w:fill="D9D9D9"/>
            <w:noWrap/>
            <w:vAlign w:val="center"/>
            <w:hideMark/>
          </w:tcPr>
          <w:p w14:paraId="23320B29" w14:textId="1C5FD9AA" w:rsidR="005A31CC" w:rsidRPr="0026278E" w:rsidRDefault="005A31CC" w:rsidP="005A31CC">
            <w:pPr>
              <w:autoSpaceDE/>
              <w:autoSpaceDN/>
              <w:spacing w:before="0" w:after="0" w:line="240" w:lineRule="auto"/>
              <w:jc w:val="center"/>
              <w:rPr>
                <w:rFonts w:cs="Calibri"/>
                <w:b/>
                <w:bCs/>
                <w:color w:val="000000"/>
                <w:sz w:val="20"/>
              </w:rPr>
            </w:pPr>
          </w:p>
        </w:tc>
        <w:tc>
          <w:tcPr>
            <w:tcW w:w="1165" w:type="dxa"/>
            <w:tcBorders>
              <w:top w:val="nil"/>
              <w:left w:val="single" w:sz="8" w:space="0" w:color="auto"/>
              <w:bottom w:val="nil"/>
              <w:right w:val="nil"/>
            </w:tcBorders>
            <w:shd w:val="clear" w:color="000000" w:fill="C6E0B4"/>
            <w:noWrap/>
            <w:vAlign w:val="center"/>
            <w:hideMark/>
          </w:tcPr>
          <w:p w14:paraId="096CA6A8" w14:textId="77777777" w:rsidR="005A31CC" w:rsidRPr="0026278E" w:rsidRDefault="005A31CC" w:rsidP="005A31CC">
            <w:pPr>
              <w:autoSpaceDE/>
              <w:autoSpaceDN/>
              <w:spacing w:before="0" w:after="0" w:line="240" w:lineRule="auto"/>
              <w:jc w:val="center"/>
              <w:rPr>
                <w:rFonts w:cs="Calibri"/>
                <w:b/>
                <w:bCs/>
                <w:color w:val="000000"/>
                <w:sz w:val="20"/>
              </w:rPr>
            </w:pPr>
            <w:r w:rsidRPr="0026278E">
              <w:rPr>
                <w:rFonts w:cs="Calibri"/>
                <w:b/>
                <w:bCs/>
                <w:color w:val="000000"/>
                <w:sz w:val="20"/>
              </w:rPr>
              <w:t>29 231</w:t>
            </w:r>
          </w:p>
        </w:tc>
        <w:tc>
          <w:tcPr>
            <w:tcW w:w="1253" w:type="dxa"/>
            <w:tcBorders>
              <w:top w:val="nil"/>
              <w:left w:val="single" w:sz="8" w:space="0" w:color="auto"/>
              <w:bottom w:val="nil"/>
              <w:right w:val="nil"/>
            </w:tcBorders>
            <w:shd w:val="clear" w:color="000000" w:fill="C6E0B4"/>
            <w:noWrap/>
            <w:vAlign w:val="center"/>
            <w:hideMark/>
          </w:tcPr>
          <w:p w14:paraId="28423A46" w14:textId="77777777" w:rsidR="005A31CC" w:rsidRPr="0026278E" w:rsidRDefault="005A31CC" w:rsidP="005A31CC">
            <w:pPr>
              <w:autoSpaceDE/>
              <w:autoSpaceDN/>
              <w:spacing w:before="0" w:after="0" w:line="240" w:lineRule="auto"/>
              <w:jc w:val="center"/>
              <w:rPr>
                <w:rFonts w:cs="Calibri"/>
                <w:b/>
                <w:bCs/>
                <w:color w:val="000000"/>
                <w:sz w:val="20"/>
              </w:rPr>
            </w:pPr>
            <w:r w:rsidRPr="0026278E">
              <w:rPr>
                <w:rFonts w:cs="Calibri"/>
                <w:b/>
                <w:bCs/>
                <w:color w:val="000000"/>
                <w:sz w:val="20"/>
              </w:rPr>
              <w:t>7 670</w:t>
            </w:r>
          </w:p>
        </w:tc>
        <w:tc>
          <w:tcPr>
            <w:tcW w:w="1230" w:type="dxa"/>
            <w:tcBorders>
              <w:top w:val="nil"/>
              <w:left w:val="single" w:sz="8" w:space="0" w:color="auto"/>
              <w:bottom w:val="nil"/>
              <w:right w:val="nil"/>
            </w:tcBorders>
            <w:shd w:val="clear" w:color="000000" w:fill="FFE699"/>
            <w:noWrap/>
            <w:vAlign w:val="center"/>
            <w:hideMark/>
          </w:tcPr>
          <w:p w14:paraId="0FC24E99" w14:textId="3103285F" w:rsidR="005A31CC" w:rsidRPr="0026278E" w:rsidRDefault="005A31CC" w:rsidP="005A31CC">
            <w:pPr>
              <w:autoSpaceDE/>
              <w:autoSpaceDN/>
              <w:spacing w:before="0" w:after="0" w:line="240" w:lineRule="auto"/>
              <w:jc w:val="center"/>
              <w:rPr>
                <w:rFonts w:cs="Calibri"/>
                <w:b/>
                <w:bCs/>
                <w:color w:val="000000"/>
                <w:sz w:val="20"/>
              </w:rPr>
            </w:pPr>
            <w:r w:rsidRPr="005A31CC">
              <w:rPr>
                <w:rFonts w:cs="Calibri"/>
                <w:b/>
                <w:bCs/>
                <w:color w:val="000000"/>
                <w:sz w:val="20"/>
              </w:rPr>
              <w:t>5 162</w:t>
            </w:r>
          </w:p>
        </w:tc>
        <w:tc>
          <w:tcPr>
            <w:tcW w:w="1253" w:type="dxa"/>
            <w:tcBorders>
              <w:top w:val="nil"/>
              <w:left w:val="single" w:sz="8" w:space="0" w:color="auto"/>
              <w:bottom w:val="nil"/>
              <w:right w:val="nil"/>
            </w:tcBorders>
            <w:shd w:val="clear" w:color="000000" w:fill="FFE699"/>
            <w:noWrap/>
            <w:vAlign w:val="center"/>
            <w:hideMark/>
          </w:tcPr>
          <w:p w14:paraId="2C4DFBC8" w14:textId="1DE4DAA6" w:rsidR="005A31CC" w:rsidRPr="0026278E" w:rsidRDefault="005A31CC" w:rsidP="005A31CC">
            <w:pPr>
              <w:autoSpaceDE/>
              <w:autoSpaceDN/>
              <w:spacing w:before="0" w:after="0" w:line="240" w:lineRule="auto"/>
              <w:jc w:val="center"/>
              <w:rPr>
                <w:rFonts w:cs="Calibri"/>
                <w:b/>
                <w:bCs/>
                <w:color w:val="000000"/>
                <w:sz w:val="20"/>
              </w:rPr>
            </w:pPr>
            <w:r w:rsidRPr="005A31CC">
              <w:rPr>
                <w:rFonts w:cs="Calibri"/>
                <w:b/>
                <w:bCs/>
                <w:color w:val="000000"/>
                <w:sz w:val="20"/>
              </w:rPr>
              <w:t>1 126</w:t>
            </w:r>
          </w:p>
        </w:tc>
        <w:tc>
          <w:tcPr>
            <w:tcW w:w="1204" w:type="dxa"/>
            <w:tcBorders>
              <w:top w:val="nil"/>
              <w:left w:val="single" w:sz="8" w:space="0" w:color="auto"/>
              <w:bottom w:val="nil"/>
              <w:right w:val="nil"/>
            </w:tcBorders>
            <w:shd w:val="clear" w:color="000000" w:fill="B4C6E7"/>
            <w:noWrap/>
            <w:vAlign w:val="center"/>
            <w:hideMark/>
          </w:tcPr>
          <w:p w14:paraId="46C0E3F9" w14:textId="77777777" w:rsidR="005A31CC" w:rsidRPr="0026278E" w:rsidRDefault="005A31CC" w:rsidP="005A31CC">
            <w:pPr>
              <w:autoSpaceDE/>
              <w:autoSpaceDN/>
              <w:spacing w:before="0" w:after="0" w:line="240" w:lineRule="auto"/>
              <w:jc w:val="center"/>
              <w:rPr>
                <w:rFonts w:cs="Calibri"/>
                <w:b/>
                <w:bCs/>
                <w:color w:val="000000"/>
                <w:sz w:val="20"/>
              </w:rPr>
            </w:pPr>
            <w:r w:rsidRPr="0026278E">
              <w:rPr>
                <w:rFonts w:cs="Calibri"/>
                <w:b/>
                <w:bCs/>
                <w:color w:val="000000"/>
                <w:sz w:val="20"/>
              </w:rPr>
              <w:t>5 712</w:t>
            </w:r>
          </w:p>
        </w:tc>
        <w:tc>
          <w:tcPr>
            <w:tcW w:w="1253" w:type="dxa"/>
            <w:tcBorders>
              <w:top w:val="nil"/>
              <w:left w:val="single" w:sz="8" w:space="0" w:color="auto"/>
              <w:bottom w:val="nil"/>
              <w:right w:val="nil"/>
            </w:tcBorders>
            <w:shd w:val="clear" w:color="000000" w:fill="B4C6E7"/>
            <w:noWrap/>
            <w:vAlign w:val="center"/>
            <w:hideMark/>
          </w:tcPr>
          <w:p w14:paraId="70F6A9C3" w14:textId="77777777" w:rsidR="005A31CC" w:rsidRPr="0026278E" w:rsidRDefault="005A31CC" w:rsidP="005A31CC">
            <w:pPr>
              <w:autoSpaceDE/>
              <w:autoSpaceDN/>
              <w:spacing w:before="0" w:after="0" w:line="240" w:lineRule="auto"/>
              <w:jc w:val="center"/>
              <w:rPr>
                <w:rFonts w:cs="Calibri"/>
                <w:b/>
                <w:bCs/>
                <w:color w:val="000000"/>
                <w:sz w:val="20"/>
              </w:rPr>
            </w:pPr>
            <w:r w:rsidRPr="0026278E">
              <w:rPr>
                <w:rFonts w:cs="Calibri"/>
                <w:b/>
                <w:bCs/>
                <w:color w:val="000000"/>
                <w:sz w:val="20"/>
              </w:rPr>
              <w:t>2 112</w:t>
            </w:r>
          </w:p>
        </w:tc>
      </w:tr>
    </w:tbl>
    <w:p w14:paraId="163633AB" w14:textId="6A484148" w:rsidR="0026278E" w:rsidRDefault="007F3552" w:rsidP="007F3552">
      <w:pPr>
        <w:pStyle w:val="kepalairas"/>
      </w:pPr>
      <w:r w:rsidRPr="0026278E">
        <w:t xml:space="preserve">Az energiahatékonysági fejlesztések és az </w:t>
      </w:r>
      <w:proofErr w:type="spellStart"/>
      <w:r w:rsidRPr="0026278E">
        <w:t>energiamegtakarítás</w:t>
      </w:r>
      <w:proofErr w:type="spellEnd"/>
      <w:r w:rsidRPr="0026278E">
        <w:t xml:space="preserve"> összesítése</w:t>
      </w:r>
    </w:p>
    <w:tbl>
      <w:tblPr>
        <w:tblW w:w="10065" w:type="dxa"/>
        <w:tblInd w:w="-567" w:type="dxa"/>
        <w:tblCellMar>
          <w:left w:w="70" w:type="dxa"/>
          <w:right w:w="70" w:type="dxa"/>
        </w:tblCellMar>
        <w:tblLook w:val="04A0" w:firstRow="1" w:lastRow="0" w:firstColumn="1" w:lastColumn="0" w:noHBand="0" w:noVBand="1"/>
      </w:tblPr>
      <w:tblGrid>
        <w:gridCol w:w="2977"/>
        <w:gridCol w:w="1418"/>
        <w:gridCol w:w="1554"/>
        <w:gridCol w:w="1422"/>
        <w:gridCol w:w="1418"/>
        <w:gridCol w:w="1276"/>
      </w:tblGrid>
      <w:tr w:rsidR="0026278E" w:rsidRPr="005A31CC" w14:paraId="28B3DEF7" w14:textId="77777777" w:rsidTr="003624F0">
        <w:tc>
          <w:tcPr>
            <w:tcW w:w="2977" w:type="dxa"/>
            <w:tcBorders>
              <w:top w:val="nil"/>
              <w:left w:val="nil"/>
              <w:bottom w:val="nil"/>
              <w:right w:val="nil"/>
            </w:tcBorders>
            <w:shd w:val="clear" w:color="000000" w:fill="D9D9D9"/>
            <w:vAlign w:val="center"/>
            <w:hideMark/>
          </w:tcPr>
          <w:p w14:paraId="2E0EB7B0" w14:textId="758BB438" w:rsidR="0026278E" w:rsidRPr="0026278E" w:rsidRDefault="0026278E" w:rsidP="007F3552">
            <w:pPr>
              <w:autoSpaceDE/>
              <w:autoSpaceDN/>
              <w:spacing w:before="0" w:after="0" w:line="240" w:lineRule="auto"/>
              <w:jc w:val="center"/>
              <w:rPr>
                <w:rFonts w:cs="Calibri"/>
                <w:b/>
                <w:bCs/>
                <w:sz w:val="20"/>
              </w:rPr>
            </w:pPr>
          </w:p>
        </w:tc>
        <w:tc>
          <w:tcPr>
            <w:tcW w:w="1418" w:type="dxa"/>
            <w:tcBorders>
              <w:top w:val="nil"/>
              <w:left w:val="nil"/>
              <w:bottom w:val="nil"/>
              <w:right w:val="nil"/>
            </w:tcBorders>
            <w:shd w:val="clear" w:color="000000" w:fill="C6E0B4"/>
            <w:vAlign w:val="center"/>
            <w:hideMark/>
          </w:tcPr>
          <w:p w14:paraId="55D49E27"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Beruházási költség</w:t>
            </w:r>
          </w:p>
        </w:tc>
        <w:tc>
          <w:tcPr>
            <w:tcW w:w="1554" w:type="dxa"/>
            <w:tcBorders>
              <w:top w:val="nil"/>
              <w:left w:val="nil"/>
              <w:bottom w:val="nil"/>
              <w:right w:val="nil"/>
            </w:tcBorders>
            <w:shd w:val="clear" w:color="000000" w:fill="C6E0B4"/>
            <w:vAlign w:val="center"/>
            <w:hideMark/>
          </w:tcPr>
          <w:p w14:paraId="58C417EE"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Megtakarítás rezsicsökkentett energia áron</w:t>
            </w:r>
          </w:p>
        </w:tc>
        <w:tc>
          <w:tcPr>
            <w:tcW w:w="1422" w:type="dxa"/>
            <w:tcBorders>
              <w:top w:val="nil"/>
              <w:left w:val="nil"/>
              <w:bottom w:val="nil"/>
              <w:right w:val="nil"/>
            </w:tcBorders>
            <w:shd w:val="clear" w:color="000000" w:fill="C6E0B4"/>
            <w:vAlign w:val="center"/>
            <w:hideMark/>
          </w:tcPr>
          <w:p w14:paraId="75D6F686"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Egyszerű megtérülési idő</w:t>
            </w:r>
          </w:p>
        </w:tc>
        <w:tc>
          <w:tcPr>
            <w:tcW w:w="1418" w:type="dxa"/>
            <w:tcBorders>
              <w:top w:val="nil"/>
              <w:left w:val="nil"/>
              <w:bottom w:val="nil"/>
              <w:right w:val="nil"/>
            </w:tcBorders>
            <w:shd w:val="clear" w:color="000000" w:fill="C6E0B4"/>
            <w:vAlign w:val="center"/>
            <w:hideMark/>
          </w:tcPr>
          <w:p w14:paraId="52BC768D"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Megtakarítás piaci energia áron</w:t>
            </w:r>
          </w:p>
        </w:tc>
        <w:tc>
          <w:tcPr>
            <w:tcW w:w="1276" w:type="dxa"/>
            <w:tcBorders>
              <w:top w:val="nil"/>
              <w:left w:val="nil"/>
              <w:bottom w:val="nil"/>
              <w:right w:val="nil"/>
            </w:tcBorders>
            <w:shd w:val="clear" w:color="000000" w:fill="C6E0B4"/>
            <w:vAlign w:val="center"/>
            <w:hideMark/>
          </w:tcPr>
          <w:p w14:paraId="231CF370"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Egyszerű megtérülési idő</w:t>
            </w:r>
          </w:p>
        </w:tc>
      </w:tr>
      <w:tr w:rsidR="0026278E" w:rsidRPr="005A31CC" w14:paraId="71FEF8E8" w14:textId="77777777" w:rsidTr="003624F0">
        <w:tc>
          <w:tcPr>
            <w:tcW w:w="2977" w:type="dxa"/>
            <w:tcBorders>
              <w:top w:val="nil"/>
              <w:left w:val="nil"/>
              <w:bottom w:val="nil"/>
              <w:right w:val="nil"/>
            </w:tcBorders>
            <w:shd w:val="clear" w:color="000000" w:fill="D9D9D9"/>
            <w:vAlign w:val="center"/>
            <w:hideMark/>
          </w:tcPr>
          <w:p w14:paraId="177D63F4" w14:textId="0DB95D02" w:rsidR="0026278E" w:rsidRPr="0026278E" w:rsidRDefault="0026278E" w:rsidP="007F3552">
            <w:pPr>
              <w:autoSpaceDE/>
              <w:autoSpaceDN/>
              <w:spacing w:before="0" w:after="0" w:line="240" w:lineRule="auto"/>
              <w:jc w:val="center"/>
              <w:rPr>
                <w:rFonts w:cs="Calibri"/>
                <w:b/>
                <w:bCs/>
                <w:sz w:val="20"/>
              </w:rPr>
            </w:pPr>
          </w:p>
        </w:tc>
        <w:tc>
          <w:tcPr>
            <w:tcW w:w="1418" w:type="dxa"/>
            <w:tcBorders>
              <w:top w:val="nil"/>
              <w:left w:val="nil"/>
              <w:bottom w:val="nil"/>
              <w:right w:val="nil"/>
            </w:tcBorders>
            <w:shd w:val="clear" w:color="000000" w:fill="C6E0B4"/>
            <w:noWrap/>
            <w:vAlign w:val="center"/>
            <w:hideMark/>
          </w:tcPr>
          <w:p w14:paraId="2D5F16A6"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 xml:space="preserve">bruttó </w:t>
            </w:r>
            <w:proofErr w:type="spellStart"/>
            <w:r w:rsidRPr="0026278E">
              <w:rPr>
                <w:rFonts w:cs="Calibri"/>
                <w:b/>
                <w:bCs/>
                <w:color w:val="000000"/>
                <w:sz w:val="20"/>
              </w:rPr>
              <w:t>EFt</w:t>
            </w:r>
            <w:proofErr w:type="spellEnd"/>
          </w:p>
        </w:tc>
        <w:tc>
          <w:tcPr>
            <w:tcW w:w="1554" w:type="dxa"/>
            <w:tcBorders>
              <w:top w:val="nil"/>
              <w:left w:val="nil"/>
              <w:bottom w:val="nil"/>
              <w:right w:val="nil"/>
            </w:tcBorders>
            <w:shd w:val="clear" w:color="000000" w:fill="C6E0B4"/>
            <w:noWrap/>
            <w:vAlign w:val="center"/>
            <w:hideMark/>
          </w:tcPr>
          <w:p w14:paraId="33F4A7E3"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 xml:space="preserve">bruttó </w:t>
            </w:r>
            <w:proofErr w:type="spellStart"/>
            <w:r w:rsidRPr="0026278E">
              <w:rPr>
                <w:rFonts w:cs="Calibri"/>
                <w:b/>
                <w:bCs/>
                <w:color w:val="000000"/>
                <w:sz w:val="20"/>
              </w:rPr>
              <w:t>EFt</w:t>
            </w:r>
            <w:proofErr w:type="spellEnd"/>
            <w:r w:rsidRPr="0026278E">
              <w:rPr>
                <w:rFonts w:cs="Calibri"/>
                <w:b/>
                <w:bCs/>
                <w:color w:val="000000"/>
                <w:sz w:val="20"/>
              </w:rPr>
              <w:t>/év</w:t>
            </w:r>
          </w:p>
        </w:tc>
        <w:tc>
          <w:tcPr>
            <w:tcW w:w="1422" w:type="dxa"/>
            <w:tcBorders>
              <w:top w:val="nil"/>
              <w:left w:val="nil"/>
              <w:bottom w:val="nil"/>
              <w:right w:val="nil"/>
            </w:tcBorders>
            <w:shd w:val="clear" w:color="000000" w:fill="C6E0B4"/>
            <w:noWrap/>
            <w:vAlign w:val="center"/>
            <w:hideMark/>
          </w:tcPr>
          <w:p w14:paraId="4BD9712D"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év</w:t>
            </w:r>
          </w:p>
        </w:tc>
        <w:tc>
          <w:tcPr>
            <w:tcW w:w="1418" w:type="dxa"/>
            <w:tcBorders>
              <w:top w:val="nil"/>
              <w:left w:val="nil"/>
              <w:bottom w:val="nil"/>
              <w:right w:val="nil"/>
            </w:tcBorders>
            <w:shd w:val="clear" w:color="000000" w:fill="C6E0B4"/>
            <w:noWrap/>
            <w:vAlign w:val="center"/>
            <w:hideMark/>
          </w:tcPr>
          <w:p w14:paraId="6FD7B0A6"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 xml:space="preserve">bruttó </w:t>
            </w:r>
            <w:proofErr w:type="spellStart"/>
            <w:r w:rsidRPr="0026278E">
              <w:rPr>
                <w:rFonts w:cs="Calibri"/>
                <w:b/>
                <w:bCs/>
                <w:color w:val="000000"/>
                <w:sz w:val="20"/>
              </w:rPr>
              <w:t>EFt</w:t>
            </w:r>
            <w:proofErr w:type="spellEnd"/>
            <w:r w:rsidRPr="0026278E">
              <w:rPr>
                <w:rFonts w:cs="Calibri"/>
                <w:b/>
                <w:bCs/>
                <w:color w:val="000000"/>
                <w:sz w:val="20"/>
              </w:rPr>
              <w:t>/év</w:t>
            </w:r>
          </w:p>
        </w:tc>
        <w:tc>
          <w:tcPr>
            <w:tcW w:w="1276" w:type="dxa"/>
            <w:tcBorders>
              <w:top w:val="nil"/>
              <w:left w:val="nil"/>
              <w:bottom w:val="nil"/>
              <w:right w:val="nil"/>
            </w:tcBorders>
            <w:shd w:val="clear" w:color="000000" w:fill="C6E0B4"/>
            <w:noWrap/>
            <w:vAlign w:val="center"/>
            <w:hideMark/>
          </w:tcPr>
          <w:p w14:paraId="40A0C053"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év</w:t>
            </w:r>
          </w:p>
        </w:tc>
      </w:tr>
      <w:tr w:rsidR="0026278E" w:rsidRPr="005A31CC" w14:paraId="4E993392" w14:textId="77777777" w:rsidTr="007F3552">
        <w:trPr>
          <w:trHeight w:val="330"/>
        </w:trPr>
        <w:tc>
          <w:tcPr>
            <w:tcW w:w="297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D9FC46E" w14:textId="1AD5EFDE"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 xml:space="preserve">Épület </w:t>
            </w:r>
            <w:proofErr w:type="spellStart"/>
            <w:r w:rsidRPr="0026278E">
              <w:rPr>
                <w:rFonts w:cs="Calibri"/>
                <w:b/>
                <w:bCs/>
                <w:color w:val="000000"/>
                <w:sz w:val="20"/>
              </w:rPr>
              <w:t>hőtechnikai</w:t>
            </w:r>
            <w:proofErr w:type="spellEnd"/>
            <w:r w:rsidRPr="0026278E">
              <w:rPr>
                <w:rFonts w:cs="Calibri"/>
                <w:b/>
                <w:bCs/>
                <w:color w:val="000000"/>
                <w:sz w:val="20"/>
              </w:rPr>
              <w:t xml:space="preserve"> felújítás lakóépületben (gázfűtésű) </w:t>
            </w:r>
            <w:r w:rsidR="00C45A7D" w:rsidRPr="005A31CC">
              <w:rPr>
                <w:rFonts w:cs="Calibri"/>
                <w:b/>
                <w:bCs/>
                <w:color w:val="000000"/>
                <w:sz w:val="20"/>
              </w:rPr>
              <w:t>/db</w:t>
            </w:r>
          </w:p>
        </w:tc>
        <w:tc>
          <w:tcPr>
            <w:tcW w:w="1418" w:type="dxa"/>
            <w:tcBorders>
              <w:top w:val="single" w:sz="8" w:space="0" w:color="auto"/>
              <w:left w:val="single" w:sz="8" w:space="0" w:color="auto"/>
              <w:bottom w:val="single" w:sz="4" w:space="0" w:color="auto"/>
              <w:right w:val="single" w:sz="4" w:space="0" w:color="auto"/>
            </w:tcBorders>
            <w:shd w:val="clear" w:color="000000" w:fill="C6E0B4"/>
            <w:noWrap/>
            <w:vAlign w:val="center"/>
            <w:hideMark/>
          </w:tcPr>
          <w:p w14:paraId="045F2F13"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198 789</w:t>
            </w:r>
          </w:p>
        </w:tc>
        <w:tc>
          <w:tcPr>
            <w:tcW w:w="1554" w:type="dxa"/>
            <w:tcBorders>
              <w:top w:val="single" w:sz="8" w:space="0" w:color="auto"/>
              <w:left w:val="single" w:sz="8" w:space="0" w:color="auto"/>
              <w:bottom w:val="single" w:sz="4" w:space="0" w:color="auto"/>
              <w:right w:val="single" w:sz="4" w:space="0" w:color="auto"/>
            </w:tcBorders>
            <w:shd w:val="clear" w:color="000000" w:fill="C6E0B4"/>
            <w:noWrap/>
            <w:vAlign w:val="center"/>
            <w:hideMark/>
          </w:tcPr>
          <w:p w14:paraId="529DACB7"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2 925</w:t>
            </w:r>
          </w:p>
        </w:tc>
        <w:tc>
          <w:tcPr>
            <w:tcW w:w="1422" w:type="dxa"/>
            <w:tcBorders>
              <w:top w:val="single" w:sz="8" w:space="0" w:color="auto"/>
              <w:left w:val="single" w:sz="8" w:space="0" w:color="auto"/>
              <w:bottom w:val="single" w:sz="4" w:space="0" w:color="auto"/>
              <w:right w:val="single" w:sz="4" w:space="0" w:color="auto"/>
            </w:tcBorders>
            <w:shd w:val="clear" w:color="000000" w:fill="C6E0B4"/>
            <w:noWrap/>
            <w:vAlign w:val="center"/>
            <w:hideMark/>
          </w:tcPr>
          <w:p w14:paraId="05F7C6E5"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68</w:t>
            </w:r>
          </w:p>
        </w:tc>
        <w:tc>
          <w:tcPr>
            <w:tcW w:w="1418" w:type="dxa"/>
            <w:tcBorders>
              <w:top w:val="single" w:sz="8" w:space="0" w:color="auto"/>
              <w:left w:val="single" w:sz="8" w:space="0" w:color="auto"/>
              <w:bottom w:val="single" w:sz="4" w:space="0" w:color="auto"/>
              <w:right w:val="single" w:sz="4" w:space="0" w:color="auto"/>
            </w:tcBorders>
            <w:shd w:val="clear" w:color="000000" w:fill="C6E0B4"/>
            <w:noWrap/>
            <w:vAlign w:val="center"/>
            <w:hideMark/>
          </w:tcPr>
          <w:p w14:paraId="0D95ED93"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6 187</w:t>
            </w:r>
          </w:p>
        </w:tc>
        <w:tc>
          <w:tcPr>
            <w:tcW w:w="1276" w:type="dxa"/>
            <w:tcBorders>
              <w:top w:val="single" w:sz="8" w:space="0" w:color="auto"/>
              <w:left w:val="single" w:sz="8" w:space="0" w:color="auto"/>
              <w:bottom w:val="single" w:sz="4" w:space="0" w:color="auto"/>
              <w:right w:val="single" w:sz="4" w:space="0" w:color="auto"/>
            </w:tcBorders>
            <w:shd w:val="clear" w:color="000000" w:fill="C6E0B4"/>
            <w:noWrap/>
            <w:vAlign w:val="center"/>
            <w:hideMark/>
          </w:tcPr>
          <w:p w14:paraId="4BC7E496"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32</w:t>
            </w:r>
          </w:p>
        </w:tc>
      </w:tr>
      <w:tr w:rsidR="0026278E" w:rsidRPr="005A31CC" w14:paraId="56EFB302" w14:textId="77777777" w:rsidTr="007F3552">
        <w:trPr>
          <w:trHeight w:val="345"/>
        </w:trPr>
        <w:tc>
          <w:tcPr>
            <w:tcW w:w="2977" w:type="dxa"/>
            <w:tcBorders>
              <w:top w:val="nil"/>
              <w:left w:val="nil"/>
              <w:bottom w:val="nil"/>
              <w:right w:val="nil"/>
            </w:tcBorders>
            <w:shd w:val="clear" w:color="000000" w:fill="D9D9D9"/>
            <w:noWrap/>
            <w:vAlign w:val="center"/>
            <w:hideMark/>
          </w:tcPr>
          <w:p w14:paraId="6AD7DF26" w14:textId="3EB2A181" w:rsidR="0026278E"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120 é</w:t>
            </w:r>
            <w:r w:rsidRPr="0026278E">
              <w:rPr>
                <w:rFonts w:cs="Calibri"/>
                <w:b/>
                <w:bCs/>
                <w:color w:val="000000"/>
                <w:sz w:val="20"/>
              </w:rPr>
              <w:t>pületre</w:t>
            </w:r>
          </w:p>
        </w:tc>
        <w:tc>
          <w:tcPr>
            <w:tcW w:w="1418" w:type="dxa"/>
            <w:tcBorders>
              <w:top w:val="nil"/>
              <w:left w:val="single" w:sz="8" w:space="0" w:color="auto"/>
              <w:bottom w:val="nil"/>
              <w:right w:val="nil"/>
            </w:tcBorders>
            <w:shd w:val="clear" w:color="000000" w:fill="C6E0B4"/>
            <w:noWrap/>
            <w:vAlign w:val="center"/>
            <w:hideMark/>
          </w:tcPr>
          <w:p w14:paraId="56F8526D"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23 854 715</w:t>
            </w:r>
          </w:p>
        </w:tc>
        <w:tc>
          <w:tcPr>
            <w:tcW w:w="1554" w:type="dxa"/>
            <w:tcBorders>
              <w:top w:val="nil"/>
              <w:left w:val="single" w:sz="8" w:space="0" w:color="auto"/>
              <w:bottom w:val="nil"/>
              <w:right w:val="nil"/>
            </w:tcBorders>
            <w:shd w:val="clear" w:color="000000" w:fill="C6E0B4"/>
            <w:noWrap/>
            <w:vAlign w:val="center"/>
            <w:hideMark/>
          </w:tcPr>
          <w:p w14:paraId="0F7F0C79"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351 036</w:t>
            </w:r>
          </w:p>
        </w:tc>
        <w:tc>
          <w:tcPr>
            <w:tcW w:w="1422" w:type="dxa"/>
            <w:tcBorders>
              <w:top w:val="nil"/>
              <w:left w:val="single" w:sz="8" w:space="0" w:color="auto"/>
              <w:bottom w:val="nil"/>
              <w:right w:val="nil"/>
            </w:tcBorders>
            <w:shd w:val="clear" w:color="000000" w:fill="C6E0B4"/>
            <w:noWrap/>
            <w:vAlign w:val="center"/>
            <w:hideMark/>
          </w:tcPr>
          <w:p w14:paraId="180E2E83"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68</w:t>
            </w:r>
          </w:p>
        </w:tc>
        <w:tc>
          <w:tcPr>
            <w:tcW w:w="1418" w:type="dxa"/>
            <w:tcBorders>
              <w:top w:val="nil"/>
              <w:left w:val="single" w:sz="8" w:space="0" w:color="auto"/>
              <w:bottom w:val="nil"/>
              <w:right w:val="nil"/>
            </w:tcBorders>
            <w:shd w:val="clear" w:color="000000" w:fill="C6E0B4"/>
            <w:noWrap/>
            <w:vAlign w:val="center"/>
            <w:hideMark/>
          </w:tcPr>
          <w:p w14:paraId="731B2609"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742 461</w:t>
            </w:r>
          </w:p>
        </w:tc>
        <w:tc>
          <w:tcPr>
            <w:tcW w:w="1276" w:type="dxa"/>
            <w:tcBorders>
              <w:top w:val="nil"/>
              <w:left w:val="single" w:sz="8" w:space="0" w:color="auto"/>
              <w:bottom w:val="nil"/>
              <w:right w:val="nil"/>
            </w:tcBorders>
            <w:shd w:val="clear" w:color="000000" w:fill="C6E0B4"/>
            <w:noWrap/>
            <w:vAlign w:val="center"/>
            <w:hideMark/>
          </w:tcPr>
          <w:p w14:paraId="738F2E4A" w14:textId="77777777" w:rsidR="0026278E" w:rsidRPr="0026278E" w:rsidRDefault="0026278E" w:rsidP="007F3552">
            <w:pPr>
              <w:autoSpaceDE/>
              <w:autoSpaceDN/>
              <w:spacing w:before="0" w:after="0" w:line="240" w:lineRule="auto"/>
              <w:jc w:val="center"/>
              <w:rPr>
                <w:rFonts w:cs="Calibri"/>
                <w:b/>
                <w:bCs/>
                <w:color w:val="000000"/>
                <w:sz w:val="20"/>
              </w:rPr>
            </w:pPr>
            <w:r w:rsidRPr="0026278E">
              <w:rPr>
                <w:rFonts w:cs="Calibri"/>
                <w:b/>
                <w:bCs/>
                <w:color w:val="000000"/>
                <w:sz w:val="20"/>
              </w:rPr>
              <w:t>32</w:t>
            </w:r>
          </w:p>
        </w:tc>
      </w:tr>
      <w:tr w:rsidR="007F3552" w:rsidRPr="005A31CC" w14:paraId="5F8B30B9" w14:textId="77777777" w:rsidTr="007F3552">
        <w:trPr>
          <w:trHeight w:val="345"/>
        </w:trPr>
        <w:tc>
          <w:tcPr>
            <w:tcW w:w="2977" w:type="dxa"/>
            <w:tcBorders>
              <w:top w:val="nil"/>
              <w:left w:val="nil"/>
              <w:bottom w:val="nil"/>
              <w:right w:val="nil"/>
            </w:tcBorders>
            <w:shd w:val="clear" w:color="000000" w:fill="D9D9D9"/>
            <w:noWrap/>
            <w:vAlign w:val="center"/>
          </w:tcPr>
          <w:p w14:paraId="711E6501" w14:textId="4C05AF72" w:rsidR="007F3552" w:rsidRPr="005A31CC" w:rsidRDefault="007F3552" w:rsidP="007F3552">
            <w:pPr>
              <w:autoSpaceDE/>
              <w:autoSpaceDN/>
              <w:spacing w:before="0" w:after="0" w:line="240" w:lineRule="auto"/>
              <w:jc w:val="center"/>
              <w:rPr>
                <w:rFonts w:cs="Calibri"/>
                <w:b/>
                <w:bCs/>
                <w:color w:val="000000"/>
                <w:sz w:val="20"/>
              </w:rPr>
            </w:pPr>
            <w:r w:rsidRPr="005A31CC">
              <w:rPr>
                <w:rFonts w:cs="Calibri"/>
                <w:b/>
                <w:bCs/>
                <w:color w:val="000000"/>
                <w:sz w:val="20"/>
              </w:rPr>
              <w:t>1 lakásra jutó</w:t>
            </w:r>
          </w:p>
        </w:tc>
        <w:tc>
          <w:tcPr>
            <w:tcW w:w="1418" w:type="dxa"/>
            <w:tcBorders>
              <w:top w:val="nil"/>
              <w:left w:val="single" w:sz="8" w:space="0" w:color="auto"/>
              <w:bottom w:val="single" w:sz="8" w:space="0" w:color="auto"/>
              <w:right w:val="nil"/>
            </w:tcBorders>
            <w:shd w:val="clear" w:color="000000" w:fill="C6E0B4"/>
            <w:noWrap/>
            <w:vAlign w:val="center"/>
          </w:tcPr>
          <w:p w14:paraId="3615C7FB" w14:textId="48792C6C" w:rsidR="007F3552" w:rsidRPr="005A31CC" w:rsidRDefault="007F3552" w:rsidP="007F3552">
            <w:pPr>
              <w:autoSpaceDE/>
              <w:autoSpaceDN/>
              <w:spacing w:before="0" w:after="0" w:line="240" w:lineRule="auto"/>
              <w:jc w:val="center"/>
              <w:rPr>
                <w:rFonts w:cs="Calibri"/>
                <w:b/>
                <w:bCs/>
                <w:color w:val="000000"/>
                <w:sz w:val="20"/>
              </w:rPr>
            </w:pPr>
            <w:r w:rsidRPr="005A31CC">
              <w:rPr>
                <w:rFonts w:cs="Calibri"/>
                <w:b/>
                <w:bCs/>
                <w:color w:val="000000"/>
                <w:sz w:val="20"/>
              </w:rPr>
              <w:t>537</w:t>
            </w:r>
            <w:r w:rsidR="005A31CC" w:rsidRPr="005A31CC">
              <w:rPr>
                <w:rFonts w:cs="Calibri"/>
                <w:b/>
                <w:bCs/>
                <w:color w:val="000000"/>
                <w:sz w:val="20"/>
              </w:rPr>
              <w:t>3</w:t>
            </w:r>
          </w:p>
        </w:tc>
        <w:tc>
          <w:tcPr>
            <w:tcW w:w="1554" w:type="dxa"/>
            <w:tcBorders>
              <w:top w:val="nil"/>
              <w:left w:val="single" w:sz="8" w:space="0" w:color="auto"/>
              <w:bottom w:val="single" w:sz="8" w:space="0" w:color="auto"/>
              <w:right w:val="nil"/>
            </w:tcBorders>
            <w:shd w:val="clear" w:color="000000" w:fill="C6E0B4"/>
            <w:noWrap/>
            <w:vAlign w:val="center"/>
          </w:tcPr>
          <w:p w14:paraId="7CA5C252" w14:textId="104A9223" w:rsidR="007F3552" w:rsidRPr="005A31CC" w:rsidRDefault="007F3552" w:rsidP="007F3552">
            <w:pPr>
              <w:autoSpaceDE/>
              <w:autoSpaceDN/>
              <w:spacing w:before="0" w:after="0" w:line="240" w:lineRule="auto"/>
              <w:jc w:val="center"/>
              <w:rPr>
                <w:rFonts w:cs="Calibri"/>
                <w:b/>
                <w:bCs/>
                <w:color w:val="000000"/>
                <w:sz w:val="20"/>
              </w:rPr>
            </w:pPr>
            <w:r w:rsidRPr="005A31CC">
              <w:rPr>
                <w:rFonts w:cs="Calibri"/>
                <w:b/>
                <w:bCs/>
                <w:color w:val="000000"/>
                <w:sz w:val="20"/>
              </w:rPr>
              <w:t>79</w:t>
            </w:r>
          </w:p>
        </w:tc>
        <w:tc>
          <w:tcPr>
            <w:tcW w:w="1422" w:type="dxa"/>
            <w:tcBorders>
              <w:top w:val="nil"/>
              <w:left w:val="single" w:sz="8" w:space="0" w:color="auto"/>
              <w:bottom w:val="single" w:sz="8" w:space="0" w:color="auto"/>
              <w:right w:val="nil"/>
            </w:tcBorders>
            <w:shd w:val="clear" w:color="000000" w:fill="C6E0B4"/>
            <w:noWrap/>
            <w:vAlign w:val="center"/>
          </w:tcPr>
          <w:p w14:paraId="7E1CB155" w14:textId="3C53E86E" w:rsidR="007F3552" w:rsidRPr="005A31CC" w:rsidRDefault="007F3552" w:rsidP="007F3552">
            <w:pPr>
              <w:autoSpaceDE/>
              <w:autoSpaceDN/>
              <w:spacing w:before="0" w:after="0" w:line="240" w:lineRule="auto"/>
              <w:jc w:val="center"/>
              <w:rPr>
                <w:rFonts w:cs="Calibri"/>
                <w:b/>
                <w:bCs/>
                <w:color w:val="000000"/>
                <w:sz w:val="20"/>
              </w:rPr>
            </w:pPr>
          </w:p>
        </w:tc>
        <w:tc>
          <w:tcPr>
            <w:tcW w:w="1418" w:type="dxa"/>
            <w:tcBorders>
              <w:top w:val="nil"/>
              <w:left w:val="single" w:sz="8" w:space="0" w:color="auto"/>
              <w:bottom w:val="single" w:sz="8" w:space="0" w:color="auto"/>
              <w:right w:val="nil"/>
            </w:tcBorders>
            <w:shd w:val="clear" w:color="000000" w:fill="C6E0B4"/>
            <w:noWrap/>
            <w:vAlign w:val="center"/>
          </w:tcPr>
          <w:p w14:paraId="2DCBF94C" w14:textId="17D5014A" w:rsidR="007F3552" w:rsidRPr="005A31CC" w:rsidRDefault="007F3552" w:rsidP="007F3552">
            <w:pPr>
              <w:autoSpaceDE/>
              <w:autoSpaceDN/>
              <w:spacing w:before="0" w:after="0" w:line="240" w:lineRule="auto"/>
              <w:jc w:val="center"/>
              <w:rPr>
                <w:rFonts w:cs="Calibri"/>
                <w:b/>
                <w:bCs/>
                <w:color w:val="000000"/>
                <w:sz w:val="20"/>
              </w:rPr>
            </w:pPr>
            <w:r w:rsidRPr="005A31CC">
              <w:rPr>
                <w:rFonts w:cs="Calibri"/>
                <w:b/>
                <w:bCs/>
                <w:color w:val="000000"/>
                <w:sz w:val="20"/>
              </w:rPr>
              <w:t>167</w:t>
            </w:r>
          </w:p>
        </w:tc>
        <w:tc>
          <w:tcPr>
            <w:tcW w:w="1276" w:type="dxa"/>
            <w:tcBorders>
              <w:top w:val="nil"/>
              <w:left w:val="single" w:sz="8" w:space="0" w:color="auto"/>
              <w:bottom w:val="single" w:sz="8" w:space="0" w:color="auto"/>
              <w:right w:val="nil"/>
            </w:tcBorders>
            <w:shd w:val="clear" w:color="000000" w:fill="C6E0B4"/>
            <w:noWrap/>
            <w:vAlign w:val="center"/>
          </w:tcPr>
          <w:p w14:paraId="0527B659" w14:textId="7A0895C8" w:rsidR="007F3552" w:rsidRPr="005A31CC" w:rsidRDefault="007F3552" w:rsidP="007F3552">
            <w:pPr>
              <w:autoSpaceDE/>
              <w:autoSpaceDN/>
              <w:spacing w:before="0" w:after="0" w:line="240" w:lineRule="auto"/>
              <w:jc w:val="center"/>
              <w:rPr>
                <w:rFonts w:cs="Calibri"/>
                <w:b/>
                <w:bCs/>
                <w:color w:val="000000"/>
                <w:sz w:val="20"/>
              </w:rPr>
            </w:pPr>
          </w:p>
        </w:tc>
      </w:tr>
    </w:tbl>
    <w:p w14:paraId="06CA462C" w14:textId="3535D0EE" w:rsidR="009D2986" w:rsidRDefault="007F3552" w:rsidP="007F3552">
      <w:pPr>
        <w:pStyle w:val="kepalairas"/>
      </w:pPr>
      <w:r>
        <w:t xml:space="preserve">Beruházási költség és megtérülés – </w:t>
      </w:r>
      <w:r w:rsidRPr="007F3552">
        <w:t xml:space="preserve">Épület </w:t>
      </w:r>
      <w:proofErr w:type="spellStart"/>
      <w:r w:rsidRPr="007F3552">
        <w:t>hőtechnikai</w:t>
      </w:r>
      <w:proofErr w:type="spellEnd"/>
      <w:r w:rsidRPr="007F3552">
        <w:t xml:space="preserve"> felújítás lakóépületben (gázfűtésű)</w:t>
      </w:r>
    </w:p>
    <w:tbl>
      <w:tblPr>
        <w:tblW w:w="10065" w:type="dxa"/>
        <w:tblInd w:w="-567" w:type="dxa"/>
        <w:tblCellMar>
          <w:left w:w="70" w:type="dxa"/>
          <w:right w:w="70" w:type="dxa"/>
        </w:tblCellMar>
        <w:tblLook w:val="04A0" w:firstRow="1" w:lastRow="0" w:firstColumn="1" w:lastColumn="0" w:noHBand="0" w:noVBand="1"/>
      </w:tblPr>
      <w:tblGrid>
        <w:gridCol w:w="2977"/>
        <w:gridCol w:w="1418"/>
        <w:gridCol w:w="1554"/>
        <w:gridCol w:w="1422"/>
        <w:gridCol w:w="1418"/>
        <w:gridCol w:w="1276"/>
      </w:tblGrid>
      <w:tr w:rsidR="00914BE9" w:rsidRPr="005A31CC" w14:paraId="5B722E31" w14:textId="77777777" w:rsidTr="003624F0">
        <w:tc>
          <w:tcPr>
            <w:tcW w:w="2977" w:type="dxa"/>
            <w:vMerge w:val="restart"/>
            <w:tcBorders>
              <w:top w:val="nil"/>
              <w:left w:val="nil"/>
              <w:right w:val="nil"/>
            </w:tcBorders>
            <w:shd w:val="clear" w:color="000000" w:fill="D9D9D9"/>
            <w:vAlign w:val="center"/>
            <w:hideMark/>
          </w:tcPr>
          <w:p w14:paraId="240CF9C1" w14:textId="77777777" w:rsidR="00914BE9" w:rsidRPr="0026278E" w:rsidRDefault="00914BE9" w:rsidP="007F3552">
            <w:pPr>
              <w:autoSpaceDE/>
              <w:autoSpaceDN/>
              <w:spacing w:before="0" w:after="0" w:line="240" w:lineRule="auto"/>
              <w:jc w:val="center"/>
              <w:rPr>
                <w:rFonts w:cs="Calibri"/>
                <w:b/>
                <w:bCs/>
                <w:sz w:val="20"/>
              </w:rPr>
            </w:pPr>
            <w:r w:rsidRPr="0026278E">
              <w:rPr>
                <w:rFonts w:cs="Calibri"/>
                <w:b/>
                <w:bCs/>
                <w:sz w:val="20"/>
              </w:rPr>
              <w:t xml:space="preserve">Az energiahatékonysági fejlesztések és az </w:t>
            </w:r>
            <w:proofErr w:type="spellStart"/>
            <w:r w:rsidRPr="0026278E">
              <w:rPr>
                <w:rFonts w:cs="Calibri"/>
                <w:b/>
                <w:bCs/>
                <w:sz w:val="20"/>
              </w:rPr>
              <w:t>energiamegtakarítás</w:t>
            </w:r>
            <w:proofErr w:type="spellEnd"/>
            <w:r w:rsidRPr="0026278E">
              <w:rPr>
                <w:rFonts w:cs="Calibri"/>
                <w:b/>
                <w:bCs/>
                <w:sz w:val="20"/>
              </w:rPr>
              <w:t xml:space="preserve"> összesítése</w:t>
            </w:r>
          </w:p>
        </w:tc>
        <w:tc>
          <w:tcPr>
            <w:tcW w:w="1418" w:type="dxa"/>
            <w:tcBorders>
              <w:top w:val="nil"/>
              <w:left w:val="nil"/>
              <w:bottom w:val="nil"/>
              <w:right w:val="nil"/>
            </w:tcBorders>
            <w:shd w:val="clear" w:color="auto" w:fill="FFFF99"/>
            <w:vAlign w:val="center"/>
            <w:hideMark/>
          </w:tcPr>
          <w:p w14:paraId="20D61CAF" w14:textId="2B06E65E" w:rsidR="00914BE9" w:rsidRPr="0026278E" w:rsidRDefault="00914BE9" w:rsidP="007F3552">
            <w:pPr>
              <w:autoSpaceDE/>
              <w:autoSpaceDN/>
              <w:spacing w:before="0" w:after="0" w:line="240" w:lineRule="auto"/>
              <w:jc w:val="center"/>
              <w:rPr>
                <w:rFonts w:cs="Calibri"/>
                <w:b/>
                <w:bCs/>
                <w:sz w:val="20"/>
              </w:rPr>
            </w:pPr>
            <w:r w:rsidRPr="005A31CC">
              <w:rPr>
                <w:rFonts w:cs="Calibri"/>
                <w:b/>
                <w:bCs/>
                <w:sz w:val="20"/>
              </w:rPr>
              <w:t>Beruházási költség</w:t>
            </w:r>
          </w:p>
        </w:tc>
        <w:tc>
          <w:tcPr>
            <w:tcW w:w="1554" w:type="dxa"/>
            <w:tcBorders>
              <w:top w:val="nil"/>
              <w:left w:val="nil"/>
              <w:bottom w:val="nil"/>
              <w:right w:val="nil"/>
            </w:tcBorders>
            <w:shd w:val="clear" w:color="auto" w:fill="FFFF99"/>
            <w:vAlign w:val="center"/>
            <w:hideMark/>
          </w:tcPr>
          <w:p w14:paraId="5117288F" w14:textId="6B60DF17" w:rsidR="00914BE9" w:rsidRPr="0026278E" w:rsidRDefault="00914BE9" w:rsidP="007F3552">
            <w:pPr>
              <w:autoSpaceDE/>
              <w:autoSpaceDN/>
              <w:spacing w:before="0" w:after="0" w:line="240" w:lineRule="auto"/>
              <w:jc w:val="center"/>
              <w:rPr>
                <w:rFonts w:cs="Calibri"/>
                <w:b/>
                <w:bCs/>
                <w:sz w:val="20"/>
              </w:rPr>
            </w:pPr>
            <w:r w:rsidRPr="005A31CC">
              <w:rPr>
                <w:rFonts w:cs="Calibri"/>
                <w:b/>
                <w:bCs/>
                <w:sz w:val="20"/>
              </w:rPr>
              <w:t>Megtakarítás rezsicsökkentett energia áron</w:t>
            </w:r>
          </w:p>
        </w:tc>
        <w:tc>
          <w:tcPr>
            <w:tcW w:w="1422" w:type="dxa"/>
            <w:tcBorders>
              <w:top w:val="nil"/>
              <w:left w:val="nil"/>
              <w:bottom w:val="nil"/>
              <w:right w:val="nil"/>
            </w:tcBorders>
            <w:shd w:val="clear" w:color="auto" w:fill="FFFF99"/>
            <w:vAlign w:val="center"/>
            <w:hideMark/>
          </w:tcPr>
          <w:p w14:paraId="007BDEA1" w14:textId="15C81FFA" w:rsidR="00914BE9" w:rsidRPr="0026278E" w:rsidRDefault="00914BE9" w:rsidP="007F3552">
            <w:pPr>
              <w:autoSpaceDE/>
              <w:autoSpaceDN/>
              <w:spacing w:before="0" w:after="0" w:line="240" w:lineRule="auto"/>
              <w:jc w:val="center"/>
              <w:rPr>
                <w:rFonts w:cs="Calibri"/>
                <w:b/>
                <w:bCs/>
                <w:sz w:val="20"/>
              </w:rPr>
            </w:pPr>
            <w:r w:rsidRPr="005A31CC">
              <w:rPr>
                <w:rFonts w:cs="Calibri"/>
                <w:b/>
                <w:bCs/>
                <w:sz w:val="20"/>
              </w:rPr>
              <w:t>Egyszerű megtérülési idő</w:t>
            </w:r>
          </w:p>
        </w:tc>
        <w:tc>
          <w:tcPr>
            <w:tcW w:w="1418" w:type="dxa"/>
            <w:tcBorders>
              <w:top w:val="nil"/>
              <w:left w:val="nil"/>
              <w:bottom w:val="nil"/>
              <w:right w:val="nil"/>
            </w:tcBorders>
            <w:shd w:val="clear" w:color="auto" w:fill="FFFF99"/>
            <w:vAlign w:val="center"/>
            <w:hideMark/>
          </w:tcPr>
          <w:p w14:paraId="2B187073" w14:textId="6B2BB046" w:rsidR="00914BE9" w:rsidRPr="0026278E" w:rsidRDefault="00914BE9" w:rsidP="007F3552">
            <w:pPr>
              <w:autoSpaceDE/>
              <w:autoSpaceDN/>
              <w:spacing w:before="0" w:after="0" w:line="240" w:lineRule="auto"/>
              <w:jc w:val="center"/>
              <w:rPr>
                <w:rFonts w:cs="Calibri"/>
                <w:b/>
                <w:bCs/>
                <w:sz w:val="20"/>
              </w:rPr>
            </w:pPr>
            <w:r w:rsidRPr="005A31CC">
              <w:rPr>
                <w:rFonts w:cs="Calibri"/>
                <w:b/>
                <w:bCs/>
                <w:sz w:val="20"/>
              </w:rPr>
              <w:t>Megtakarítás piaci energia áron</w:t>
            </w:r>
          </w:p>
        </w:tc>
        <w:tc>
          <w:tcPr>
            <w:tcW w:w="1276" w:type="dxa"/>
            <w:tcBorders>
              <w:top w:val="nil"/>
              <w:left w:val="nil"/>
              <w:bottom w:val="nil"/>
              <w:right w:val="nil"/>
            </w:tcBorders>
            <w:shd w:val="clear" w:color="auto" w:fill="FFFF99"/>
            <w:vAlign w:val="center"/>
            <w:hideMark/>
          </w:tcPr>
          <w:p w14:paraId="639EBAD3" w14:textId="25DA6D34" w:rsidR="00914BE9" w:rsidRPr="0026278E" w:rsidRDefault="00914BE9" w:rsidP="007F3552">
            <w:pPr>
              <w:autoSpaceDE/>
              <w:autoSpaceDN/>
              <w:spacing w:before="0" w:after="0" w:line="240" w:lineRule="auto"/>
              <w:jc w:val="center"/>
              <w:rPr>
                <w:rFonts w:cs="Calibri"/>
                <w:b/>
                <w:bCs/>
                <w:sz w:val="20"/>
              </w:rPr>
            </w:pPr>
            <w:r w:rsidRPr="005A31CC">
              <w:rPr>
                <w:rFonts w:cs="Calibri"/>
                <w:b/>
                <w:bCs/>
                <w:sz w:val="20"/>
              </w:rPr>
              <w:t>Egyszerű megtérülési idő</w:t>
            </w:r>
          </w:p>
        </w:tc>
      </w:tr>
      <w:tr w:rsidR="00914BE9" w:rsidRPr="005A31CC" w14:paraId="1FF1536B" w14:textId="77777777" w:rsidTr="003624F0">
        <w:tc>
          <w:tcPr>
            <w:tcW w:w="2977" w:type="dxa"/>
            <w:vMerge/>
            <w:tcBorders>
              <w:left w:val="nil"/>
              <w:bottom w:val="nil"/>
              <w:right w:val="nil"/>
            </w:tcBorders>
            <w:shd w:val="clear" w:color="000000" w:fill="D9D9D9"/>
            <w:vAlign w:val="center"/>
            <w:hideMark/>
          </w:tcPr>
          <w:p w14:paraId="466307C9" w14:textId="1B31CA1B" w:rsidR="00914BE9" w:rsidRPr="0026278E" w:rsidRDefault="00914BE9" w:rsidP="007F3552">
            <w:pPr>
              <w:autoSpaceDE/>
              <w:autoSpaceDN/>
              <w:spacing w:before="0" w:after="0" w:line="240" w:lineRule="auto"/>
              <w:jc w:val="center"/>
              <w:rPr>
                <w:rFonts w:cs="Calibri"/>
                <w:b/>
                <w:bCs/>
                <w:sz w:val="20"/>
              </w:rPr>
            </w:pPr>
          </w:p>
        </w:tc>
        <w:tc>
          <w:tcPr>
            <w:tcW w:w="1418" w:type="dxa"/>
            <w:tcBorders>
              <w:top w:val="nil"/>
              <w:left w:val="nil"/>
              <w:bottom w:val="nil"/>
              <w:right w:val="nil"/>
            </w:tcBorders>
            <w:shd w:val="clear" w:color="auto" w:fill="FFFF99"/>
            <w:noWrap/>
            <w:vAlign w:val="center"/>
            <w:hideMark/>
          </w:tcPr>
          <w:p w14:paraId="602E78C4" w14:textId="4D33008C"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 xml:space="preserve">bruttó </w:t>
            </w:r>
            <w:proofErr w:type="spellStart"/>
            <w:r w:rsidRPr="005A31CC">
              <w:rPr>
                <w:rFonts w:cs="Calibri"/>
                <w:b/>
                <w:bCs/>
                <w:color w:val="000000"/>
                <w:sz w:val="20"/>
              </w:rPr>
              <w:t>EFt</w:t>
            </w:r>
            <w:proofErr w:type="spellEnd"/>
          </w:p>
        </w:tc>
        <w:tc>
          <w:tcPr>
            <w:tcW w:w="1554" w:type="dxa"/>
            <w:tcBorders>
              <w:top w:val="nil"/>
              <w:left w:val="nil"/>
              <w:bottom w:val="nil"/>
              <w:right w:val="nil"/>
            </w:tcBorders>
            <w:shd w:val="clear" w:color="auto" w:fill="FFFF99"/>
            <w:noWrap/>
            <w:vAlign w:val="center"/>
            <w:hideMark/>
          </w:tcPr>
          <w:p w14:paraId="71DBF3BB" w14:textId="42F4262B"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 xml:space="preserve">bruttó </w:t>
            </w:r>
            <w:proofErr w:type="spellStart"/>
            <w:r w:rsidRPr="005A31CC">
              <w:rPr>
                <w:rFonts w:cs="Calibri"/>
                <w:b/>
                <w:bCs/>
                <w:color w:val="000000"/>
                <w:sz w:val="20"/>
              </w:rPr>
              <w:t>EFt</w:t>
            </w:r>
            <w:proofErr w:type="spellEnd"/>
            <w:r w:rsidRPr="005A31CC">
              <w:rPr>
                <w:rFonts w:cs="Calibri"/>
                <w:b/>
                <w:bCs/>
                <w:color w:val="000000"/>
                <w:sz w:val="20"/>
              </w:rPr>
              <w:t>/év</w:t>
            </w:r>
          </w:p>
        </w:tc>
        <w:tc>
          <w:tcPr>
            <w:tcW w:w="1422" w:type="dxa"/>
            <w:tcBorders>
              <w:top w:val="nil"/>
              <w:left w:val="nil"/>
              <w:bottom w:val="nil"/>
              <w:right w:val="nil"/>
            </w:tcBorders>
            <w:shd w:val="clear" w:color="auto" w:fill="FFFF99"/>
            <w:noWrap/>
            <w:vAlign w:val="center"/>
            <w:hideMark/>
          </w:tcPr>
          <w:p w14:paraId="1E2248CB" w14:textId="7BC5E13B"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év</w:t>
            </w:r>
          </w:p>
        </w:tc>
        <w:tc>
          <w:tcPr>
            <w:tcW w:w="1418" w:type="dxa"/>
            <w:tcBorders>
              <w:top w:val="nil"/>
              <w:left w:val="nil"/>
              <w:bottom w:val="nil"/>
              <w:right w:val="nil"/>
            </w:tcBorders>
            <w:shd w:val="clear" w:color="auto" w:fill="FFFF99"/>
            <w:noWrap/>
            <w:vAlign w:val="center"/>
            <w:hideMark/>
          </w:tcPr>
          <w:p w14:paraId="244F50F7" w14:textId="552E1AE3"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 xml:space="preserve">bruttó </w:t>
            </w:r>
            <w:proofErr w:type="spellStart"/>
            <w:r w:rsidRPr="005A31CC">
              <w:rPr>
                <w:rFonts w:cs="Calibri"/>
                <w:b/>
                <w:bCs/>
                <w:color w:val="000000"/>
                <w:sz w:val="20"/>
              </w:rPr>
              <w:t>EFt</w:t>
            </w:r>
            <w:proofErr w:type="spellEnd"/>
            <w:r w:rsidRPr="005A31CC">
              <w:rPr>
                <w:rFonts w:cs="Calibri"/>
                <w:b/>
                <w:bCs/>
                <w:color w:val="000000"/>
                <w:sz w:val="20"/>
              </w:rPr>
              <w:t>/év</w:t>
            </w:r>
          </w:p>
        </w:tc>
        <w:tc>
          <w:tcPr>
            <w:tcW w:w="1276" w:type="dxa"/>
            <w:tcBorders>
              <w:top w:val="nil"/>
              <w:left w:val="nil"/>
              <w:bottom w:val="nil"/>
              <w:right w:val="nil"/>
            </w:tcBorders>
            <w:shd w:val="clear" w:color="auto" w:fill="FFFF99"/>
            <w:noWrap/>
            <w:vAlign w:val="center"/>
            <w:hideMark/>
          </w:tcPr>
          <w:p w14:paraId="11E1D692" w14:textId="43D5EB36"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év</w:t>
            </w:r>
          </w:p>
        </w:tc>
      </w:tr>
      <w:tr w:rsidR="005114F0" w:rsidRPr="005A31CC" w14:paraId="4FCCC5FA" w14:textId="77777777" w:rsidTr="007F3552">
        <w:trPr>
          <w:trHeight w:val="330"/>
        </w:trPr>
        <w:tc>
          <w:tcPr>
            <w:tcW w:w="2977" w:type="dxa"/>
            <w:tcBorders>
              <w:top w:val="nil"/>
              <w:left w:val="single" w:sz="4" w:space="0" w:color="auto"/>
              <w:bottom w:val="single" w:sz="4" w:space="0" w:color="auto"/>
              <w:right w:val="nil"/>
            </w:tcBorders>
            <w:shd w:val="clear" w:color="auto" w:fill="auto"/>
            <w:noWrap/>
            <w:vAlign w:val="center"/>
            <w:hideMark/>
          </w:tcPr>
          <w:p w14:paraId="72ADCF03" w14:textId="3EAEC8A9" w:rsidR="005114F0" w:rsidRPr="0026278E" w:rsidRDefault="005114F0" w:rsidP="007F3552">
            <w:pPr>
              <w:autoSpaceDE/>
              <w:autoSpaceDN/>
              <w:spacing w:before="0" w:after="0" w:line="240" w:lineRule="auto"/>
              <w:jc w:val="center"/>
              <w:rPr>
                <w:rFonts w:cs="Calibri"/>
                <w:b/>
                <w:bCs/>
                <w:color w:val="000000"/>
                <w:sz w:val="20"/>
              </w:rPr>
            </w:pPr>
            <w:r w:rsidRPr="0026278E">
              <w:rPr>
                <w:rFonts w:cs="Calibri"/>
                <w:b/>
                <w:bCs/>
                <w:color w:val="000000"/>
                <w:sz w:val="20"/>
              </w:rPr>
              <w:t xml:space="preserve">Központi ellátás (VRF) </w:t>
            </w:r>
            <w:r w:rsidR="00C45A7D" w:rsidRPr="005A31CC">
              <w:rPr>
                <w:rFonts w:cs="Calibri"/>
                <w:b/>
                <w:bCs/>
                <w:color w:val="000000"/>
                <w:sz w:val="20"/>
              </w:rPr>
              <w:t>/ db</w:t>
            </w:r>
          </w:p>
        </w:tc>
        <w:tc>
          <w:tcPr>
            <w:tcW w:w="1418" w:type="dxa"/>
            <w:tcBorders>
              <w:top w:val="nil"/>
              <w:left w:val="single" w:sz="8" w:space="0" w:color="auto"/>
              <w:bottom w:val="single" w:sz="4" w:space="0" w:color="auto"/>
              <w:right w:val="single" w:sz="4" w:space="0" w:color="auto"/>
            </w:tcBorders>
            <w:shd w:val="clear" w:color="auto" w:fill="FFFF99"/>
            <w:noWrap/>
            <w:vAlign w:val="center"/>
            <w:hideMark/>
          </w:tcPr>
          <w:p w14:paraId="10EB94D6" w14:textId="0F978323"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48 575</w:t>
            </w:r>
          </w:p>
        </w:tc>
        <w:tc>
          <w:tcPr>
            <w:tcW w:w="1554" w:type="dxa"/>
            <w:tcBorders>
              <w:top w:val="nil"/>
              <w:left w:val="single" w:sz="8" w:space="0" w:color="auto"/>
              <w:bottom w:val="single" w:sz="4" w:space="0" w:color="auto"/>
              <w:right w:val="single" w:sz="4" w:space="0" w:color="auto"/>
            </w:tcBorders>
            <w:shd w:val="clear" w:color="auto" w:fill="FFFF99"/>
            <w:noWrap/>
            <w:vAlign w:val="center"/>
            <w:hideMark/>
          </w:tcPr>
          <w:p w14:paraId="38B99B34" w14:textId="428E7CC1"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958</w:t>
            </w:r>
          </w:p>
        </w:tc>
        <w:tc>
          <w:tcPr>
            <w:tcW w:w="1422" w:type="dxa"/>
            <w:tcBorders>
              <w:top w:val="nil"/>
              <w:left w:val="single" w:sz="8" w:space="0" w:color="auto"/>
              <w:bottom w:val="single" w:sz="4" w:space="0" w:color="auto"/>
              <w:right w:val="single" w:sz="4" w:space="0" w:color="auto"/>
            </w:tcBorders>
            <w:shd w:val="clear" w:color="auto" w:fill="FFFF99"/>
            <w:noWrap/>
            <w:vAlign w:val="center"/>
            <w:hideMark/>
          </w:tcPr>
          <w:p w14:paraId="4383DBFA" w14:textId="6F54C3F0"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51</w:t>
            </w:r>
          </w:p>
        </w:tc>
        <w:tc>
          <w:tcPr>
            <w:tcW w:w="1418" w:type="dxa"/>
            <w:tcBorders>
              <w:top w:val="nil"/>
              <w:left w:val="single" w:sz="8" w:space="0" w:color="auto"/>
              <w:bottom w:val="single" w:sz="4" w:space="0" w:color="auto"/>
              <w:right w:val="single" w:sz="4" w:space="0" w:color="auto"/>
            </w:tcBorders>
            <w:shd w:val="clear" w:color="auto" w:fill="FFFF99"/>
            <w:noWrap/>
            <w:vAlign w:val="center"/>
            <w:hideMark/>
          </w:tcPr>
          <w:p w14:paraId="349AE79A" w14:textId="21EDC780"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3 397</w:t>
            </w:r>
          </w:p>
        </w:tc>
        <w:tc>
          <w:tcPr>
            <w:tcW w:w="1276" w:type="dxa"/>
            <w:tcBorders>
              <w:top w:val="nil"/>
              <w:left w:val="single" w:sz="8" w:space="0" w:color="auto"/>
              <w:bottom w:val="single" w:sz="4" w:space="0" w:color="auto"/>
              <w:right w:val="single" w:sz="4" w:space="0" w:color="auto"/>
            </w:tcBorders>
            <w:shd w:val="clear" w:color="auto" w:fill="FFFF99"/>
            <w:noWrap/>
            <w:vAlign w:val="center"/>
            <w:hideMark/>
          </w:tcPr>
          <w:p w14:paraId="35B3DA5C" w14:textId="3A0B2FF9"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14</w:t>
            </w:r>
          </w:p>
        </w:tc>
      </w:tr>
      <w:tr w:rsidR="005A31CC" w:rsidRPr="005A31CC" w14:paraId="1F399601" w14:textId="77777777" w:rsidTr="007F3552">
        <w:trPr>
          <w:trHeight w:val="345"/>
        </w:trPr>
        <w:tc>
          <w:tcPr>
            <w:tcW w:w="2977" w:type="dxa"/>
            <w:tcBorders>
              <w:top w:val="nil"/>
              <w:left w:val="nil"/>
              <w:bottom w:val="nil"/>
              <w:right w:val="nil"/>
            </w:tcBorders>
            <w:shd w:val="clear" w:color="000000" w:fill="D9D9D9"/>
            <w:noWrap/>
            <w:vAlign w:val="center"/>
            <w:hideMark/>
          </w:tcPr>
          <w:p w14:paraId="7FBDF99A" w14:textId="7719FE98" w:rsidR="005A31CC" w:rsidRPr="0026278E" w:rsidRDefault="00B65C47" w:rsidP="005A31CC">
            <w:pPr>
              <w:autoSpaceDE/>
              <w:autoSpaceDN/>
              <w:spacing w:before="0" w:after="0" w:line="240" w:lineRule="auto"/>
              <w:jc w:val="center"/>
              <w:rPr>
                <w:rFonts w:cs="Calibri"/>
                <w:b/>
                <w:bCs/>
                <w:color w:val="000000"/>
                <w:sz w:val="20"/>
              </w:rPr>
            </w:pPr>
            <w:r>
              <w:rPr>
                <w:rFonts w:cs="Calibri"/>
                <w:b/>
                <w:bCs/>
                <w:color w:val="000000"/>
                <w:sz w:val="20"/>
              </w:rPr>
              <w:t>12</w:t>
            </w:r>
            <w:r w:rsidR="005A31CC" w:rsidRPr="005A31CC">
              <w:rPr>
                <w:rFonts w:cs="Calibri"/>
                <w:b/>
                <w:bCs/>
                <w:color w:val="000000"/>
                <w:sz w:val="20"/>
              </w:rPr>
              <w:t>0 é</w:t>
            </w:r>
            <w:r w:rsidR="005A31CC" w:rsidRPr="0026278E">
              <w:rPr>
                <w:rFonts w:cs="Calibri"/>
                <w:b/>
                <w:bCs/>
                <w:color w:val="000000"/>
                <w:sz w:val="20"/>
              </w:rPr>
              <w:t>pületre</w:t>
            </w:r>
          </w:p>
        </w:tc>
        <w:tc>
          <w:tcPr>
            <w:tcW w:w="1418" w:type="dxa"/>
            <w:tcBorders>
              <w:top w:val="nil"/>
              <w:left w:val="single" w:sz="8" w:space="0" w:color="auto"/>
              <w:bottom w:val="nil"/>
              <w:right w:val="nil"/>
            </w:tcBorders>
            <w:shd w:val="clear" w:color="auto" w:fill="FFFF99"/>
            <w:noWrap/>
            <w:vAlign w:val="center"/>
            <w:hideMark/>
          </w:tcPr>
          <w:p w14:paraId="361D74C5" w14:textId="174342A5" w:rsidR="005A31CC" w:rsidRPr="008561C7" w:rsidRDefault="00B65C47" w:rsidP="005A31CC">
            <w:pPr>
              <w:autoSpaceDE/>
              <w:autoSpaceDN/>
              <w:spacing w:before="0" w:after="0" w:line="240" w:lineRule="auto"/>
              <w:jc w:val="center"/>
              <w:rPr>
                <w:rFonts w:cs="Calibri"/>
                <w:b/>
                <w:bCs/>
                <w:color w:val="000000"/>
                <w:sz w:val="20"/>
              </w:rPr>
            </w:pPr>
            <w:r w:rsidRPr="008561C7">
              <w:rPr>
                <w:rFonts w:cs="Calibri"/>
                <w:b/>
                <w:bCs/>
                <w:color w:val="000000"/>
                <w:sz w:val="20"/>
              </w:rPr>
              <w:t>5 828 967</w:t>
            </w:r>
          </w:p>
        </w:tc>
        <w:tc>
          <w:tcPr>
            <w:tcW w:w="1554" w:type="dxa"/>
            <w:tcBorders>
              <w:top w:val="nil"/>
              <w:left w:val="single" w:sz="8" w:space="0" w:color="auto"/>
              <w:bottom w:val="nil"/>
              <w:right w:val="nil"/>
            </w:tcBorders>
            <w:shd w:val="clear" w:color="auto" w:fill="FFFF99"/>
            <w:noWrap/>
            <w:vAlign w:val="center"/>
            <w:hideMark/>
          </w:tcPr>
          <w:p w14:paraId="23156BBB" w14:textId="670990A6" w:rsidR="005A31CC" w:rsidRPr="008561C7" w:rsidRDefault="00B65C47" w:rsidP="005A31CC">
            <w:pPr>
              <w:autoSpaceDE/>
              <w:autoSpaceDN/>
              <w:spacing w:before="0" w:after="0" w:line="240" w:lineRule="auto"/>
              <w:jc w:val="center"/>
              <w:rPr>
                <w:rFonts w:cs="Calibri"/>
                <w:b/>
                <w:bCs/>
                <w:color w:val="000000"/>
                <w:sz w:val="20"/>
              </w:rPr>
            </w:pPr>
            <w:r w:rsidRPr="008561C7">
              <w:rPr>
                <w:rFonts w:cs="Calibri"/>
                <w:b/>
                <w:bCs/>
                <w:color w:val="000000"/>
                <w:sz w:val="20"/>
              </w:rPr>
              <w:t>114</w:t>
            </w:r>
            <w:r w:rsidR="005A31CC" w:rsidRPr="008561C7">
              <w:rPr>
                <w:rFonts w:cs="Calibri"/>
                <w:b/>
                <w:bCs/>
                <w:color w:val="000000"/>
                <w:sz w:val="20"/>
              </w:rPr>
              <w:t xml:space="preserve"> </w:t>
            </w:r>
            <w:r w:rsidRPr="008561C7">
              <w:rPr>
                <w:rFonts w:cs="Calibri"/>
                <w:b/>
                <w:bCs/>
                <w:color w:val="000000"/>
                <w:sz w:val="20"/>
              </w:rPr>
              <w:t>903</w:t>
            </w:r>
          </w:p>
        </w:tc>
        <w:tc>
          <w:tcPr>
            <w:tcW w:w="1422" w:type="dxa"/>
            <w:tcBorders>
              <w:top w:val="nil"/>
              <w:left w:val="single" w:sz="8" w:space="0" w:color="auto"/>
              <w:bottom w:val="nil"/>
              <w:right w:val="nil"/>
            </w:tcBorders>
            <w:shd w:val="clear" w:color="auto" w:fill="FFFF99"/>
            <w:noWrap/>
            <w:vAlign w:val="center"/>
            <w:hideMark/>
          </w:tcPr>
          <w:p w14:paraId="07D2A753" w14:textId="42210A37" w:rsidR="005A31CC" w:rsidRPr="008561C7" w:rsidRDefault="005A31CC" w:rsidP="005A31CC">
            <w:pPr>
              <w:autoSpaceDE/>
              <w:autoSpaceDN/>
              <w:spacing w:before="0" w:after="0" w:line="240" w:lineRule="auto"/>
              <w:jc w:val="center"/>
              <w:rPr>
                <w:rFonts w:cs="Calibri"/>
                <w:b/>
                <w:bCs/>
                <w:color w:val="000000"/>
                <w:sz w:val="20"/>
              </w:rPr>
            </w:pPr>
            <w:r w:rsidRPr="008561C7">
              <w:rPr>
                <w:rFonts w:cs="Calibri"/>
                <w:b/>
                <w:bCs/>
                <w:color w:val="000000"/>
                <w:sz w:val="20"/>
              </w:rPr>
              <w:t>51</w:t>
            </w:r>
          </w:p>
        </w:tc>
        <w:tc>
          <w:tcPr>
            <w:tcW w:w="1418" w:type="dxa"/>
            <w:tcBorders>
              <w:top w:val="nil"/>
              <w:left w:val="single" w:sz="8" w:space="0" w:color="auto"/>
              <w:bottom w:val="nil"/>
              <w:right w:val="nil"/>
            </w:tcBorders>
            <w:shd w:val="clear" w:color="auto" w:fill="FFFF99"/>
            <w:noWrap/>
            <w:vAlign w:val="center"/>
            <w:hideMark/>
          </w:tcPr>
          <w:p w14:paraId="3769CC15" w14:textId="45A4403D" w:rsidR="005A31CC" w:rsidRPr="008561C7" w:rsidRDefault="00B65C47" w:rsidP="005A31CC">
            <w:pPr>
              <w:autoSpaceDE/>
              <w:autoSpaceDN/>
              <w:spacing w:before="0" w:after="0" w:line="240" w:lineRule="auto"/>
              <w:jc w:val="center"/>
              <w:rPr>
                <w:rFonts w:cs="Calibri"/>
                <w:b/>
                <w:bCs/>
                <w:color w:val="000000"/>
                <w:sz w:val="20"/>
              </w:rPr>
            </w:pPr>
            <w:r w:rsidRPr="008561C7">
              <w:rPr>
                <w:rFonts w:cs="Calibri"/>
                <w:b/>
                <w:bCs/>
                <w:color w:val="000000"/>
                <w:sz w:val="20"/>
              </w:rPr>
              <w:t>407</w:t>
            </w:r>
            <w:r w:rsidR="005A31CC" w:rsidRPr="008561C7">
              <w:rPr>
                <w:rFonts w:cs="Calibri"/>
                <w:b/>
                <w:bCs/>
                <w:color w:val="000000"/>
                <w:sz w:val="20"/>
              </w:rPr>
              <w:t xml:space="preserve"> </w:t>
            </w:r>
            <w:r w:rsidRPr="008561C7">
              <w:rPr>
                <w:rFonts w:cs="Calibri"/>
                <w:b/>
                <w:bCs/>
                <w:color w:val="000000"/>
                <w:sz w:val="20"/>
              </w:rPr>
              <w:t>61</w:t>
            </w:r>
            <w:r w:rsidR="005A31CC" w:rsidRPr="008561C7">
              <w:rPr>
                <w:rFonts w:cs="Calibri"/>
                <w:b/>
                <w:bCs/>
                <w:color w:val="000000"/>
                <w:sz w:val="20"/>
              </w:rPr>
              <w:t>0</w:t>
            </w:r>
          </w:p>
        </w:tc>
        <w:tc>
          <w:tcPr>
            <w:tcW w:w="1276" w:type="dxa"/>
            <w:tcBorders>
              <w:top w:val="nil"/>
              <w:left w:val="single" w:sz="8" w:space="0" w:color="auto"/>
              <w:bottom w:val="nil"/>
              <w:right w:val="nil"/>
            </w:tcBorders>
            <w:shd w:val="clear" w:color="auto" w:fill="FFFF99"/>
            <w:noWrap/>
            <w:vAlign w:val="center"/>
            <w:hideMark/>
          </w:tcPr>
          <w:p w14:paraId="70C70C8E" w14:textId="529A1525" w:rsidR="005A31CC" w:rsidRPr="008561C7" w:rsidRDefault="005A31CC" w:rsidP="005A31CC">
            <w:pPr>
              <w:autoSpaceDE/>
              <w:autoSpaceDN/>
              <w:spacing w:before="0" w:after="0" w:line="240" w:lineRule="auto"/>
              <w:jc w:val="center"/>
              <w:rPr>
                <w:rFonts w:cs="Calibri"/>
                <w:b/>
                <w:bCs/>
                <w:color w:val="000000"/>
                <w:sz w:val="20"/>
              </w:rPr>
            </w:pPr>
            <w:r w:rsidRPr="008561C7">
              <w:rPr>
                <w:rFonts w:cs="Calibri"/>
                <w:b/>
                <w:bCs/>
                <w:color w:val="000000"/>
                <w:sz w:val="20"/>
              </w:rPr>
              <w:t>14</w:t>
            </w:r>
          </w:p>
        </w:tc>
      </w:tr>
      <w:tr w:rsidR="005A31CC" w:rsidRPr="005A31CC" w14:paraId="7284CEF2" w14:textId="77777777" w:rsidTr="007F3552">
        <w:trPr>
          <w:trHeight w:val="345"/>
        </w:trPr>
        <w:tc>
          <w:tcPr>
            <w:tcW w:w="2977" w:type="dxa"/>
            <w:tcBorders>
              <w:top w:val="nil"/>
              <w:left w:val="nil"/>
              <w:bottom w:val="nil"/>
              <w:right w:val="nil"/>
            </w:tcBorders>
            <w:shd w:val="clear" w:color="000000" w:fill="D9D9D9"/>
            <w:noWrap/>
            <w:vAlign w:val="center"/>
          </w:tcPr>
          <w:p w14:paraId="43C86295" w14:textId="11288B9F" w:rsidR="005A31CC" w:rsidRPr="005A31CC" w:rsidRDefault="005A31CC" w:rsidP="005A31CC">
            <w:pPr>
              <w:autoSpaceDE/>
              <w:autoSpaceDN/>
              <w:spacing w:before="0" w:after="0" w:line="240" w:lineRule="auto"/>
              <w:jc w:val="center"/>
              <w:rPr>
                <w:rFonts w:cs="Calibri"/>
                <w:b/>
                <w:bCs/>
                <w:color w:val="000000"/>
                <w:sz w:val="20"/>
              </w:rPr>
            </w:pPr>
            <w:r w:rsidRPr="005A31CC">
              <w:rPr>
                <w:rFonts w:cs="Calibri"/>
                <w:b/>
                <w:bCs/>
                <w:color w:val="000000"/>
                <w:sz w:val="20"/>
              </w:rPr>
              <w:t>1 lakásra jutó</w:t>
            </w:r>
          </w:p>
        </w:tc>
        <w:tc>
          <w:tcPr>
            <w:tcW w:w="1418" w:type="dxa"/>
            <w:tcBorders>
              <w:top w:val="nil"/>
              <w:left w:val="single" w:sz="8" w:space="0" w:color="auto"/>
              <w:bottom w:val="single" w:sz="8" w:space="0" w:color="auto"/>
              <w:right w:val="nil"/>
            </w:tcBorders>
            <w:shd w:val="clear" w:color="auto" w:fill="FFFF99"/>
            <w:noWrap/>
            <w:vAlign w:val="center"/>
          </w:tcPr>
          <w:p w14:paraId="797AD560" w14:textId="63C46C05" w:rsidR="005A31CC" w:rsidRPr="005A31CC" w:rsidRDefault="00B65C47" w:rsidP="005A31CC">
            <w:pPr>
              <w:autoSpaceDE/>
              <w:autoSpaceDN/>
              <w:spacing w:before="0" w:after="0" w:line="240" w:lineRule="auto"/>
              <w:jc w:val="center"/>
              <w:rPr>
                <w:rFonts w:cs="Calibri"/>
                <w:b/>
                <w:bCs/>
                <w:color w:val="000000"/>
                <w:sz w:val="20"/>
              </w:rPr>
            </w:pPr>
            <w:r>
              <w:rPr>
                <w:rFonts w:cs="Calibri"/>
                <w:b/>
                <w:bCs/>
                <w:color w:val="000000"/>
                <w:sz w:val="20"/>
              </w:rPr>
              <w:t>3 939</w:t>
            </w:r>
          </w:p>
        </w:tc>
        <w:tc>
          <w:tcPr>
            <w:tcW w:w="1554" w:type="dxa"/>
            <w:tcBorders>
              <w:top w:val="nil"/>
              <w:left w:val="single" w:sz="8" w:space="0" w:color="auto"/>
              <w:bottom w:val="single" w:sz="8" w:space="0" w:color="auto"/>
              <w:right w:val="nil"/>
            </w:tcBorders>
            <w:shd w:val="clear" w:color="auto" w:fill="FFFF99"/>
            <w:noWrap/>
            <w:vAlign w:val="center"/>
          </w:tcPr>
          <w:p w14:paraId="7858CF9D" w14:textId="40357659" w:rsidR="005A31CC" w:rsidRPr="005A31CC" w:rsidRDefault="00B65C47" w:rsidP="005A31CC">
            <w:pPr>
              <w:autoSpaceDE/>
              <w:autoSpaceDN/>
              <w:spacing w:before="0" w:after="0" w:line="240" w:lineRule="auto"/>
              <w:jc w:val="center"/>
              <w:rPr>
                <w:rFonts w:cs="Calibri"/>
                <w:b/>
                <w:bCs/>
                <w:color w:val="000000"/>
                <w:sz w:val="20"/>
              </w:rPr>
            </w:pPr>
            <w:r>
              <w:rPr>
                <w:rFonts w:cs="Calibri"/>
                <w:b/>
                <w:bCs/>
                <w:color w:val="000000"/>
                <w:sz w:val="20"/>
              </w:rPr>
              <w:t>78</w:t>
            </w:r>
          </w:p>
        </w:tc>
        <w:tc>
          <w:tcPr>
            <w:tcW w:w="1422" w:type="dxa"/>
            <w:tcBorders>
              <w:top w:val="nil"/>
              <w:left w:val="single" w:sz="8" w:space="0" w:color="auto"/>
              <w:bottom w:val="single" w:sz="8" w:space="0" w:color="auto"/>
              <w:right w:val="nil"/>
            </w:tcBorders>
            <w:shd w:val="clear" w:color="auto" w:fill="FFFF99"/>
            <w:noWrap/>
            <w:vAlign w:val="center"/>
          </w:tcPr>
          <w:p w14:paraId="0221B11A" w14:textId="4CE1EDDB" w:rsidR="005A31CC" w:rsidRPr="005A31CC" w:rsidRDefault="005A31CC" w:rsidP="005A31CC">
            <w:pPr>
              <w:autoSpaceDE/>
              <w:autoSpaceDN/>
              <w:spacing w:before="0" w:after="0" w:line="240" w:lineRule="auto"/>
              <w:jc w:val="center"/>
              <w:rPr>
                <w:rFonts w:cs="Calibri"/>
                <w:b/>
                <w:bCs/>
                <w:color w:val="000000"/>
                <w:sz w:val="20"/>
              </w:rPr>
            </w:pPr>
          </w:p>
        </w:tc>
        <w:tc>
          <w:tcPr>
            <w:tcW w:w="1418" w:type="dxa"/>
            <w:tcBorders>
              <w:top w:val="nil"/>
              <w:left w:val="single" w:sz="8" w:space="0" w:color="auto"/>
              <w:bottom w:val="single" w:sz="8" w:space="0" w:color="auto"/>
              <w:right w:val="nil"/>
            </w:tcBorders>
            <w:shd w:val="clear" w:color="auto" w:fill="FFFF99"/>
            <w:noWrap/>
            <w:vAlign w:val="center"/>
          </w:tcPr>
          <w:p w14:paraId="6193D7AF" w14:textId="487B6265" w:rsidR="005A31CC" w:rsidRPr="005A31CC" w:rsidRDefault="00B65C47" w:rsidP="005A31CC">
            <w:pPr>
              <w:autoSpaceDE/>
              <w:autoSpaceDN/>
              <w:spacing w:before="0" w:after="0" w:line="240" w:lineRule="auto"/>
              <w:jc w:val="center"/>
              <w:rPr>
                <w:rFonts w:cs="Calibri"/>
                <w:b/>
                <w:bCs/>
                <w:color w:val="000000"/>
                <w:sz w:val="20"/>
              </w:rPr>
            </w:pPr>
            <w:r>
              <w:rPr>
                <w:rFonts w:cs="Calibri"/>
                <w:b/>
                <w:bCs/>
                <w:color w:val="000000"/>
                <w:sz w:val="20"/>
              </w:rPr>
              <w:t>276</w:t>
            </w:r>
          </w:p>
        </w:tc>
        <w:tc>
          <w:tcPr>
            <w:tcW w:w="1276" w:type="dxa"/>
            <w:tcBorders>
              <w:top w:val="nil"/>
              <w:left w:val="single" w:sz="8" w:space="0" w:color="auto"/>
              <w:bottom w:val="single" w:sz="8" w:space="0" w:color="auto"/>
              <w:right w:val="nil"/>
            </w:tcBorders>
            <w:shd w:val="clear" w:color="auto" w:fill="FFFF99"/>
            <w:noWrap/>
            <w:vAlign w:val="center"/>
          </w:tcPr>
          <w:p w14:paraId="7FC638FA" w14:textId="126EBB2F" w:rsidR="005A31CC" w:rsidRPr="005A31CC" w:rsidRDefault="005A31CC" w:rsidP="005A31CC">
            <w:pPr>
              <w:autoSpaceDE/>
              <w:autoSpaceDN/>
              <w:spacing w:before="0" w:after="0" w:line="240" w:lineRule="auto"/>
              <w:jc w:val="center"/>
              <w:rPr>
                <w:rFonts w:cs="Calibri"/>
                <w:b/>
                <w:bCs/>
                <w:color w:val="000000"/>
                <w:sz w:val="20"/>
              </w:rPr>
            </w:pPr>
          </w:p>
        </w:tc>
      </w:tr>
    </w:tbl>
    <w:p w14:paraId="4B1F0C77" w14:textId="3AD64DE7" w:rsidR="005114F0" w:rsidRDefault="007F3552" w:rsidP="00C45A7D">
      <w:pPr>
        <w:pStyle w:val="kepalairas"/>
      </w:pPr>
      <w:r>
        <w:t xml:space="preserve">Beruházási költség és megtérülés </w:t>
      </w:r>
      <w:r w:rsidRPr="007F3552">
        <w:t>– Központi ellátás (VRF)</w:t>
      </w:r>
    </w:p>
    <w:tbl>
      <w:tblPr>
        <w:tblW w:w="10065" w:type="dxa"/>
        <w:tblInd w:w="-567" w:type="dxa"/>
        <w:tblCellMar>
          <w:left w:w="70" w:type="dxa"/>
          <w:right w:w="70" w:type="dxa"/>
        </w:tblCellMar>
        <w:tblLook w:val="04A0" w:firstRow="1" w:lastRow="0" w:firstColumn="1" w:lastColumn="0" w:noHBand="0" w:noVBand="1"/>
      </w:tblPr>
      <w:tblGrid>
        <w:gridCol w:w="2977"/>
        <w:gridCol w:w="1418"/>
        <w:gridCol w:w="1554"/>
        <w:gridCol w:w="1422"/>
        <w:gridCol w:w="1418"/>
        <w:gridCol w:w="1276"/>
      </w:tblGrid>
      <w:tr w:rsidR="00914BE9" w:rsidRPr="005A31CC" w14:paraId="42D89BF7" w14:textId="77777777" w:rsidTr="003624F0">
        <w:tc>
          <w:tcPr>
            <w:tcW w:w="2977" w:type="dxa"/>
            <w:vMerge w:val="restart"/>
            <w:tcBorders>
              <w:top w:val="nil"/>
              <w:left w:val="nil"/>
              <w:right w:val="nil"/>
            </w:tcBorders>
            <w:shd w:val="clear" w:color="000000" w:fill="D9D9D9"/>
            <w:vAlign w:val="center"/>
            <w:hideMark/>
          </w:tcPr>
          <w:p w14:paraId="012E0348" w14:textId="77777777" w:rsidR="00914BE9" w:rsidRPr="0026278E" w:rsidRDefault="00914BE9" w:rsidP="007F3552">
            <w:pPr>
              <w:autoSpaceDE/>
              <w:autoSpaceDN/>
              <w:spacing w:before="0" w:after="0" w:line="240" w:lineRule="auto"/>
              <w:jc w:val="center"/>
              <w:rPr>
                <w:rFonts w:cs="Calibri"/>
                <w:b/>
                <w:bCs/>
                <w:sz w:val="20"/>
              </w:rPr>
            </w:pPr>
            <w:r w:rsidRPr="0026278E">
              <w:rPr>
                <w:rFonts w:cs="Calibri"/>
                <w:b/>
                <w:bCs/>
                <w:sz w:val="20"/>
              </w:rPr>
              <w:t xml:space="preserve">Az energiahatékonysági fejlesztések és az </w:t>
            </w:r>
            <w:proofErr w:type="spellStart"/>
            <w:r w:rsidRPr="0026278E">
              <w:rPr>
                <w:rFonts w:cs="Calibri"/>
                <w:b/>
                <w:bCs/>
                <w:sz w:val="20"/>
              </w:rPr>
              <w:t>energiamegtakarítás</w:t>
            </w:r>
            <w:proofErr w:type="spellEnd"/>
            <w:r w:rsidRPr="0026278E">
              <w:rPr>
                <w:rFonts w:cs="Calibri"/>
                <w:b/>
                <w:bCs/>
                <w:sz w:val="20"/>
              </w:rPr>
              <w:t xml:space="preserve"> összesítése</w:t>
            </w:r>
          </w:p>
        </w:tc>
        <w:tc>
          <w:tcPr>
            <w:tcW w:w="1418" w:type="dxa"/>
            <w:tcBorders>
              <w:top w:val="nil"/>
              <w:left w:val="nil"/>
              <w:bottom w:val="nil"/>
              <w:right w:val="nil"/>
            </w:tcBorders>
            <w:shd w:val="clear" w:color="auto" w:fill="B4C6E7"/>
            <w:vAlign w:val="center"/>
            <w:hideMark/>
          </w:tcPr>
          <w:p w14:paraId="5D4090A9" w14:textId="24353C52"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Beruházási költség</w:t>
            </w:r>
          </w:p>
        </w:tc>
        <w:tc>
          <w:tcPr>
            <w:tcW w:w="1554" w:type="dxa"/>
            <w:tcBorders>
              <w:top w:val="nil"/>
              <w:left w:val="nil"/>
              <w:bottom w:val="nil"/>
              <w:right w:val="nil"/>
            </w:tcBorders>
            <w:shd w:val="clear" w:color="auto" w:fill="B4C6E7"/>
            <w:vAlign w:val="center"/>
            <w:hideMark/>
          </w:tcPr>
          <w:p w14:paraId="10FA8362" w14:textId="2952360C"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Eredő megtakarítás rezsicsökkentett energia áron</w:t>
            </w:r>
          </w:p>
        </w:tc>
        <w:tc>
          <w:tcPr>
            <w:tcW w:w="1422" w:type="dxa"/>
            <w:tcBorders>
              <w:top w:val="nil"/>
              <w:left w:val="nil"/>
              <w:bottom w:val="nil"/>
              <w:right w:val="nil"/>
            </w:tcBorders>
            <w:shd w:val="clear" w:color="auto" w:fill="B4C6E7"/>
            <w:vAlign w:val="center"/>
            <w:hideMark/>
          </w:tcPr>
          <w:p w14:paraId="758EF953" w14:textId="071F451A"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Egyszerű megtérülési idő</w:t>
            </w:r>
          </w:p>
        </w:tc>
        <w:tc>
          <w:tcPr>
            <w:tcW w:w="1418" w:type="dxa"/>
            <w:tcBorders>
              <w:top w:val="nil"/>
              <w:left w:val="nil"/>
              <w:bottom w:val="nil"/>
              <w:right w:val="nil"/>
            </w:tcBorders>
            <w:shd w:val="clear" w:color="auto" w:fill="B4C6E7"/>
            <w:vAlign w:val="center"/>
            <w:hideMark/>
          </w:tcPr>
          <w:p w14:paraId="08FFE43C" w14:textId="112E3E6D"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Eredő megtakarítás piaci energia áron</w:t>
            </w:r>
          </w:p>
        </w:tc>
        <w:tc>
          <w:tcPr>
            <w:tcW w:w="1276" w:type="dxa"/>
            <w:tcBorders>
              <w:top w:val="nil"/>
              <w:left w:val="nil"/>
              <w:bottom w:val="nil"/>
              <w:right w:val="nil"/>
            </w:tcBorders>
            <w:shd w:val="clear" w:color="auto" w:fill="B4C6E7"/>
            <w:vAlign w:val="center"/>
            <w:hideMark/>
          </w:tcPr>
          <w:p w14:paraId="5BE387AB" w14:textId="25742FAF"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Egyszerű megtérülési idő</w:t>
            </w:r>
          </w:p>
        </w:tc>
      </w:tr>
      <w:tr w:rsidR="00914BE9" w:rsidRPr="005A31CC" w14:paraId="0ED96EED" w14:textId="77777777" w:rsidTr="003624F0">
        <w:tc>
          <w:tcPr>
            <w:tcW w:w="2977" w:type="dxa"/>
            <w:vMerge/>
            <w:tcBorders>
              <w:left w:val="nil"/>
              <w:bottom w:val="nil"/>
              <w:right w:val="nil"/>
            </w:tcBorders>
            <w:shd w:val="clear" w:color="000000" w:fill="D9D9D9"/>
            <w:vAlign w:val="center"/>
            <w:hideMark/>
          </w:tcPr>
          <w:p w14:paraId="0AE41B57" w14:textId="02370AEB" w:rsidR="00914BE9" w:rsidRPr="0026278E" w:rsidRDefault="00914BE9" w:rsidP="007F3552">
            <w:pPr>
              <w:autoSpaceDE/>
              <w:autoSpaceDN/>
              <w:spacing w:before="0" w:after="0" w:line="240" w:lineRule="auto"/>
              <w:jc w:val="center"/>
              <w:rPr>
                <w:rFonts w:cs="Calibri"/>
                <w:b/>
                <w:bCs/>
                <w:sz w:val="20"/>
              </w:rPr>
            </w:pPr>
          </w:p>
        </w:tc>
        <w:tc>
          <w:tcPr>
            <w:tcW w:w="1418" w:type="dxa"/>
            <w:tcBorders>
              <w:top w:val="nil"/>
              <w:left w:val="nil"/>
              <w:bottom w:val="nil"/>
              <w:right w:val="nil"/>
            </w:tcBorders>
            <w:shd w:val="clear" w:color="auto" w:fill="B4C6E7"/>
            <w:noWrap/>
            <w:vAlign w:val="center"/>
            <w:hideMark/>
          </w:tcPr>
          <w:p w14:paraId="6BF98C74" w14:textId="7F750295"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 xml:space="preserve">bruttó </w:t>
            </w:r>
            <w:proofErr w:type="spellStart"/>
            <w:r w:rsidRPr="005A31CC">
              <w:rPr>
                <w:rFonts w:cs="Calibri"/>
                <w:b/>
                <w:bCs/>
                <w:color w:val="000000"/>
                <w:sz w:val="20"/>
              </w:rPr>
              <w:t>EFt</w:t>
            </w:r>
            <w:proofErr w:type="spellEnd"/>
          </w:p>
        </w:tc>
        <w:tc>
          <w:tcPr>
            <w:tcW w:w="1554" w:type="dxa"/>
            <w:tcBorders>
              <w:top w:val="nil"/>
              <w:left w:val="nil"/>
              <w:bottom w:val="nil"/>
              <w:right w:val="nil"/>
            </w:tcBorders>
            <w:shd w:val="clear" w:color="auto" w:fill="B4C6E7"/>
            <w:noWrap/>
            <w:vAlign w:val="center"/>
            <w:hideMark/>
          </w:tcPr>
          <w:p w14:paraId="5F8E32A7" w14:textId="25C8C6C5"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 xml:space="preserve">bruttó </w:t>
            </w:r>
            <w:proofErr w:type="spellStart"/>
            <w:r w:rsidRPr="005A31CC">
              <w:rPr>
                <w:rFonts w:cs="Calibri"/>
                <w:b/>
                <w:bCs/>
                <w:color w:val="000000"/>
                <w:sz w:val="20"/>
              </w:rPr>
              <w:t>EFt</w:t>
            </w:r>
            <w:proofErr w:type="spellEnd"/>
            <w:r w:rsidRPr="005A31CC">
              <w:rPr>
                <w:rFonts w:cs="Calibri"/>
                <w:b/>
                <w:bCs/>
                <w:color w:val="000000"/>
                <w:sz w:val="20"/>
              </w:rPr>
              <w:t>/év</w:t>
            </w:r>
          </w:p>
        </w:tc>
        <w:tc>
          <w:tcPr>
            <w:tcW w:w="1422" w:type="dxa"/>
            <w:tcBorders>
              <w:top w:val="nil"/>
              <w:left w:val="nil"/>
              <w:bottom w:val="nil"/>
              <w:right w:val="nil"/>
            </w:tcBorders>
            <w:shd w:val="clear" w:color="auto" w:fill="B4C6E7"/>
            <w:noWrap/>
            <w:vAlign w:val="center"/>
            <w:hideMark/>
          </w:tcPr>
          <w:p w14:paraId="6D3A1BE3" w14:textId="5FB79F9E"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év</w:t>
            </w:r>
          </w:p>
        </w:tc>
        <w:tc>
          <w:tcPr>
            <w:tcW w:w="1418" w:type="dxa"/>
            <w:tcBorders>
              <w:top w:val="nil"/>
              <w:left w:val="nil"/>
              <w:bottom w:val="nil"/>
              <w:right w:val="nil"/>
            </w:tcBorders>
            <w:shd w:val="clear" w:color="auto" w:fill="B4C6E7"/>
            <w:noWrap/>
            <w:vAlign w:val="center"/>
            <w:hideMark/>
          </w:tcPr>
          <w:p w14:paraId="694CD0E5" w14:textId="40FE7DC4"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 xml:space="preserve">bruttó </w:t>
            </w:r>
            <w:proofErr w:type="spellStart"/>
            <w:r w:rsidRPr="005A31CC">
              <w:rPr>
                <w:rFonts w:cs="Calibri"/>
                <w:b/>
                <w:bCs/>
                <w:color w:val="000000"/>
                <w:sz w:val="20"/>
              </w:rPr>
              <w:t>EFt</w:t>
            </w:r>
            <w:proofErr w:type="spellEnd"/>
            <w:r w:rsidRPr="005A31CC">
              <w:rPr>
                <w:rFonts w:cs="Calibri"/>
                <w:b/>
                <w:bCs/>
                <w:color w:val="000000"/>
                <w:sz w:val="20"/>
              </w:rPr>
              <w:t>/év</w:t>
            </w:r>
          </w:p>
        </w:tc>
        <w:tc>
          <w:tcPr>
            <w:tcW w:w="1276" w:type="dxa"/>
            <w:tcBorders>
              <w:top w:val="nil"/>
              <w:left w:val="nil"/>
              <w:bottom w:val="nil"/>
              <w:right w:val="nil"/>
            </w:tcBorders>
            <w:shd w:val="clear" w:color="auto" w:fill="B4C6E7"/>
            <w:noWrap/>
            <w:vAlign w:val="center"/>
            <w:hideMark/>
          </w:tcPr>
          <w:p w14:paraId="42F6BDBA" w14:textId="698D01D5" w:rsidR="00914BE9" w:rsidRPr="0026278E" w:rsidRDefault="00914BE9" w:rsidP="007F3552">
            <w:pPr>
              <w:autoSpaceDE/>
              <w:autoSpaceDN/>
              <w:spacing w:before="0" w:after="0" w:line="240" w:lineRule="auto"/>
              <w:jc w:val="center"/>
              <w:rPr>
                <w:rFonts w:cs="Calibri"/>
                <w:b/>
                <w:bCs/>
                <w:color w:val="000000"/>
                <w:sz w:val="20"/>
              </w:rPr>
            </w:pPr>
            <w:r w:rsidRPr="005A31CC">
              <w:rPr>
                <w:rFonts w:cs="Calibri"/>
                <w:b/>
                <w:bCs/>
                <w:color w:val="000000"/>
                <w:sz w:val="20"/>
              </w:rPr>
              <w:t>év</w:t>
            </w:r>
          </w:p>
        </w:tc>
      </w:tr>
      <w:tr w:rsidR="005114F0" w:rsidRPr="005A31CC" w14:paraId="34B23BBA" w14:textId="77777777" w:rsidTr="007F3552">
        <w:trPr>
          <w:trHeight w:val="345"/>
        </w:trPr>
        <w:tc>
          <w:tcPr>
            <w:tcW w:w="2977" w:type="dxa"/>
            <w:tcBorders>
              <w:top w:val="nil"/>
              <w:left w:val="single" w:sz="8" w:space="0" w:color="auto"/>
              <w:bottom w:val="single" w:sz="8" w:space="0" w:color="auto"/>
              <w:right w:val="nil"/>
            </w:tcBorders>
            <w:shd w:val="clear" w:color="auto" w:fill="auto"/>
            <w:noWrap/>
            <w:vAlign w:val="center"/>
            <w:hideMark/>
          </w:tcPr>
          <w:p w14:paraId="211027C9" w14:textId="77777777" w:rsidR="005114F0" w:rsidRPr="0026278E" w:rsidRDefault="005114F0" w:rsidP="007F3552">
            <w:pPr>
              <w:autoSpaceDE/>
              <w:autoSpaceDN/>
              <w:spacing w:before="0" w:after="0" w:line="240" w:lineRule="auto"/>
              <w:jc w:val="center"/>
              <w:rPr>
                <w:rFonts w:cs="Calibri"/>
                <w:b/>
                <w:bCs/>
                <w:color w:val="000000"/>
                <w:sz w:val="20"/>
              </w:rPr>
            </w:pPr>
            <w:r w:rsidRPr="0026278E">
              <w:rPr>
                <w:rFonts w:cs="Calibri"/>
                <w:b/>
                <w:bCs/>
                <w:color w:val="000000"/>
                <w:sz w:val="20"/>
              </w:rPr>
              <w:t>PV telepítés lakóépületre / db</w:t>
            </w:r>
          </w:p>
        </w:tc>
        <w:tc>
          <w:tcPr>
            <w:tcW w:w="1418" w:type="dxa"/>
            <w:tcBorders>
              <w:top w:val="nil"/>
              <w:left w:val="single" w:sz="8" w:space="0" w:color="auto"/>
              <w:bottom w:val="single" w:sz="8" w:space="0" w:color="auto"/>
              <w:right w:val="single" w:sz="4" w:space="0" w:color="auto"/>
            </w:tcBorders>
            <w:shd w:val="clear" w:color="auto" w:fill="B4C6E7"/>
            <w:noWrap/>
            <w:vAlign w:val="center"/>
            <w:hideMark/>
          </w:tcPr>
          <w:p w14:paraId="03D307EA" w14:textId="47BAB0E5"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24 181</w:t>
            </w:r>
          </w:p>
        </w:tc>
        <w:tc>
          <w:tcPr>
            <w:tcW w:w="1554" w:type="dxa"/>
            <w:tcBorders>
              <w:top w:val="nil"/>
              <w:left w:val="single" w:sz="8" w:space="0" w:color="auto"/>
              <w:bottom w:val="single" w:sz="8" w:space="0" w:color="auto"/>
              <w:right w:val="single" w:sz="4" w:space="0" w:color="auto"/>
            </w:tcBorders>
            <w:shd w:val="clear" w:color="auto" w:fill="B4C6E7"/>
            <w:noWrap/>
            <w:vAlign w:val="center"/>
            <w:hideMark/>
          </w:tcPr>
          <w:p w14:paraId="51E350D5" w14:textId="6021218C"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1 707</w:t>
            </w:r>
          </w:p>
        </w:tc>
        <w:tc>
          <w:tcPr>
            <w:tcW w:w="1422" w:type="dxa"/>
            <w:tcBorders>
              <w:top w:val="nil"/>
              <w:left w:val="single" w:sz="8" w:space="0" w:color="auto"/>
              <w:bottom w:val="single" w:sz="8" w:space="0" w:color="auto"/>
              <w:right w:val="single" w:sz="4" w:space="0" w:color="auto"/>
            </w:tcBorders>
            <w:shd w:val="clear" w:color="auto" w:fill="B4C6E7"/>
            <w:noWrap/>
            <w:vAlign w:val="center"/>
            <w:hideMark/>
          </w:tcPr>
          <w:p w14:paraId="18A0D765" w14:textId="7210E853"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14</w:t>
            </w:r>
          </w:p>
        </w:tc>
        <w:tc>
          <w:tcPr>
            <w:tcW w:w="1418" w:type="dxa"/>
            <w:tcBorders>
              <w:top w:val="nil"/>
              <w:left w:val="single" w:sz="8" w:space="0" w:color="auto"/>
              <w:bottom w:val="single" w:sz="8" w:space="0" w:color="auto"/>
              <w:right w:val="single" w:sz="4" w:space="0" w:color="auto"/>
            </w:tcBorders>
            <w:shd w:val="clear" w:color="auto" w:fill="B4C6E7"/>
            <w:noWrap/>
            <w:vAlign w:val="center"/>
            <w:hideMark/>
          </w:tcPr>
          <w:p w14:paraId="6D73F343" w14:textId="0DADAAA5"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3 175</w:t>
            </w:r>
          </w:p>
        </w:tc>
        <w:tc>
          <w:tcPr>
            <w:tcW w:w="1276" w:type="dxa"/>
            <w:tcBorders>
              <w:top w:val="nil"/>
              <w:left w:val="single" w:sz="8" w:space="0" w:color="auto"/>
              <w:bottom w:val="single" w:sz="8" w:space="0" w:color="auto"/>
              <w:right w:val="single" w:sz="4" w:space="0" w:color="auto"/>
            </w:tcBorders>
            <w:shd w:val="clear" w:color="auto" w:fill="B4C6E7"/>
            <w:noWrap/>
            <w:vAlign w:val="center"/>
            <w:hideMark/>
          </w:tcPr>
          <w:p w14:paraId="14484CAD" w14:textId="5A784465"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8</w:t>
            </w:r>
          </w:p>
        </w:tc>
      </w:tr>
      <w:tr w:rsidR="007F3552" w:rsidRPr="005A31CC" w14:paraId="492F55D4" w14:textId="77777777" w:rsidTr="007F3552">
        <w:trPr>
          <w:trHeight w:val="345"/>
        </w:trPr>
        <w:tc>
          <w:tcPr>
            <w:tcW w:w="2977" w:type="dxa"/>
            <w:tcBorders>
              <w:top w:val="nil"/>
              <w:left w:val="nil"/>
              <w:bottom w:val="nil"/>
              <w:right w:val="nil"/>
            </w:tcBorders>
            <w:shd w:val="clear" w:color="000000" w:fill="D9D9D9"/>
            <w:noWrap/>
            <w:vAlign w:val="center"/>
            <w:hideMark/>
          </w:tcPr>
          <w:p w14:paraId="34AA0EDC" w14:textId="77777777"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120 é</w:t>
            </w:r>
            <w:r w:rsidRPr="0026278E">
              <w:rPr>
                <w:rFonts w:cs="Calibri"/>
                <w:b/>
                <w:bCs/>
                <w:color w:val="000000"/>
                <w:sz w:val="20"/>
              </w:rPr>
              <w:t>pületre</w:t>
            </w:r>
          </w:p>
        </w:tc>
        <w:tc>
          <w:tcPr>
            <w:tcW w:w="1418" w:type="dxa"/>
            <w:tcBorders>
              <w:top w:val="nil"/>
              <w:left w:val="single" w:sz="8" w:space="0" w:color="auto"/>
              <w:bottom w:val="nil"/>
              <w:right w:val="nil"/>
            </w:tcBorders>
            <w:shd w:val="clear" w:color="auto" w:fill="B4C6E7"/>
            <w:noWrap/>
            <w:vAlign w:val="center"/>
            <w:hideMark/>
          </w:tcPr>
          <w:p w14:paraId="7B08E1EA" w14:textId="2E0C9846"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2 901 696</w:t>
            </w:r>
          </w:p>
        </w:tc>
        <w:tc>
          <w:tcPr>
            <w:tcW w:w="1554" w:type="dxa"/>
            <w:tcBorders>
              <w:top w:val="nil"/>
              <w:left w:val="single" w:sz="8" w:space="0" w:color="auto"/>
              <w:bottom w:val="nil"/>
              <w:right w:val="nil"/>
            </w:tcBorders>
            <w:shd w:val="clear" w:color="auto" w:fill="B4C6E7"/>
            <w:noWrap/>
            <w:vAlign w:val="center"/>
            <w:hideMark/>
          </w:tcPr>
          <w:p w14:paraId="1ECFBF9A" w14:textId="4252A15F"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204 783</w:t>
            </w:r>
          </w:p>
        </w:tc>
        <w:tc>
          <w:tcPr>
            <w:tcW w:w="1422" w:type="dxa"/>
            <w:tcBorders>
              <w:top w:val="nil"/>
              <w:left w:val="single" w:sz="8" w:space="0" w:color="auto"/>
              <w:bottom w:val="nil"/>
              <w:right w:val="nil"/>
            </w:tcBorders>
            <w:shd w:val="clear" w:color="auto" w:fill="B4C6E7"/>
            <w:noWrap/>
            <w:vAlign w:val="center"/>
            <w:hideMark/>
          </w:tcPr>
          <w:p w14:paraId="22F63882" w14:textId="2D5FC4F2"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14</w:t>
            </w:r>
          </w:p>
        </w:tc>
        <w:tc>
          <w:tcPr>
            <w:tcW w:w="1418" w:type="dxa"/>
            <w:tcBorders>
              <w:top w:val="nil"/>
              <w:left w:val="single" w:sz="8" w:space="0" w:color="auto"/>
              <w:bottom w:val="nil"/>
              <w:right w:val="nil"/>
            </w:tcBorders>
            <w:shd w:val="clear" w:color="auto" w:fill="B4C6E7"/>
            <w:noWrap/>
            <w:vAlign w:val="center"/>
            <w:hideMark/>
          </w:tcPr>
          <w:p w14:paraId="5AE2AA97" w14:textId="527415FB"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381 027</w:t>
            </w:r>
          </w:p>
        </w:tc>
        <w:tc>
          <w:tcPr>
            <w:tcW w:w="1276" w:type="dxa"/>
            <w:tcBorders>
              <w:top w:val="nil"/>
              <w:left w:val="single" w:sz="8" w:space="0" w:color="auto"/>
              <w:bottom w:val="nil"/>
              <w:right w:val="nil"/>
            </w:tcBorders>
            <w:shd w:val="clear" w:color="auto" w:fill="B4C6E7"/>
            <w:noWrap/>
            <w:vAlign w:val="center"/>
            <w:hideMark/>
          </w:tcPr>
          <w:p w14:paraId="44B75B1E" w14:textId="14EEF8A6" w:rsidR="005114F0" w:rsidRPr="0026278E" w:rsidRDefault="005114F0" w:rsidP="007F3552">
            <w:pPr>
              <w:autoSpaceDE/>
              <w:autoSpaceDN/>
              <w:spacing w:before="0" w:after="0" w:line="240" w:lineRule="auto"/>
              <w:jc w:val="center"/>
              <w:rPr>
                <w:rFonts w:cs="Calibri"/>
                <w:b/>
                <w:bCs/>
                <w:color w:val="000000"/>
                <w:sz w:val="20"/>
              </w:rPr>
            </w:pPr>
            <w:r w:rsidRPr="005A31CC">
              <w:rPr>
                <w:rFonts w:cs="Calibri"/>
                <w:b/>
                <w:bCs/>
                <w:color w:val="000000"/>
                <w:sz w:val="20"/>
              </w:rPr>
              <w:t>8</w:t>
            </w:r>
          </w:p>
        </w:tc>
      </w:tr>
      <w:tr w:rsidR="005A31CC" w:rsidRPr="005A31CC" w14:paraId="00081646" w14:textId="77777777" w:rsidTr="007F3552">
        <w:trPr>
          <w:trHeight w:val="345"/>
        </w:trPr>
        <w:tc>
          <w:tcPr>
            <w:tcW w:w="2977" w:type="dxa"/>
            <w:tcBorders>
              <w:top w:val="nil"/>
              <w:left w:val="nil"/>
              <w:bottom w:val="nil"/>
              <w:right w:val="nil"/>
            </w:tcBorders>
            <w:shd w:val="clear" w:color="000000" w:fill="D9D9D9"/>
            <w:noWrap/>
            <w:vAlign w:val="center"/>
          </w:tcPr>
          <w:p w14:paraId="312B0081" w14:textId="5B81191E" w:rsidR="005A31CC" w:rsidRPr="005A31CC" w:rsidRDefault="005A31CC" w:rsidP="005A31CC">
            <w:pPr>
              <w:autoSpaceDE/>
              <w:autoSpaceDN/>
              <w:spacing w:before="0" w:after="0" w:line="240" w:lineRule="auto"/>
              <w:jc w:val="center"/>
              <w:rPr>
                <w:rFonts w:cs="Calibri"/>
                <w:b/>
                <w:bCs/>
                <w:color w:val="000000"/>
                <w:sz w:val="20"/>
              </w:rPr>
            </w:pPr>
            <w:r w:rsidRPr="005A31CC">
              <w:rPr>
                <w:rFonts w:cs="Calibri"/>
                <w:b/>
                <w:bCs/>
                <w:color w:val="000000"/>
                <w:sz w:val="20"/>
              </w:rPr>
              <w:t>1 lakásra jutó</w:t>
            </w:r>
          </w:p>
        </w:tc>
        <w:tc>
          <w:tcPr>
            <w:tcW w:w="1418" w:type="dxa"/>
            <w:tcBorders>
              <w:top w:val="nil"/>
              <w:left w:val="single" w:sz="8" w:space="0" w:color="auto"/>
              <w:bottom w:val="single" w:sz="8" w:space="0" w:color="auto"/>
              <w:right w:val="nil"/>
            </w:tcBorders>
            <w:shd w:val="clear" w:color="auto" w:fill="B4C6E7"/>
            <w:noWrap/>
            <w:vAlign w:val="center"/>
          </w:tcPr>
          <w:p w14:paraId="59BF2975" w14:textId="172D1ED8" w:rsidR="005A31CC" w:rsidRPr="005A31CC" w:rsidRDefault="005A31CC" w:rsidP="005A31CC">
            <w:pPr>
              <w:autoSpaceDE/>
              <w:autoSpaceDN/>
              <w:spacing w:before="0" w:after="0" w:line="240" w:lineRule="auto"/>
              <w:jc w:val="center"/>
              <w:rPr>
                <w:rFonts w:cs="Calibri"/>
                <w:b/>
                <w:bCs/>
                <w:color w:val="000000"/>
                <w:sz w:val="20"/>
              </w:rPr>
            </w:pPr>
            <w:r w:rsidRPr="005A31CC">
              <w:rPr>
                <w:rFonts w:cs="Calibri"/>
                <w:b/>
                <w:bCs/>
                <w:color w:val="000000"/>
                <w:sz w:val="20"/>
              </w:rPr>
              <w:t>654</w:t>
            </w:r>
          </w:p>
        </w:tc>
        <w:tc>
          <w:tcPr>
            <w:tcW w:w="1554" w:type="dxa"/>
            <w:tcBorders>
              <w:top w:val="nil"/>
              <w:left w:val="single" w:sz="8" w:space="0" w:color="auto"/>
              <w:bottom w:val="single" w:sz="8" w:space="0" w:color="auto"/>
              <w:right w:val="nil"/>
            </w:tcBorders>
            <w:shd w:val="clear" w:color="auto" w:fill="B4C6E7"/>
            <w:noWrap/>
            <w:vAlign w:val="center"/>
          </w:tcPr>
          <w:p w14:paraId="15A64A1E" w14:textId="3904F326" w:rsidR="005A31CC" w:rsidRPr="005A31CC" w:rsidRDefault="005A31CC" w:rsidP="005A31CC">
            <w:pPr>
              <w:autoSpaceDE/>
              <w:autoSpaceDN/>
              <w:spacing w:before="0" w:after="0" w:line="240" w:lineRule="auto"/>
              <w:jc w:val="center"/>
              <w:rPr>
                <w:rFonts w:cs="Calibri"/>
                <w:b/>
                <w:bCs/>
                <w:color w:val="000000"/>
                <w:sz w:val="20"/>
              </w:rPr>
            </w:pPr>
            <w:r w:rsidRPr="005A31CC">
              <w:rPr>
                <w:rFonts w:cs="Calibri"/>
                <w:b/>
                <w:bCs/>
                <w:color w:val="000000"/>
                <w:sz w:val="20"/>
              </w:rPr>
              <w:t>46</w:t>
            </w:r>
          </w:p>
        </w:tc>
        <w:tc>
          <w:tcPr>
            <w:tcW w:w="1422" w:type="dxa"/>
            <w:tcBorders>
              <w:top w:val="nil"/>
              <w:left w:val="single" w:sz="8" w:space="0" w:color="auto"/>
              <w:bottom w:val="single" w:sz="8" w:space="0" w:color="auto"/>
              <w:right w:val="nil"/>
            </w:tcBorders>
            <w:shd w:val="clear" w:color="auto" w:fill="B4C6E7"/>
            <w:noWrap/>
            <w:vAlign w:val="center"/>
          </w:tcPr>
          <w:p w14:paraId="277627DB" w14:textId="1004D40A" w:rsidR="005A31CC" w:rsidRPr="005A31CC" w:rsidRDefault="005A31CC" w:rsidP="005A31CC">
            <w:pPr>
              <w:autoSpaceDE/>
              <w:autoSpaceDN/>
              <w:spacing w:before="0" w:after="0" w:line="240" w:lineRule="auto"/>
              <w:jc w:val="center"/>
              <w:rPr>
                <w:rFonts w:cs="Calibri"/>
                <w:b/>
                <w:bCs/>
                <w:color w:val="000000"/>
                <w:sz w:val="20"/>
              </w:rPr>
            </w:pPr>
          </w:p>
        </w:tc>
        <w:tc>
          <w:tcPr>
            <w:tcW w:w="1418" w:type="dxa"/>
            <w:tcBorders>
              <w:top w:val="nil"/>
              <w:left w:val="single" w:sz="8" w:space="0" w:color="auto"/>
              <w:bottom w:val="single" w:sz="8" w:space="0" w:color="auto"/>
              <w:right w:val="nil"/>
            </w:tcBorders>
            <w:shd w:val="clear" w:color="auto" w:fill="B4C6E7"/>
            <w:noWrap/>
            <w:vAlign w:val="center"/>
          </w:tcPr>
          <w:p w14:paraId="7AE3D6EB" w14:textId="6BBC6AE0" w:rsidR="005A31CC" w:rsidRPr="005A31CC" w:rsidRDefault="005A31CC" w:rsidP="005A31CC">
            <w:pPr>
              <w:autoSpaceDE/>
              <w:autoSpaceDN/>
              <w:spacing w:before="0" w:after="0" w:line="240" w:lineRule="auto"/>
              <w:jc w:val="center"/>
              <w:rPr>
                <w:rFonts w:cs="Calibri"/>
                <w:b/>
                <w:bCs/>
                <w:color w:val="000000"/>
                <w:sz w:val="20"/>
              </w:rPr>
            </w:pPr>
            <w:r w:rsidRPr="005A31CC">
              <w:rPr>
                <w:rFonts w:cs="Calibri"/>
                <w:b/>
                <w:bCs/>
                <w:color w:val="000000"/>
                <w:sz w:val="20"/>
              </w:rPr>
              <w:t>86</w:t>
            </w:r>
          </w:p>
        </w:tc>
        <w:tc>
          <w:tcPr>
            <w:tcW w:w="1276" w:type="dxa"/>
            <w:tcBorders>
              <w:top w:val="nil"/>
              <w:left w:val="single" w:sz="8" w:space="0" w:color="auto"/>
              <w:bottom w:val="single" w:sz="8" w:space="0" w:color="auto"/>
              <w:right w:val="nil"/>
            </w:tcBorders>
            <w:shd w:val="clear" w:color="auto" w:fill="B4C6E7"/>
            <w:noWrap/>
            <w:vAlign w:val="center"/>
          </w:tcPr>
          <w:p w14:paraId="11B8F7D3" w14:textId="77777777" w:rsidR="005A31CC" w:rsidRPr="005A31CC" w:rsidRDefault="005A31CC" w:rsidP="005A31CC">
            <w:pPr>
              <w:autoSpaceDE/>
              <w:autoSpaceDN/>
              <w:spacing w:before="0" w:after="0" w:line="240" w:lineRule="auto"/>
              <w:jc w:val="center"/>
              <w:rPr>
                <w:rFonts w:cs="Calibri"/>
                <w:b/>
                <w:bCs/>
                <w:color w:val="000000"/>
                <w:sz w:val="20"/>
              </w:rPr>
            </w:pPr>
          </w:p>
        </w:tc>
      </w:tr>
    </w:tbl>
    <w:p w14:paraId="08A9EE4D" w14:textId="1E10B3B9" w:rsidR="0026278E" w:rsidRDefault="007F3552" w:rsidP="007F3552">
      <w:pPr>
        <w:pStyle w:val="kepalairas"/>
      </w:pPr>
      <w:r>
        <w:t xml:space="preserve">Beruházási költség és megtérülés – </w:t>
      </w:r>
      <w:r w:rsidRPr="0026278E">
        <w:t>PV telepítés lakóépületre</w:t>
      </w:r>
    </w:p>
    <w:p w14:paraId="5F921AA8" w14:textId="2BBF5193" w:rsidR="0026278E" w:rsidRDefault="00B3446C" w:rsidP="009D2986">
      <w:r>
        <w:t xml:space="preserve">A beruházások egy lakásra jutó költsége a </w:t>
      </w:r>
      <w:proofErr w:type="spellStart"/>
      <w:r w:rsidRPr="005A31CC">
        <w:t>hőtechnikai</w:t>
      </w:r>
      <w:proofErr w:type="spellEnd"/>
      <w:r w:rsidRPr="005A31CC">
        <w:t xml:space="preserve"> felújítás</w:t>
      </w:r>
      <w:r>
        <w:t xml:space="preserve">ok esetében 5,373 millió Ft, a napelemek esetében 654 ezer Ft, és a hőszivattyúk esetében </w:t>
      </w:r>
      <w:r w:rsidR="008561C7">
        <w:t>3</w:t>
      </w:r>
      <w:r>
        <w:t>,</w:t>
      </w:r>
      <w:r w:rsidR="008561C7">
        <w:t>939</w:t>
      </w:r>
      <w:r>
        <w:t xml:space="preserve"> millió Ft.</w:t>
      </w:r>
    </w:p>
    <w:p w14:paraId="4CF42AB4" w14:textId="1ED75F1D" w:rsidR="00B3446C" w:rsidRDefault="00B3446C" w:rsidP="009D2986">
      <w:r>
        <w:t>A napelemek megtérülési ideje a legalacsonyabb – 8 év piaci árral, 14 év támogatott energiaárral számolva –, így a nemzeti szabályozás rendezését és az energiaközösségek társasházi alkalmazhatóságának mintaprojektjeit követően várhatóan nagy lesz az érdeklődés eziránt. Az opciók kialakításában minden épület felújításánál számoltunk PV telepítéssel.</w:t>
      </w:r>
    </w:p>
    <w:p w14:paraId="6B015CFA" w14:textId="748B1645" w:rsidR="00B3446C" w:rsidRDefault="00B3446C" w:rsidP="009D2986">
      <w:r>
        <w:lastRenderedPageBreak/>
        <w:t xml:space="preserve">A </w:t>
      </w:r>
      <w:proofErr w:type="spellStart"/>
      <w:r>
        <w:t>hőtechnikai</w:t>
      </w:r>
      <w:proofErr w:type="spellEnd"/>
      <w:r>
        <w:t xml:space="preserve"> felújítás a</w:t>
      </w:r>
      <w:r w:rsidR="00020E6A">
        <w:t xml:space="preserve">z energiafogyasztás csökkentésének első kritériuma, emellett a </w:t>
      </w:r>
      <w:r>
        <w:t>hatékony fűtőberendezések</w:t>
      </w:r>
      <w:r w:rsidR="00020E6A">
        <w:t>, különösen a hőszivattyús rendszerek</w:t>
      </w:r>
      <w:r>
        <w:t xml:space="preserve"> feltétele</w:t>
      </w:r>
      <w:r w:rsidR="00020E6A">
        <w:t xml:space="preserve">. Minden felújított épületnél az épületburok </w:t>
      </w:r>
      <w:proofErr w:type="spellStart"/>
      <w:r w:rsidR="00020E6A">
        <w:t>hőtechnikai</w:t>
      </w:r>
      <w:proofErr w:type="spellEnd"/>
      <w:r w:rsidR="00020E6A">
        <w:t xml:space="preserve"> felújítását bevettük, annak ellenére, hogy jelentős a megtérülési idő (32 év piaci árral, 68 év támogatott energiaárral). Számításba veendő azonban, hogy ez jelenti az ingatlan értéknövekedésének fő elemét. </w:t>
      </w:r>
    </w:p>
    <w:p w14:paraId="7FAC9AC0" w14:textId="248D5A52" w:rsidR="00020E6A" w:rsidRDefault="00020E6A" w:rsidP="002D0C8F">
      <w:r>
        <w:t>A társasházak jelentős részében egyedi fűtés jellemző. A hőszivattyús rendszerek a hűtési igények növekedésével és a fosszilis energia kivezetésével előtérbe kerül</w:t>
      </w:r>
      <w:r w:rsidR="002D0C8F">
        <w:t>nek</w:t>
      </w:r>
      <w:r>
        <w:t xml:space="preserve">. </w:t>
      </w:r>
      <w:r w:rsidR="002D0C8F">
        <w:t>Ugyan a</w:t>
      </w:r>
      <w:r>
        <w:t xml:space="preserve"> rendszerkiépítések</w:t>
      </w:r>
      <w:r w:rsidR="002D0C8F">
        <w:t xml:space="preserve"> a több tulajdonosi jogviszony miatt bizonytalanabb, az energiaválság miatt kialakult helyzet miatt e rendszerek kiépítésével is számoltunk.</w:t>
      </w:r>
      <w:r>
        <w:t xml:space="preserve"> Megtérülési ideje </w:t>
      </w:r>
      <w:r w:rsidR="00337B57">
        <w:t>14 év piaci árral, 51 év támogatott energiaárral számolva.</w:t>
      </w:r>
    </w:p>
    <w:p w14:paraId="79F3938C" w14:textId="67AB34E1" w:rsidR="00337B57" w:rsidRPr="008561C7" w:rsidRDefault="00337B57" w:rsidP="00C45A7D">
      <w:pPr>
        <w:rPr>
          <w:b/>
          <w:bCs/>
        </w:rPr>
      </w:pPr>
      <w:r>
        <w:t xml:space="preserve">KSH adatai szerint Erzsébetváros lakónépessége </w:t>
      </w:r>
      <w:r w:rsidRPr="000230B1">
        <w:t>49 652, lakásainak száma 37 217 (2022. január 1 állapot)</w:t>
      </w:r>
      <w:r>
        <w:rPr>
          <w:rStyle w:val="Lbjegyzet-hivatkozs"/>
        </w:rPr>
        <w:footnoteReference w:id="3"/>
      </w:r>
      <w:r w:rsidRPr="000230B1">
        <w:t xml:space="preserve">. </w:t>
      </w:r>
      <w:r w:rsidRPr="008561C7">
        <w:rPr>
          <w:b/>
          <w:bCs/>
        </w:rPr>
        <w:t>A fenti 120 épület a kerületi lakások 11,9%-át jelenti a tervezett 10 év alatt.</w:t>
      </w:r>
    </w:p>
    <w:p w14:paraId="0CA7F2C1" w14:textId="13B9577D" w:rsidR="00EE7E8A" w:rsidRPr="00EE7E8A" w:rsidRDefault="00337B57" w:rsidP="00F71F48">
      <w:pPr>
        <w:rPr>
          <w:b/>
          <w:bCs/>
        </w:rPr>
      </w:pPr>
      <w:r w:rsidRPr="00EE7E8A">
        <w:rPr>
          <w:b/>
          <w:bCs/>
        </w:rPr>
        <w:t xml:space="preserve">A felújítások egy lakásra, háztartásra jutó </w:t>
      </w:r>
      <w:r w:rsidR="008561C7">
        <w:rPr>
          <w:b/>
          <w:bCs/>
        </w:rPr>
        <w:t>9,97</w:t>
      </w:r>
      <w:r w:rsidRPr="00EE7E8A">
        <w:rPr>
          <w:b/>
          <w:bCs/>
        </w:rPr>
        <w:t xml:space="preserve"> millió forintos mértéke az ingatlanok értékéhez viszonyítva reálisnak mondható, különösen, hogy ezzel a </w:t>
      </w:r>
      <w:r w:rsidR="00583375">
        <w:rPr>
          <w:b/>
          <w:bCs/>
        </w:rPr>
        <w:t xml:space="preserve">lakások egészséges beltéri környezete és </w:t>
      </w:r>
      <w:r w:rsidRPr="00EE7E8A">
        <w:rPr>
          <w:b/>
          <w:bCs/>
        </w:rPr>
        <w:t xml:space="preserve">komfort javulása is megtörténik, és az ingatlan értéke </w:t>
      </w:r>
      <w:r w:rsidR="00583375">
        <w:rPr>
          <w:b/>
          <w:bCs/>
        </w:rPr>
        <w:t xml:space="preserve">akár </w:t>
      </w:r>
      <w:r w:rsidR="00583375" w:rsidRPr="00583375">
        <w:rPr>
          <w:b/>
          <w:bCs/>
        </w:rPr>
        <w:t>25-40%</w:t>
      </w:r>
      <w:r w:rsidR="00583375">
        <w:rPr>
          <w:b/>
          <w:bCs/>
        </w:rPr>
        <w:t>-kal</w:t>
      </w:r>
      <w:r w:rsidR="00583375" w:rsidRPr="00583375">
        <w:rPr>
          <w:b/>
          <w:bCs/>
        </w:rPr>
        <w:t xml:space="preserve"> </w:t>
      </w:r>
      <w:r w:rsidRPr="00EE7E8A">
        <w:rPr>
          <w:b/>
          <w:bCs/>
        </w:rPr>
        <w:t>is növek</w:t>
      </w:r>
      <w:r w:rsidR="00583375">
        <w:rPr>
          <w:b/>
          <w:bCs/>
        </w:rPr>
        <w:t>edhet</w:t>
      </w:r>
      <w:r w:rsidRPr="00EE7E8A">
        <w:rPr>
          <w:b/>
          <w:bCs/>
        </w:rPr>
        <w:t>.</w:t>
      </w:r>
    </w:p>
    <w:p w14:paraId="6B2B6553" w14:textId="581DDCAE" w:rsidR="00337B57" w:rsidRDefault="00337B57" w:rsidP="00F71F48">
      <w:r>
        <w:t>Egy kutatás (</w:t>
      </w:r>
      <w:proofErr w:type="spellStart"/>
      <w:r>
        <w:t>Ertl</w:t>
      </w:r>
      <w:proofErr w:type="spellEnd"/>
      <w:r>
        <w:t xml:space="preserve"> et </w:t>
      </w:r>
      <w:proofErr w:type="spellStart"/>
      <w:r>
        <w:t>al</w:t>
      </w:r>
      <w:proofErr w:type="spellEnd"/>
      <w:r>
        <w:t xml:space="preserve">, 2021) megvizsgálta a családi házak ára és energetikai jellemzői közötti összefüggést Magyarországon. Megállapította, hogy a jó energiakategóriájú házak 15–20%-os prémiumot mutatnak az átlagos kategóriához képest, amelyek hasonlóak a nemzetközi számítások eredményeihez, amelyek egy-egy kategória között 5–10 százalékos különbséget mérnek. Az energiahatékonysággal járó korszerűsítési felújítás árnövekedést eredményez, továbbá a kisebb beavatkozásokhoz képest a nagyobb felújítások relatíve jobban megtérülhetnek az ingatlanérték növekedésében. A területi vizsgálat azt is megmutatta, hogy a magasabb helyi lakáspiaci árszínvonal helyszínein – így különösen Budapesten – vonzóbbak, hiszen az alacsony piaci </w:t>
      </w:r>
      <w:proofErr w:type="gramStart"/>
      <w:r>
        <w:t>árú</w:t>
      </w:r>
      <w:proofErr w:type="gramEnd"/>
      <w:r>
        <w:t xml:space="preserve"> helyeken a felújítás költségei meghaladhatják a várható értéknövekedést.</w:t>
      </w:r>
    </w:p>
    <w:p w14:paraId="7C8C446B" w14:textId="5DCEBEA0" w:rsidR="00C45A7D" w:rsidRPr="00EE7E8A" w:rsidRDefault="00F71F48" w:rsidP="009D2986">
      <w:pPr>
        <w:rPr>
          <w:b/>
          <w:bCs/>
        </w:rPr>
      </w:pPr>
      <w:r w:rsidRPr="00EE7E8A">
        <w:rPr>
          <w:b/>
          <w:bCs/>
        </w:rPr>
        <w:t>A</w:t>
      </w:r>
      <w:r w:rsidR="000601B2" w:rsidRPr="00EE7E8A">
        <w:rPr>
          <w:b/>
          <w:bCs/>
        </w:rPr>
        <w:t xml:space="preserve"> magánépületek felújításait az Alap felállítását követően, 2024-től feltételezzük</w:t>
      </w:r>
      <w:r w:rsidR="00D5432D">
        <w:rPr>
          <w:b/>
          <w:bCs/>
        </w:rPr>
        <w:t xml:space="preserve">, a 10 év alatt 120 társasházban </w:t>
      </w:r>
      <w:proofErr w:type="spellStart"/>
      <w:r w:rsidR="00D5432D">
        <w:rPr>
          <w:b/>
          <w:bCs/>
        </w:rPr>
        <w:t>hőtechnikai</w:t>
      </w:r>
      <w:proofErr w:type="spellEnd"/>
      <w:r w:rsidR="00D5432D">
        <w:rPr>
          <w:b/>
          <w:bCs/>
        </w:rPr>
        <w:t xml:space="preserve"> felújítással és PV telepítéssel, központi hőszivattyús rendszerrel.</w:t>
      </w:r>
    </w:p>
    <w:tbl>
      <w:tblPr>
        <w:tblW w:w="9073" w:type="dxa"/>
        <w:tblInd w:w="-142" w:type="dxa"/>
        <w:tblCellMar>
          <w:left w:w="70" w:type="dxa"/>
          <w:right w:w="70" w:type="dxa"/>
        </w:tblCellMar>
        <w:tblLook w:val="04A0" w:firstRow="1" w:lastRow="0" w:firstColumn="1" w:lastColumn="0" w:noHBand="0" w:noVBand="1"/>
      </w:tblPr>
      <w:tblGrid>
        <w:gridCol w:w="2836"/>
        <w:gridCol w:w="567"/>
        <w:gridCol w:w="567"/>
        <w:gridCol w:w="567"/>
        <w:gridCol w:w="567"/>
        <w:gridCol w:w="567"/>
        <w:gridCol w:w="567"/>
        <w:gridCol w:w="567"/>
        <w:gridCol w:w="567"/>
        <w:gridCol w:w="567"/>
        <w:gridCol w:w="567"/>
        <w:gridCol w:w="567"/>
      </w:tblGrid>
      <w:tr w:rsidR="000734A9" w:rsidRPr="000601B2" w14:paraId="36E29732" w14:textId="77777777" w:rsidTr="000734A9">
        <w:trPr>
          <w:trHeight w:val="255"/>
        </w:trPr>
        <w:tc>
          <w:tcPr>
            <w:tcW w:w="2836" w:type="dxa"/>
            <w:tcBorders>
              <w:top w:val="nil"/>
              <w:left w:val="nil"/>
              <w:bottom w:val="nil"/>
              <w:right w:val="nil"/>
            </w:tcBorders>
            <w:vAlign w:val="center"/>
          </w:tcPr>
          <w:p w14:paraId="751C0CB3" w14:textId="77777777" w:rsidR="000734A9" w:rsidRPr="000601B2" w:rsidRDefault="000734A9" w:rsidP="000601B2">
            <w:pPr>
              <w:autoSpaceDE/>
              <w:autoSpaceDN/>
              <w:spacing w:before="0" w:after="0" w:line="240" w:lineRule="auto"/>
              <w:jc w:val="center"/>
              <w:rPr>
                <w:rFonts w:cs="Calibri"/>
                <w:color w:val="000000"/>
                <w:sz w:val="20"/>
              </w:rPr>
            </w:pPr>
          </w:p>
        </w:tc>
        <w:tc>
          <w:tcPr>
            <w:tcW w:w="567" w:type="dxa"/>
            <w:tcBorders>
              <w:top w:val="nil"/>
              <w:left w:val="nil"/>
              <w:bottom w:val="nil"/>
              <w:right w:val="nil"/>
            </w:tcBorders>
            <w:shd w:val="clear" w:color="auto" w:fill="auto"/>
            <w:noWrap/>
            <w:vAlign w:val="center"/>
            <w:hideMark/>
          </w:tcPr>
          <w:p w14:paraId="1A603209" w14:textId="7248FCED"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2023</w:t>
            </w:r>
          </w:p>
        </w:tc>
        <w:tc>
          <w:tcPr>
            <w:tcW w:w="567" w:type="dxa"/>
            <w:tcBorders>
              <w:top w:val="nil"/>
              <w:left w:val="nil"/>
              <w:bottom w:val="nil"/>
              <w:right w:val="nil"/>
            </w:tcBorders>
            <w:shd w:val="clear" w:color="auto" w:fill="auto"/>
            <w:noWrap/>
            <w:vAlign w:val="center"/>
            <w:hideMark/>
          </w:tcPr>
          <w:p w14:paraId="776C4474"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2024</w:t>
            </w:r>
          </w:p>
        </w:tc>
        <w:tc>
          <w:tcPr>
            <w:tcW w:w="567" w:type="dxa"/>
            <w:tcBorders>
              <w:top w:val="nil"/>
              <w:left w:val="nil"/>
              <w:bottom w:val="nil"/>
              <w:right w:val="nil"/>
            </w:tcBorders>
            <w:shd w:val="clear" w:color="auto" w:fill="auto"/>
            <w:noWrap/>
            <w:vAlign w:val="center"/>
            <w:hideMark/>
          </w:tcPr>
          <w:p w14:paraId="0F8B1765"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2025</w:t>
            </w:r>
          </w:p>
        </w:tc>
        <w:tc>
          <w:tcPr>
            <w:tcW w:w="567" w:type="dxa"/>
            <w:tcBorders>
              <w:top w:val="nil"/>
              <w:left w:val="nil"/>
              <w:bottom w:val="nil"/>
              <w:right w:val="nil"/>
            </w:tcBorders>
            <w:shd w:val="clear" w:color="auto" w:fill="auto"/>
            <w:noWrap/>
            <w:vAlign w:val="center"/>
            <w:hideMark/>
          </w:tcPr>
          <w:p w14:paraId="660D3DE7"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2026</w:t>
            </w:r>
          </w:p>
        </w:tc>
        <w:tc>
          <w:tcPr>
            <w:tcW w:w="567" w:type="dxa"/>
            <w:tcBorders>
              <w:top w:val="nil"/>
              <w:left w:val="nil"/>
              <w:bottom w:val="nil"/>
              <w:right w:val="nil"/>
            </w:tcBorders>
            <w:shd w:val="clear" w:color="auto" w:fill="auto"/>
            <w:noWrap/>
            <w:vAlign w:val="center"/>
            <w:hideMark/>
          </w:tcPr>
          <w:p w14:paraId="250CBA4F"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2027</w:t>
            </w:r>
          </w:p>
        </w:tc>
        <w:tc>
          <w:tcPr>
            <w:tcW w:w="567" w:type="dxa"/>
            <w:tcBorders>
              <w:top w:val="nil"/>
              <w:left w:val="nil"/>
              <w:bottom w:val="nil"/>
              <w:right w:val="nil"/>
            </w:tcBorders>
            <w:shd w:val="clear" w:color="auto" w:fill="auto"/>
            <w:noWrap/>
            <w:vAlign w:val="center"/>
            <w:hideMark/>
          </w:tcPr>
          <w:p w14:paraId="7454380C"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2028</w:t>
            </w:r>
          </w:p>
        </w:tc>
        <w:tc>
          <w:tcPr>
            <w:tcW w:w="567" w:type="dxa"/>
            <w:tcBorders>
              <w:top w:val="nil"/>
              <w:left w:val="nil"/>
              <w:bottom w:val="nil"/>
              <w:right w:val="nil"/>
            </w:tcBorders>
            <w:shd w:val="clear" w:color="auto" w:fill="auto"/>
            <w:noWrap/>
            <w:vAlign w:val="center"/>
            <w:hideMark/>
          </w:tcPr>
          <w:p w14:paraId="5DF70BE9"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2029</w:t>
            </w:r>
          </w:p>
        </w:tc>
        <w:tc>
          <w:tcPr>
            <w:tcW w:w="567" w:type="dxa"/>
            <w:tcBorders>
              <w:top w:val="nil"/>
              <w:left w:val="nil"/>
              <w:bottom w:val="nil"/>
              <w:right w:val="nil"/>
            </w:tcBorders>
            <w:shd w:val="clear" w:color="auto" w:fill="auto"/>
            <w:noWrap/>
            <w:vAlign w:val="center"/>
            <w:hideMark/>
          </w:tcPr>
          <w:p w14:paraId="6990C4AE"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2030</w:t>
            </w:r>
          </w:p>
        </w:tc>
        <w:tc>
          <w:tcPr>
            <w:tcW w:w="567" w:type="dxa"/>
            <w:tcBorders>
              <w:top w:val="nil"/>
              <w:left w:val="nil"/>
              <w:bottom w:val="nil"/>
              <w:right w:val="nil"/>
            </w:tcBorders>
            <w:shd w:val="clear" w:color="auto" w:fill="auto"/>
            <w:noWrap/>
            <w:vAlign w:val="center"/>
            <w:hideMark/>
          </w:tcPr>
          <w:p w14:paraId="71D63BA6"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2031</w:t>
            </w:r>
          </w:p>
        </w:tc>
        <w:tc>
          <w:tcPr>
            <w:tcW w:w="567" w:type="dxa"/>
            <w:tcBorders>
              <w:top w:val="nil"/>
              <w:left w:val="nil"/>
              <w:bottom w:val="nil"/>
              <w:right w:val="nil"/>
            </w:tcBorders>
            <w:shd w:val="clear" w:color="auto" w:fill="auto"/>
            <w:noWrap/>
            <w:vAlign w:val="center"/>
            <w:hideMark/>
          </w:tcPr>
          <w:p w14:paraId="42BB337C"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2032</w:t>
            </w:r>
          </w:p>
        </w:tc>
        <w:tc>
          <w:tcPr>
            <w:tcW w:w="567" w:type="dxa"/>
            <w:tcBorders>
              <w:top w:val="nil"/>
              <w:left w:val="nil"/>
              <w:bottom w:val="nil"/>
              <w:right w:val="nil"/>
            </w:tcBorders>
            <w:shd w:val="clear" w:color="auto" w:fill="auto"/>
            <w:noWrap/>
            <w:vAlign w:val="center"/>
            <w:hideMark/>
          </w:tcPr>
          <w:p w14:paraId="22B2F058" w14:textId="77777777" w:rsidR="000734A9" w:rsidRPr="00F71F48" w:rsidRDefault="000734A9" w:rsidP="000601B2">
            <w:pPr>
              <w:autoSpaceDE/>
              <w:autoSpaceDN/>
              <w:spacing w:before="0" w:after="0" w:line="240" w:lineRule="auto"/>
              <w:jc w:val="center"/>
              <w:rPr>
                <w:rFonts w:cs="Calibri"/>
                <w:color w:val="000000"/>
                <w:sz w:val="20"/>
              </w:rPr>
            </w:pPr>
            <w:r w:rsidRPr="00F71F48">
              <w:rPr>
                <w:rFonts w:cs="Calibri"/>
                <w:color w:val="000000"/>
                <w:sz w:val="20"/>
              </w:rPr>
              <w:t>2033</w:t>
            </w:r>
          </w:p>
        </w:tc>
      </w:tr>
      <w:tr w:rsidR="002D0C8F" w:rsidRPr="000601B2" w14:paraId="203F20B8" w14:textId="77777777" w:rsidTr="00E66302">
        <w:trPr>
          <w:trHeight w:val="255"/>
        </w:trPr>
        <w:tc>
          <w:tcPr>
            <w:tcW w:w="2836" w:type="dxa"/>
            <w:tcBorders>
              <w:top w:val="nil"/>
              <w:left w:val="nil"/>
              <w:bottom w:val="nil"/>
              <w:right w:val="nil"/>
            </w:tcBorders>
            <w:shd w:val="clear" w:color="auto" w:fill="auto"/>
            <w:vAlign w:val="center"/>
          </w:tcPr>
          <w:p w14:paraId="0234E23F" w14:textId="03171B15" w:rsidR="002D0C8F" w:rsidRPr="000601B2" w:rsidRDefault="002D0C8F" w:rsidP="002D0C8F">
            <w:pPr>
              <w:autoSpaceDE/>
              <w:autoSpaceDN/>
              <w:spacing w:before="0" w:after="0" w:line="240" w:lineRule="auto"/>
              <w:jc w:val="center"/>
              <w:rPr>
                <w:rFonts w:cs="Calibri"/>
                <w:color w:val="000000"/>
                <w:sz w:val="20"/>
              </w:rPr>
            </w:pPr>
            <w:r w:rsidRPr="000601B2">
              <w:rPr>
                <w:rFonts w:cs="Calibri"/>
                <w:color w:val="000000"/>
                <w:sz w:val="20"/>
              </w:rPr>
              <w:t xml:space="preserve">induló magán </w:t>
            </w:r>
            <w:proofErr w:type="spellStart"/>
            <w:r w:rsidRPr="000601B2">
              <w:rPr>
                <w:rFonts w:cs="Calibri"/>
                <w:color w:val="000000"/>
                <w:sz w:val="20"/>
              </w:rPr>
              <w:t>hőtechnikai</w:t>
            </w:r>
            <w:proofErr w:type="spellEnd"/>
            <w:r w:rsidRPr="000601B2">
              <w:rPr>
                <w:rFonts w:cs="Calibri"/>
                <w:color w:val="000000"/>
                <w:sz w:val="20"/>
              </w:rPr>
              <w:t xml:space="preserve"> projektek</w:t>
            </w:r>
          </w:p>
        </w:tc>
        <w:tc>
          <w:tcPr>
            <w:tcW w:w="567" w:type="dxa"/>
            <w:tcBorders>
              <w:top w:val="nil"/>
              <w:left w:val="nil"/>
              <w:bottom w:val="nil"/>
              <w:right w:val="nil"/>
            </w:tcBorders>
            <w:shd w:val="clear" w:color="auto" w:fill="auto"/>
            <w:noWrap/>
            <w:hideMark/>
          </w:tcPr>
          <w:p w14:paraId="0E1299EA" w14:textId="7A4B005F"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0</w:t>
            </w:r>
          </w:p>
        </w:tc>
        <w:tc>
          <w:tcPr>
            <w:tcW w:w="567" w:type="dxa"/>
            <w:tcBorders>
              <w:top w:val="nil"/>
              <w:left w:val="nil"/>
              <w:bottom w:val="nil"/>
              <w:right w:val="nil"/>
            </w:tcBorders>
            <w:shd w:val="clear" w:color="auto" w:fill="auto"/>
            <w:noWrap/>
            <w:hideMark/>
          </w:tcPr>
          <w:p w14:paraId="7AA7670B" w14:textId="60F24028"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5</w:t>
            </w:r>
          </w:p>
        </w:tc>
        <w:tc>
          <w:tcPr>
            <w:tcW w:w="567" w:type="dxa"/>
            <w:tcBorders>
              <w:top w:val="nil"/>
              <w:left w:val="nil"/>
              <w:bottom w:val="nil"/>
              <w:right w:val="nil"/>
            </w:tcBorders>
            <w:shd w:val="clear" w:color="auto" w:fill="auto"/>
            <w:noWrap/>
            <w:hideMark/>
          </w:tcPr>
          <w:p w14:paraId="03290451" w14:textId="776044AF"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10</w:t>
            </w:r>
          </w:p>
        </w:tc>
        <w:tc>
          <w:tcPr>
            <w:tcW w:w="567" w:type="dxa"/>
            <w:tcBorders>
              <w:top w:val="nil"/>
              <w:left w:val="nil"/>
              <w:bottom w:val="nil"/>
              <w:right w:val="nil"/>
            </w:tcBorders>
            <w:shd w:val="clear" w:color="auto" w:fill="auto"/>
            <w:noWrap/>
            <w:hideMark/>
          </w:tcPr>
          <w:p w14:paraId="57973984" w14:textId="549E11F9"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10</w:t>
            </w:r>
          </w:p>
        </w:tc>
        <w:tc>
          <w:tcPr>
            <w:tcW w:w="567" w:type="dxa"/>
            <w:tcBorders>
              <w:top w:val="nil"/>
              <w:left w:val="nil"/>
              <w:bottom w:val="nil"/>
              <w:right w:val="nil"/>
            </w:tcBorders>
            <w:shd w:val="clear" w:color="auto" w:fill="auto"/>
            <w:noWrap/>
            <w:hideMark/>
          </w:tcPr>
          <w:p w14:paraId="5F866F98" w14:textId="3F63F9B9"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11</w:t>
            </w:r>
          </w:p>
        </w:tc>
        <w:tc>
          <w:tcPr>
            <w:tcW w:w="567" w:type="dxa"/>
            <w:tcBorders>
              <w:top w:val="nil"/>
              <w:left w:val="nil"/>
              <w:bottom w:val="nil"/>
              <w:right w:val="nil"/>
            </w:tcBorders>
            <w:shd w:val="clear" w:color="auto" w:fill="auto"/>
            <w:noWrap/>
            <w:hideMark/>
          </w:tcPr>
          <w:p w14:paraId="4374079D" w14:textId="58F77148"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12</w:t>
            </w:r>
          </w:p>
        </w:tc>
        <w:tc>
          <w:tcPr>
            <w:tcW w:w="567" w:type="dxa"/>
            <w:tcBorders>
              <w:top w:val="nil"/>
              <w:left w:val="nil"/>
              <w:bottom w:val="nil"/>
              <w:right w:val="nil"/>
            </w:tcBorders>
            <w:shd w:val="clear" w:color="auto" w:fill="auto"/>
            <w:noWrap/>
            <w:hideMark/>
          </w:tcPr>
          <w:p w14:paraId="5554F35E" w14:textId="4E9E6210"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13</w:t>
            </w:r>
          </w:p>
        </w:tc>
        <w:tc>
          <w:tcPr>
            <w:tcW w:w="567" w:type="dxa"/>
            <w:tcBorders>
              <w:top w:val="nil"/>
              <w:left w:val="nil"/>
              <w:bottom w:val="nil"/>
              <w:right w:val="nil"/>
            </w:tcBorders>
            <w:shd w:val="clear" w:color="auto" w:fill="auto"/>
            <w:noWrap/>
            <w:hideMark/>
          </w:tcPr>
          <w:p w14:paraId="3709351D" w14:textId="7CAFCB74"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14</w:t>
            </w:r>
          </w:p>
        </w:tc>
        <w:tc>
          <w:tcPr>
            <w:tcW w:w="567" w:type="dxa"/>
            <w:tcBorders>
              <w:top w:val="nil"/>
              <w:left w:val="nil"/>
              <w:bottom w:val="nil"/>
              <w:right w:val="nil"/>
            </w:tcBorders>
            <w:shd w:val="clear" w:color="auto" w:fill="auto"/>
            <w:noWrap/>
            <w:hideMark/>
          </w:tcPr>
          <w:p w14:paraId="77477CD0" w14:textId="1AAF0910"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15</w:t>
            </w:r>
          </w:p>
        </w:tc>
        <w:tc>
          <w:tcPr>
            <w:tcW w:w="567" w:type="dxa"/>
            <w:tcBorders>
              <w:top w:val="nil"/>
              <w:left w:val="nil"/>
              <w:bottom w:val="nil"/>
              <w:right w:val="nil"/>
            </w:tcBorders>
            <w:shd w:val="clear" w:color="auto" w:fill="auto"/>
            <w:noWrap/>
            <w:hideMark/>
          </w:tcPr>
          <w:p w14:paraId="0C8C2B41" w14:textId="15C3DBDD"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15</w:t>
            </w:r>
          </w:p>
        </w:tc>
        <w:tc>
          <w:tcPr>
            <w:tcW w:w="567" w:type="dxa"/>
            <w:tcBorders>
              <w:top w:val="nil"/>
              <w:left w:val="nil"/>
              <w:bottom w:val="nil"/>
              <w:right w:val="nil"/>
            </w:tcBorders>
            <w:shd w:val="clear" w:color="auto" w:fill="auto"/>
            <w:noWrap/>
            <w:hideMark/>
          </w:tcPr>
          <w:p w14:paraId="78642178" w14:textId="5B98B287"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15</w:t>
            </w:r>
          </w:p>
        </w:tc>
      </w:tr>
      <w:tr w:rsidR="002D0C8F" w:rsidRPr="000601B2" w14:paraId="02C252D9" w14:textId="77777777" w:rsidTr="00E66302">
        <w:trPr>
          <w:trHeight w:val="255"/>
        </w:trPr>
        <w:tc>
          <w:tcPr>
            <w:tcW w:w="2836" w:type="dxa"/>
            <w:tcBorders>
              <w:top w:val="nil"/>
              <w:left w:val="nil"/>
              <w:bottom w:val="nil"/>
              <w:right w:val="nil"/>
            </w:tcBorders>
            <w:shd w:val="clear" w:color="auto" w:fill="auto"/>
            <w:vAlign w:val="center"/>
          </w:tcPr>
          <w:p w14:paraId="1D64E3EA" w14:textId="6BE283A9" w:rsidR="002D0C8F" w:rsidRPr="000601B2" w:rsidRDefault="002D0C8F" w:rsidP="002D0C8F">
            <w:pPr>
              <w:autoSpaceDE/>
              <w:autoSpaceDN/>
              <w:spacing w:before="0" w:after="0" w:line="240" w:lineRule="auto"/>
              <w:jc w:val="center"/>
              <w:rPr>
                <w:rFonts w:cs="Calibri"/>
                <w:color w:val="000000"/>
                <w:sz w:val="20"/>
              </w:rPr>
            </w:pPr>
            <w:r w:rsidRPr="000601B2">
              <w:rPr>
                <w:rFonts w:cs="Calibri"/>
                <w:color w:val="000000"/>
                <w:sz w:val="20"/>
              </w:rPr>
              <w:t>induló magán hőszivattyú projektek</w:t>
            </w:r>
          </w:p>
        </w:tc>
        <w:tc>
          <w:tcPr>
            <w:tcW w:w="567" w:type="dxa"/>
            <w:tcBorders>
              <w:top w:val="nil"/>
              <w:left w:val="nil"/>
              <w:bottom w:val="nil"/>
              <w:right w:val="nil"/>
            </w:tcBorders>
            <w:shd w:val="clear" w:color="auto" w:fill="auto"/>
            <w:noWrap/>
            <w:hideMark/>
          </w:tcPr>
          <w:p w14:paraId="30D6F2D5" w14:textId="57330AD6"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0</w:t>
            </w:r>
          </w:p>
        </w:tc>
        <w:tc>
          <w:tcPr>
            <w:tcW w:w="567" w:type="dxa"/>
            <w:tcBorders>
              <w:top w:val="nil"/>
              <w:left w:val="nil"/>
              <w:bottom w:val="nil"/>
              <w:right w:val="nil"/>
            </w:tcBorders>
            <w:shd w:val="clear" w:color="auto" w:fill="auto"/>
            <w:noWrap/>
            <w:hideMark/>
          </w:tcPr>
          <w:p w14:paraId="412EB3DD" w14:textId="42A88955"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5</w:t>
            </w:r>
          </w:p>
        </w:tc>
        <w:tc>
          <w:tcPr>
            <w:tcW w:w="567" w:type="dxa"/>
            <w:tcBorders>
              <w:top w:val="nil"/>
              <w:left w:val="nil"/>
              <w:bottom w:val="nil"/>
              <w:right w:val="nil"/>
            </w:tcBorders>
            <w:shd w:val="clear" w:color="auto" w:fill="auto"/>
            <w:noWrap/>
            <w:hideMark/>
          </w:tcPr>
          <w:p w14:paraId="37B70100" w14:textId="3B16692C"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10</w:t>
            </w:r>
          </w:p>
        </w:tc>
        <w:tc>
          <w:tcPr>
            <w:tcW w:w="567" w:type="dxa"/>
            <w:tcBorders>
              <w:top w:val="nil"/>
              <w:left w:val="nil"/>
              <w:bottom w:val="nil"/>
              <w:right w:val="nil"/>
            </w:tcBorders>
            <w:shd w:val="clear" w:color="auto" w:fill="auto"/>
            <w:noWrap/>
            <w:hideMark/>
          </w:tcPr>
          <w:p w14:paraId="02AE1D11" w14:textId="17A4D66B"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10</w:t>
            </w:r>
          </w:p>
        </w:tc>
        <w:tc>
          <w:tcPr>
            <w:tcW w:w="567" w:type="dxa"/>
            <w:tcBorders>
              <w:top w:val="nil"/>
              <w:left w:val="nil"/>
              <w:bottom w:val="nil"/>
              <w:right w:val="nil"/>
            </w:tcBorders>
            <w:shd w:val="clear" w:color="auto" w:fill="auto"/>
            <w:noWrap/>
            <w:hideMark/>
          </w:tcPr>
          <w:p w14:paraId="6C9DD443" w14:textId="2685E6DE"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11</w:t>
            </w:r>
          </w:p>
        </w:tc>
        <w:tc>
          <w:tcPr>
            <w:tcW w:w="567" w:type="dxa"/>
            <w:tcBorders>
              <w:top w:val="nil"/>
              <w:left w:val="nil"/>
              <w:bottom w:val="nil"/>
              <w:right w:val="nil"/>
            </w:tcBorders>
            <w:shd w:val="clear" w:color="auto" w:fill="auto"/>
            <w:noWrap/>
            <w:hideMark/>
          </w:tcPr>
          <w:p w14:paraId="7DE50C4B" w14:textId="0208855A"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12</w:t>
            </w:r>
          </w:p>
        </w:tc>
        <w:tc>
          <w:tcPr>
            <w:tcW w:w="567" w:type="dxa"/>
            <w:tcBorders>
              <w:top w:val="nil"/>
              <w:left w:val="nil"/>
              <w:bottom w:val="nil"/>
              <w:right w:val="nil"/>
            </w:tcBorders>
            <w:shd w:val="clear" w:color="auto" w:fill="auto"/>
            <w:noWrap/>
            <w:hideMark/>
          </w:tcPr>
          <w:p w14:paraId="5715970D" w14:textId="74DD438D"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13</w:t>
            </w:r>
          </w:p>
        </w:tc>
        <w:tc>
          <w:tcPr>
            <w:tcW w:w="567" w:type="dxa"/>
            <w:tcBorders>
              <w:top w:val="nil"/>
              <w:left w:val="nil"/>
              <w:bottom w:val="nil"/>
              <w:right w:val="nil"/>
            </w:tcBorders>
            <w:shd w:val="clear" w:color="auto" w:fill="auto"/>
            <w:noWrap/>
            <w:hideMark/>
          </w:tcPr>
          <w:p w14:paraId="7250A6A9" w14:textId="20A81EA0"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14</w:t>
            </w:r>
          </w:p>
        </w:tc>
        <w:tc>
          <w:tcPr>
            <w:tcW w:w="567" w:type="dxa"/>
            <w:tcBorders>
              <w:top w:val="nil"/>
              <w:left w:val="nil"/>
              <w:bottom w:val="nil"/>
              <w:right w:val="nil"/>
            </w:tcBorders>
            <w:shd w:val="clear" w:color="auto" w:fill="auto"/>
            <w:noWrap/>
            <w:hideMark/>
          </w:tcPr>
          <w:p w14:paraId="1B16928A" w14:textId="0FE24EBF"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15</w:t>
            </w:r>
          </w:p>
        </w:tc>
        <w:tc>
          <w:tcPr>
            <w:tcW w:w="567" w:type="dxa"/>
            <w:tcBorders>
              <w:top w:val="nil"/>
              <w:left w:val="nil"/>
              <w:bottom w:val="nil"/>
              <w:right w:val="nil"/>
            </w:tcBorders>
            <w:shd w:val="clear" w:color="auto" w:fill="auto"/>
            <w:noWrap/>
            <w:hideMark/>
          </w:tcPr>
          <w:p w14:paraId="4C007666" w14:textId="5AA4AC51"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15</w:t>
            </w:r>
          </w:p>
        </w:tc>
        <w:tc>
          <w:tcPr>
            <w:tcW w:w="567" w:type="dxa"/>
            <w:tcBorders>
              <w:top w:val="nil"/>
              <w:left w:val="nil"/>
              <w:bottom w:val="nil"/>
              <w:right w:val="nil"/>
            </w:tcBorders>
            <w:shd w:val="clear" w:color="auto" w:fill="auto"/>
            <w:noWrap/>
            <w:hideMark/>
          </w:tcPr>
          <w:p w14:paraId="48CAFEB8" w14:textId="3CD7622B"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15</w:t>
            </w:r>
          </w:p>
        </w:tc>
      </w:tr>
      <w:tr w:rsidR="002D0C8F" w:rsidRPr="000601B2" w14:paraId="48AF3EC9" w14:textId="77777777" w:rsidTr="00E66302">
        <w:trPr>
          <w:trHeight w:val="255"/>
        </w:trPr>
        <w:tc>
          <w:tcPr>
            <w:tcW w:w="2836" w:type="dxa"/>
            <w:tcBorders>
              <w:top w:val="nil"/>
              <w:left w:val="nil"/>
              <w:bottom w:val="nil"/>
              <w:right w:val="nil"/>
            </w:tcBorders>
            <w:shd w:val="clear" w:color="auto" w:fill="auto"/>
            <w:vAlign w:val="center"/>
          </w:tcPr>
          <w:p w14:paraId="00A3A71C" w14:textId="68F6DE2F" w:rsidR="002D0C8F" w:rsidRPr="000601B2" w:rsidRDefault="002D0C8F" w:rsidP="002D0C8F">
            <w:pPr>
              <w:autoSpaceDE/>
              <w:autoSpaceDN/>
              <w:spacing w:before="0" w:after="0" w:line="240" w:lineRule="auto"/>
              <w:jc w:val="center"/>
              <w:rPr>
                <w:rFonts w:cs="Calibri"/>
                <w:color w:val="000000"/>
                <w:sz w:val="20"/>
              </w:rPr>
            </w:pPr>
            <w:r w:rsidRPr="000601B2">
              <w:rPr>
                <w:rFonts w:cs="Calibri"/>
                <w:color w:val="000000"/>
                <w:sz w:val="20"/>
              </w:rPr>
              <w:t>induló magán napelem projektek</w:t>
            </w:r>
          </w:p>
        </w:tc>
        <w:tc>
          <w:tcPr>
            <w:tcW w:w="567" w:type="dxa"/>
            <w:tcBorders>
              <w:top w:val="nil"/>
              <w:left w:val="nil"/>
              <w:bottom w:val="nil"/>
              <w:right w:val="nil"/>
            </w:tcBorders>
            <w:shd w:val="clear" w:color="auto" w:fill="auto"/>
            <w:noWrap/>
            <w:hideMark/>
          </w:tcPr>
          <w:p w14:paraId="73F11231" w14:textId="3120DAED"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0</w:t>
            </w:r>
          </w:p>
        </w:tc>
        <w:tc>
          <w:tcPr>
            <w:tcW w:w="567" w:type="dxa"/>
            <w:tcBorders>
              <w:top w:val="nil"/>
              <w:left w:val="nil"/>
              <w:bottom w:val="nil"/>
              <w:right w:val="nil"/>
            </w:tcBorders>
            <w:shd w:val="clear" w:color="auto" w:fill="auto"/>
            <w:noWrap/>
            <w:hideMark/>
          </w:tcPr>
          <w:p w14:paraId="0253C6F6" w14:textId="1FA4A606"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5</w:t>
            </w:r>
          </w:p>
        </w:tc>
        <w:tc>
          <w:tcPr>
            <w:tcW w:w="567" w:type="dxa"/>
            <w:tcBorders>
              <w:top w:val="nil"/>
              <w:left w:val="nil"/>
              <w:bottom w:val="nil"/>
              <w:right w:val="nil"/>
            </w:tcBorders>
            <w:shd w:val="clear" w:color="auto" w:fill="auto"/>
            <w:noWrap/>
            <w:hideMark/>
          </w:tcPr>
          <w:p w14:paraId="630477CC" w14:textId="34AC6930"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10</w:t>
            </w:r>
          </w:p>
        </w:tc>
        <w:tc>
          <w:tcPr>
            <w:tcW w:w="567" w:type="dxa"/>
            <w:tcBorders>
              <w:top w:val="nil"/>
              <w:left w:val="nil"/>
              <w:bottom w:val="nil"/>
              <w:right w:val="nil"/>
            </w:tcBorders>
            <w:shd w:val="clear" w:color="auto" w:fill="auto"/>
            <w:noWrap/>
            <w:hideMark/>
          </w:tcPr>
          <w:p w14:paraId="3D74C24D" w14:textId="645B42B1"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10</w:t>
            </w:r>
          </w:p>
        </w:tc>
        <w:tc>
          <w:tcPr>
            <w:tcW w:w="567" w:type="dxa"/>
            <w:tcBorders>
              <w:top w:val="nil"/>
              <w:left w:val="nil"/>
              <w:bottom w:val="nil"/>
              <w:right w:val="nil"/>
            </w:tcBorders>
            <w:shd w:val="clear" w:color="auto" w:fill="auto"/>
            <w:noWrap/>
            <w:hideMark/>
          </w:tcPr>
          <w:p w14:paraId="434ED1C0" w14:textId="3B87D72A"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11</w:t>
            </w:r>
          </w:p>
        </w:tc>
        <w:tc>
          <w:tcPr>
            <w:tcW w:w="567" w:type="dxa"/>
            <w:tcBorders>
              <w:top w:val="nil"/>
              <w:left w:val="nil"/>
              <w:bottom w:val="nil"/>
              <w:right w:val="nil"/>
            </w:tcBorders>
            <w:shd w:val="clear" w:color="auto" w:fill="auto"/>
            <w:noWrap/>
            <w:hideMark/>
          </w:tcPr>
          <w:p w14:paraId="41D17B0E" w14:textId="3553B9E1"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12</w:t>
            </w:r>
          </w:p>
        </w:tc>
        <w:tc>
          <w:tcPr>
            <w:tcW w:w="567" w:type="dxa"/>
            <w:tcBorders>
              <w:top w:val="nil"/>
              <w:left w:val="nil"/>
              <w:bottom w:val="nil"/>
              <w:right w:val="nil"/>
            </w:tcBorders>
            <w:shd w:val="clear" w:color="auto" w:fill="auto"/>
            <w:noWrap/>
            <w:hideMark/>
          </w:tcPr>
          <w:p w14:paraId="1C6AACCB" w14:textId="1ABF639C"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13</w:t>
            </w:r>
          </w:p>
        </w:tc>
        <w:tc>
          <w:tcPr>
            <w:tcW w:w="567" w:type="dxa"/>
            <w:tcBorders>
              <w:top w:val="nil"/>
              <w:left w:val="nil"/>
              <w:bottom w:val="nil"/>
              <w:right w:val="nil"/>
            </w:tcBorders>
            <w:shd w:val="clear" w:color="auto" w:fill="auto"/>
            <w:noWrap/>
            <w:hideMark/>
          </w:tcPr>
          <w:p w14:paraId="4373A004" w14:textId="003E8BE8"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14</w:t>
            </w:r>
          </w:p>
        </w:tc>
        <w:tc>
          <w:tcPr>
            <w:tcW w:w="567" w:type="dxa"/>
            <w:tcBorders>
              <w:top w:val="nil"/>
              <w:left w:val="nil"/>
              <w:bottom w:val="nil"/>
              <w:right w:val="nil"/>
            </w:tcBorders>
            <w:shd w:val="clear" w:color="auto" w:fill="auto"/>
            <w:noWrap/>
            <w:hideMark/>
          </w:tcPr>
          <w:p w14:paraId="45CEA31A" w14:textId="17D258EA"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15</w:t>
            </w:r>
          </w:p>
        </w:tc>
        <w:tc>
          <w:tcPr>
            <w:tcW w:w="567" w:type="dxa"/>
            <w:tcBorders>
              <w:top w:val="nil"/>
              <w:left w:val="nil"/>
              <w:bottom w:val="nil"/>
              <w:right w:val="nil"/>
            </w:tcBorders>
            <w:shd w:val="clear" w:color="auto" w:fill="auto"/>
            <w:noWrap/>
            <w:hideMark/>
          </w:tcPr>
          <w:p w14:paraId="2353FAA2" w14:textId="3B3D60DF"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15</w:t>
            </w:r>
          </w:p>
        </w:tc>
        <w:tc>
          <w:tcPr>
            <w:tcW w:w="567" w:type="dxa"/>
            <w:tcBorders>
              <w:top w:val="nil"/>
              <w:left w:val="nil"/>
              <w:bottom w:val="nil"/>
              <w:right w:val="nil"/>
            </w:tcBorders>
            <w:shd w:val="clear" w:color="auto" w:fill="auto"/>
            <w:noWrap/>
            <w:hideMark/>
          </w:tcPr>
          <w:p w14:paraId="67C2D8B0" w14:textId="4D160601" w:rsidR="002D0C8F" w:rsidRPr="00F71F48" w:rsidRDefault="002D0C8F" w:rsidP="002D0C8F">
            <w:pPr>
              <w:autoSpaceDE/>
              <w:autoSpaceDN/>
              <w:spacing w:before="0" w:after="0" w:line="240" w:lineRule="auto"/>
              <w:jc w:val="center"/>
              <w:rPr>
                <w:rFonts w:cs="Calibri"/>
                <w:color w:val="000000"/>
                <w:sz w:val="20"/>
              </w:rPr>
            </w:pPr>
            <w:r w:rsidRPr="002D0C8F">
              <w:rPr>
                <w:rFonts w:cs="Calibri"/>
                <w:color w:val="000000"/>
                <w:sz w:val="20"/>
              </w:rPr>
              <w:t>15</w:t>
            </w:r>
          </w:p>
        </w:tc>
      </w:tr>
    </w:tbl>
    <w:p w14:paraId="010184C9" w14:textId="16BD09B9" w:rsidR="00F71F48" w:rsidRPr="000601B2" w:rsidRDefault="000601B2" w:rsidP="009F316B">
      <w:pPr>
        <w:pStyle w:val="Cmsor4"/>
      </w:pPr>
      <w:r w:rsidRPr="000601B2">
        <w:t>1</w:t>
      </w:r>
      <w:r w:rsidR="00451ECA">
        <w:t xml:space="preserve"> Szcenárió</w:t>
      </w:r>
      <w:r w:rsidRPr="000601B2">
        <w:t>: 60% támogatási intenzitás, 4 éves visszafizetési idő</w:t>
      </w:r>
    </w:p>
    <w:p w14:paraId="59C9A809" w14:textId="398CF616" w:rsidR="005E6E52" w:rsidRDefault="00875415" w:rsidP="009D2986">
      <w:bookmarkStart w:id="37" w:name="_Hlk130793393"/>
      <w:r>
        <w:t>Az Alap</w:t>
      </w:r>
      <w:r w:rsidR="005E6E52">
        <w:t xml:space="preserve"> az eredeti 1,08 milliárd tőkével nem elegendő a társasházak ilyen mértékű mélyfelújítási eredményeihez. A korai időszakban jelentkező kiadások meghaladják a visszafizetésekből származó bevételeket. 2025</w:t>
      </w:r>
      <w:r w:rsidR="00D4287A">
        <w:t>-ben 1,6 milliárd, 2026-tól</w:t>
      </w:r>
      <w:r w:rsidR="005E6E52">
        <w:t xml:space="preserve"> 1 milliárd, 202</w:t>
      </w:r>
      <w:r w:rsidR="00D4287A">
        <w:t>8-tól</w:t>
      </w:r>
      <w:r w:rsidR="005E6E52">
        <w:t xml:space="preserve"> 700 millió,</w:t>
      </w:r>
      <w:r w:rsidR="005E6E52" w:rsidRPr="005E6E52">
        <w:t xml:space="preserve"> </w:t>
      </w:r>
      <w:r w:rsidR="005E6E52">
        <w:t>203</w:t>
      </w:r>
      <w:r w:rsidR="00EE6A77">
        <w:t>2</w:t>
      </w:r>
      <w:r w:rsidR="005E6E52">
        <w:t>-3</w:t>
      </w:r>
      <w:r w:rsidR="00EE6A77">
        <w:t>3</w:t>
      </w:r>
      <w:r w:rsidR="005E6E52">
        <w:t>-b</w:t>
      </w:r>
      <w:r w:rsidR="00EE6A77">
        <w:t>a</w:t>
      </w:r>
      <w:r w:rsidR="005E6E52">
        <w:t xml:space="preserve">n 500 millió éves forrásbevonás tudja </w:t>
      </w:r>
      <w:r w:rsidR="00D4287A">
        <w:t xml:space="preserve">folyamatosan biztosítani a </w:t>
      </w:r>
      <w:r w:rsidR="005E6E52">
        <w:t>forgóalap</w:t>
      </w:r>
      <w:r w:rsidR="00D4287A">
        <w:t xml:space="preserve"> támogatási igényeit</w:t>
      </w:r>
      <w:r w:rsidR="005E6E52">
        <w:t>.</w:t>
      </w:r>
    </w:p>
    <w:p w14:paraId="740ADFB9" w14:textId="70172EE1" w:rsidR="009D2986" w:rsidRDefault="00875415" w:rsidP="009D2986">
      <w:r>
        <w:t>2027-től 1 milliárd forint fölötti a visszafizetések mértéke, 20</w:t>
      </w:r>
      <w:r w:rsidR="00D9652B">
        <w:t>29</w:t>
      </w:r>
      <w:r>
        <w:t>-re meghaladja a 2 milliárdot</w:t>
      </w:r>
      <w:r w:rsidR="005E6E52">
        <w:t>, és 20</w:t>
      </w:r>
      <w:r w:rsidR="00D9652B">
        <w:t>3</w:t>
      </w:r>
      <w:r w:rsidR="005E6E52">
        <w:t xml:space="preserve">3-ra eléri a </w:t>
      </w:r>
      <w:r w:rsidR="00D9652B">
        <w:t>3,1</w:t>
      </w:r>
      <w:r w:rsidR="005E6E52">
        <w:t xml:space="preserve"> milliárd forintot, amely </w:t>
      </w:r>
      <w:r w:rsidR="00D9652B">
        <w:t xml:space="preserve">2050-ig </w:t>
      </w:r>
      <w:r w:rsidR="005E6E52">
        <w:t xml:space="preserve">évenként </w:t>
      </w:r>
      <w:r w:rsidR="00D9652B">
        <w:t>8</w:t>
      </w:r>
      <w:r w:rsidR="005E6E52">
        <w:t xml:space="preserve"> társasházi épület mélyfelújítását támogatni tud</w:t>
      </w:r>
      <w:r w:rsidR="00EE6A77">
        <w:t>ja</w:t>
      </w:r>
      <w:r w:rsidR="00D9652B">
        <w:t xml:space="preserve"> további forrásbevonás nélkül</w:t>
      </w:r>
      <w:r>
        <w:t>.</w:t>
      </w:r>
    </w:p>
    <w:bookmarkEnd w:id="37"/>
    <w:p w14:paraId="20536206" w14:textId="319621CC" w:rsidR="000E27AB" w:rsidRDefault="00D9652B" w:rsidP="007A45A3">
      <w:r>
        <w:rPr>
          <w:noProof/>
        </w:rPr>
        <w:lastRenderedPageBreak/>
        <w:drawing>
          <wp:inline distT="0" distB="0" distL="0" distR="0" wp14:anchorId="04DE23DB" wp14:editId="4FA18B75">
            <wp:extent cx="2806810" cy="2039468"/>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30797" cy="2056897"/>
                    </a:xfrm>
                    <a:prstGeom prst="rect">
                      <a:avLst/>
                    </a:prstGeom>
                    <a:noFill/>
                  </pic:spPr>
                </pic:pic>
              </a:graphicData>
            </a:graphic>
          </wp:inline>
        </w:drawing>
      </w:r>
      <w:r>
        <w:t xml:space="preserve"> </w:t>
      </w:r>
      <w:r>
        <w:rPr>
          <w:noProof/>
        </w:rPr>
        <w:drawing>
          <wp:inline distT="0" distB="0" distL="0" distR="0" wp14:anchorId="47A88DCD" wp14:editId="5D9819E0">
            <wp:extent cx="2886323" cy="2097241"/>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912696" cy="2116404"/>
                    </a:xfrm>
                    <a:prstGeom prst="rect">
                      <a:avLst/>
                    </a:prstGeom>
                    <a:noFill/>
                  </pic:spPr>
                </pic:pic>
              </a:graphicData>
            </a:graphic>
          </wp:inline>
        </w:drawing>
      </w:r>
    </w:p>
    <w:p w14:paraId="1098205B" w14:textId="5A713466" w:rsidR="00C22470" w:rsidRDefault="00C40093" w:rsidP="009F316B">
      <w:pPr>
        <w:pStyle w:val="Cmsor4"/>
      </w:pPr>
      <w:r>
        <w:t>2</w:t>
      </w:r>
      <w:r w:rsidR="00451ECA">
        <w:t xml:space="preserve"> Szcenárió</w:t>
      </w:r>
      <w:r w:rsidR="00C22470" w:rsidRPr="000601B2">
        <w:t xml:space="preserve">: </w:t>
      </w:r>
      <w:r w:rsidR="00C22470">
        <w:t>3</w:t>
      </w:r>
      <w:r w:rsidR="00C22470" w:rsidRPr="000601B2">
        <w:t xml:space="preserve">0% támogatási intenzitás, </w:t>
      </w:r>
      <w:r w:rsidR="00D9652B">
        <w:t>8</w:t>
      </w:r>
      <w:r w:rsidR="00C22470" w:rsidRPr="000601B2">
        <w:t xml:space="preserve"> éves visszafizetési idő</w:t>
      </w:r>
    </w:p>
    <w:p w14:paraId="078A4399" w14:textId="7A58C43B" w:rsidR="00EE6A77" w:rsidRDefault="00EE6A77" w:rsidP="00EE6A77">
      <w:r>
        <w:t xml:space="preserve">Az Alap az eredeti 1,08 milliárd tőkével nem elegendő a társasházak ilyen mértékű mélyfelújítási eredményeihez. A korai időszakban jelentkező kiadások meghaladják a visszafizetésekből származó bevételeket. </w:t>
      </w:r>
      <w:r w:rsidR="00D9652B">
        <w:t xml:space="preserve">2025-ben 200 millió, </w:t>
      </w:r>
      <w:r>
        <w:t xml:space="preserve">2026-tól 800 millió, </w:t>
      </w:r>
      <w:r w:rsidR="00D9652B">
        <w:t xml:space="preserve">2029-től 750 millió, </w:t>
      </w:r>
      <w:r>
        <w:t xml:space="preserve">2032-33-ban </w:t>
      </w:r>
      <w:r w:rsidR="00D9652B">
        <w:t>5</w:t>
      </w:r>
      <w:r>
        <w:t xml:space="preserve">00 millió éves forrásbevonás tudja </w:t>
      </w:r>
      <w:r w:rsidR="00D9652B">
        <w:t>folyamatosan biztosítani a forgóalap támogatási igényeit</w:t>
      </w:r>
      <w:r>
        <w:t>.</w:t>
      </w:r>
    </w:p>
    <w:p w14:paraId="6F5D252A" w14:textId="4CBE7B40" w:rsidR="00C22470" w:rsidRPr="00C22470" w:rsidRDefault="00EE6A77" w:rsidP="00EE6A77">
      <w:r>
        <w:t>A visszafizetések mértéke az előzőnél mérsékeltebb növekedéssel 203</w:t>
      </w:r>
      <w:r w:rsidR="00D9652B">
        <w:t>2</w:t>
      </w:r>
      <w:r>
        <w:t>-r</w:t>
      </w:r>
      <w:r w:rsidR="00D9652B">
        <w:t>e</w:t>
      </w:r>
      <w:r>
        <w:t xml:space="preserve"> </w:t>
      </w:r>
      <w:r w:rsidR="00A5772D">
        <w:t>haladja meg az</w:t>
      </w:r>
      <w:r>
        <w:t xml:space="preserve"> 1 milliárd forint</w:t>
      </w:r>
      <w:r w:rsidR="00A5772D">
        <w:t>ot. Az Alap ezt követően 2050-ig évenként 9 társasházi épület mélyfelújítását támogatni tudja további forrásbevonás nélkül</w:t>
      </w:r>
      <w:r>
        <w:t>.</w:t>
      </w:r>
    </w:p>
    <w:p w14:paraId="2291880F" w14:textId="501FA04C" w:rsidR="000727EC" w:rsidRDefault="001379F5" w:rsidP="000727EC">
      <w:r>
        <w:rPr>
          <w:noProof/>
        </w:rPr>
        <w:drawing>
          <wp:inline distT="0" distB="0" distL="0" distR="0" wp14:anchorId="7FB1D237" wp14:editId="4D858AEB">
            <wp:extent cx="2775600" cy="2016000"/>
            <wp:effectExtent l="0" t="0" r="5715" b="381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75600" cy="2016000"/>
                    </a:xfrm>
                    <a:prstGeom prst="rect">
                      <a:avLst/>
                    </a:prstGeom>
                    <a:noFill/>
                  </pic:spPr>
                </pic:pic>
              </a:graphicData>
            </a:graphic>
          </wp:inline>
        </w:drawing>
      </w:r>
      <w:r w:rsidR="00C22470">
        <w:t xml:space="preserve"> </w:t>
      </w:r>
      <w:r>
        <w:rPr>
          <w:noProof/>
        </w:rPr>
        <w:drawing>
          <wp:inline distT="0" distB="0" distL="0" distR="0" wp14:anchorId="079E9DDF" wp14:editId="68556CE2">
            <wp:extent cx="2775600" cy="2016000"/>
            <wp:effectExtent l="0" t="0" r="5715" b="381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75600" cy="2016000"/>
                    </a:xfrm>
                    <a:prstGeom prst="rect">
                      <a:avLst/>
                    </a:prstGeom>
                    <a:noFill/>
                  </pic:spPr>
                </pic:pic>
              </a:graphicData>
            </a:graphic>
          </wp:inline>
        </w:drawing>
      </w:r>
    </w:p>
    <w:p w14:paraId="049D11CD" w14:textId="62AADB86" w:rsidR="009E15B2" w:rsidRDefault="009E15B2" w:rsidP="009E15B2">
      <w:pPr>
        <w:pStyle w:val="Cmsor4"/>
      </w:pPr>
      <w:r>
        <w:t>3 Szcenárió</w:t>
      </w:r>
      <w:r w:rsidRPr="000601B2">
        <w:t xml:space="preserve">: </w:t>
      </w:r>
      <w:r>
        <w:t>10-30</w:t>
      </w:r>
      <w:r w:rsidRPr="000601B2">
        <w:t xml:space="preserve">% támogatási intenzitás, </w:t>
      </w:r>
      <w:r>
        <w:t>1</w:t>
      </w:r>
      <w:r w:rsidR="001D1816">
        <w:t>0</w:t>
      </w:r>
      <w:r w:rsidRPr="000601B2">
        <w:t xml:space="preserve"> éves visszafizetési idő</w:t>
      </w:r>
    </w:p>
    <w:p w14:paraId="20463AD8" w14:textId="5A56675C" w:rsidR="009E15B2" w:rsidRDefault="00AB5992" w:rsidP="009E15B2">
      <w:r>
        <w:t xml:space="preserve">A hazai lakossági piaci értékelések alapján indokolt lehet az épületboruk energetikai minőség javítását magasabb támogatási intenzitással ösztönözni. </w:t>
      </w:r>
      <w:r w:rsidR="001D1816">
        <w:t xml:space="preserve">A magyar hitelintézeti gyakorlathoz igazítottuk a visszafizetési időt is, amely 10 év (az OTP ennél hosszabb, 15 éves futamidői is ad.) </w:t>
      </w:r>
      <w:r>
        <w:t xml:space="preserve">E szcenárióban a </w:t>
      </w:r>
      <w:proofErr w:type="spellStart"/>
      <w:r>
        <w:t>hőtechnikai</w:t>
      </w:r>
      <w:proofErr w:type="spellEnd"/>
      <w:r>
        <w:t xml:space="preserve"> felújításokra 30%, a </w:t>
      </w:r>
      <w:r w:rsidRPr="00AB5992">
        <w:t>napelem és hőszivattyú</w:t>
      </w:r>
      <w:r>
        <w:t xml:space="preserve"> beruházásokra 10% </w:t>
      </w:r>
      <w:r w:rsidRPr="00AB5992">
        <w:t>támogatási intenzitás</w:t>
      </w:r>
      <w:r>
        <w:t xml:space="preserve">t vizsgáltunk. </w:t>
      </w:r>
    </w:p>
    <w:p w14:paraId="6F9B935A" w14:textId="6CAF4F06" w:rsidR="001D1816" w:rsidRDefault="001D1816" w:rsidP="001D1816">
      <w:r>
        <w:t>Az Alap az eredeti 1,08 milliárd tőkével nem elegendő a társasházak ilyen mértékű mélyfelújítási eredményeihez. A korai időszakban jelentkező kiadások meghaladják a visszafizetésekből származó bevételeket. 2026-2033-ig 700 millió éves forrásbevonás tudja folyamatosan biztosítani a forgóalap támogatási igényeit. A visszafizetések mértéke 2033-re haladja meg az 1 milliárd forintot, amely ezt követően 2050-ig évenként 9 társasházi épület mélyfelújítását tudja támogatni további forrásbevonás nélkül.</w:t>
      </w:r>
    </w:p>
    <w:p w14:paraId="28D70641" w14:textId="4AE238D0" w:rsidR="001D1816" w:rsidRDefault="001D1816" w:rsidP="009E15B2">
      <w:r>
        <w:rPr>
          <w:noProof/>
        </w:rPr>
        <w:lastRenderedPageBreak/>
        <w:drawing>
          <wp:inline distT="0" distB="0" distL="0" distR="0" wp14:anchorId="120DFDB8" wp14:editId="08AA24B4">
            <wp:extent cx="2775600" cy="2016000"/>
            <wp:effectExtent l="0" t="0" r="5715" b="381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75600" cy="2016000"/>
                    </a:xfrm>
                    <a:prstGeom prst="rect">
                      <a:avLst/>
                    </a:prstGeom>
                    <a:noFill/>
                  </pic:spPr>
                </pic:pic>
              </a:graphicData>
            </a:graphic>
          </wp:inline>
        </w:drawing>
      </w:r>
      <w:r>
        <w:t xml:space="preserve"> </w:t>
      </w:r>
      <w:r>
        <w:rPr>
          <w:noProof/>
        </w:rPr>
        <w:drawing>
          <wp:inline distT="0" distB="0" distL="0" distR="0" wp14:anchorId="33411341" wp14:editId="63AA62CB">
            <wp:extent cx="2775600" cy="2016000"/>
            <wp:effectExtent l="0" t="0" r="5715" b="381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75600" cy="2016000"/>
                    </a:xfrm>
                    <a:prstGeom prst="rect">
                      <a:avLst/>
                    </a:prstGeom>
                    <a:noFill/>
                  </pic:spPr>
                </pic:pic>
              </a:graphicData>
            </a:graphic>
          </wp:inline>
        </w:drawing>
      </w:r>
    </w:p>
    <w:p w14:paraId="53324E08" w14:textId="1956F3DC" w:rsidR="00C40093" w:rsidRDefault="009E15B2" w:rsidP="009F316B">
      <w:pPr>
        <w:pStyle w:val="Cmsor4"/>
      </w:pPr>
      <w:r>
        <w:t>4</w:t>
      </w:r>
      <w:r w:rsidR="00451ECA">
        <w:t xml:space="preserve"> Szcenárió</w:t>
      </w:r>
      <w:r w:rsidR="00C40093" w:rsidRPr="000601B2">
        <w:t xml:space="preserve">: </w:t>
      </w:r>
      <w:r w:rsidR="00A5772D">
        <w:t>8,5</w:t>
      </w:r>
      <w:r w:rsidR="00C40093" w:rsidRPr="000601B2">
        <w:t xml:space="preserve">% támogatási intenzitás, </w:t>
      </w:r>
      <w:r w:rsidR="006E3FBF">
        <w:t>4</w:t>
      </w:r>
      <w:r w:rsidR="00C40093" w:rsidRPr="000601B2">
        <w:t xml:space="preserve"> éves visszafizetési idő</w:t>
      </w:r>
    </w:p>
    <w:p w14:paraId="45044C79" w14:textId="62807042" w:rsidR="00C40093" w:rsidRPr="00C22470" w:rsidRDefault="00C40093" w:rsidP="00C40093">
      <w:r>
        <w:t xml:space="preserve">Ebben a </w:t>
      </w:r>
      <w:r w:rsidR="00EE7E8A">
        <w:t>szcenárióban</w:t>
      </w:r>
      <w:r>
        <w:t xml:space="preserve"> </w:t>
      </w:r>
      <w:r w:rsidR="001D1816">
        <w:t xml:space="preserve">az Alap felállítását követően további tőkebevonás nélküli feltételt kerestünk. </w:t>
      </w:r>
      <w:r w:rsidR="003625C7" w:rsidRPr="003625C7">
        <w:t xml:space="preserve">8,5% támogatási intenzitás, 4 éves visszafizetési idő </w:t>
      </w:r>
      <w:r w:rsidR="003625C7">
        <w:t>esetén a</w:t>
      </w:r>
      <w:r w:rsidRPr="00C40093">
        <w:t>z Alap</w:t>
      </w:r>
      <w:r w:rsidR="008B71E0">
        <w:t xml:space="preserve"> kölcsönei a kisebb futamidővel hamarabb kezdenek visszaáramolni, és </w:t>
      </w:r>
      <w:r w:rsidRPr="00C40093">
        <w:t>203</w:t>
      </w:r>
      <w:r w:rsidR="008B71E0">
        <w:t xml:space="preserve">3-ra </w:t>
      </w:r>
      <w:r w:rsidR="008B71E0" w:rsidRPr="008B71E0">
        <w:t xml:space="preserve">megközelítőleg </w:t>
      </w:r>
      <w:r w:rsidR="001379F5">
        <w:t>45</w:t>
      </w:r>
      <w:r w:rsidR="008B71E0">
        <w:t>0</w:t>
      </w:r>
      <w:r w:rsidR="008B71E0" w:rsidRPr="008B71E0">
        <w:t xml:space="preserve"> mill</w:t>
      </w:r>
      <w:r w:rsidR="008B71E0">
        <w:t>ió forintos szinten</w:t>
      </w:r>
      <w:r w:rsidR="008B71E0" w:rsidRPr="008B71E0">
        <w:t xml:space="preserve"> </w:t>
      </w:r>
      <w:r w:rsidR="001379F5">
        <w:t>2050-ig évenként</w:t>
      </w:r>
      <w:r w:rsidR="008B71E0" w:rsidRPr="008B71E0">
        <w:t xml:space="preserve"> </w:t>
      </w:r>
      <w:r w:rsidR="001379F5">
        <w:t>9</w:t>
      </w:r>
      <w:r w:rsidR="008B71E0" w:rsidRPr="008B71E0">
        <w:t xml:space="preserve"> társasházi épület mélyfelújítását </w:t>
      </w:r>
      <w:r w:rsidR="008B71E0">
        <w:t xml:space="preserve">tudja </w:t>
      </w:r>
      <w:r w:rsidR="008B71E0" w:rsidRPr="008B71E0">
        <w:t>támogatni</w:t>
      </w:r>
      <w:r w:rsidRPr="00C40093">
        <w:t>.</w:t>
      </w:r>
    </w:p>
    <w:p w14:paraId="6E2012EE" w14:textId="6EFF2652" w:rsidR="00C40093" w:rsidRDefault="001379F5" w:rsidP="00C40093">
      <w:pPr>
        <w:rPr>
          <w:b/>
          <w:bCs/>
        </w:rPr>
      </w:pPr>
      <w:r w:rsidRPr="001379F5">
        <w:rPr>
          <w:noProof/>
        </w:rPr>
        <w:drawing>
          <wp:inline distT="0" distB="0" distL="0" distR="0" wp14:anchorId="28F1732C" wp14:editId="2959CE37">
            <wp:extent cx="2775600" cy="2016000"/>
            <wp:effectExtent l="0" t="0" r="5715" b="381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775600" cy="2016000"/>
                    </a:xfrm>
                    <a:prstGeom prst="rect">
                      <a:avLst/>
                    </a:prstGeom>
                    <a:noFill/>
                  </pic:spPr>
                </pic:pic>
              </a:graphicData>
            </a:graphic>
          </wp:inline>
        </w:drawing>
      </w:r>
      <w:r w:rsidR="00EE7E8A" w:rsidRPr="001379F5">
        <w:t xml:space="preserve"> </w:t>
      </w:r>
      <w:r>
        <w:rPr>
          <w:b/>
          <w:bCs/>
          <w:noProof/>
        </w:rPr>
        <w:drawing>
          <wp:inline distT="0" distB="0" distL="0" distR="0" wp14:anchorId="05073A72" wp14:editId="4D6E09E8">
            <wp:extent cx="2775600" cy="2016000"/>
            <wp:effectExtent l="0" t="0" r="5715" b="381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775600" cy="2016000"/>
                    </a:xfrm>
                    <a:prstGeom prst="rect">
                      <a:avLst/>
                    </a:prstGeom>
                    <a:noFill/>
                  </pic:spPr>
                </pic:pic>
              </a:graphicData>
            </a:graphic>
          </wp:inline>
        </w:drawing>
      </w:r>
    </w:p>
    <w:p w14:paraId="5A6A15E1" w14:textId="38FB70E4" w:rsidR="00451ECA" w:rsidRDefault="00A5772D" w:rsidP="00C40093">
      <w:r>
        <w:t xml:space="preserve">A pénzügyi modell lehetővé teszi a paraméterek beállítását a társasházak támogatási intenzitás és visszafizetési kötelezettség közötti hajlandóság, érzékenység esetén. Például, hasonlóan </w:t>
      </w:r>
      <w:r w:rsidRPr="00A5772D">
        <w:t xml:space="preserve">tőkebevonás nélkül </w:t>
      </w:r>
      <w:r>
        <w:t>tud az Alap működni 14</w:t>
      </w:r>
      <w:r w:rsidRPr="00A5772D">
        <w:t>%</w:t>
      </w:r>
      <w:r>
        <w:t>-os</w:t>
      </w:r>
      <w:r w:rsidRPr="00A5772D">
        <w:t xml:space="preserve"> támogatási intenzitás</w:t>
      </w:r>
      <w:r>
        <w:t>sal 2</w:t>
      </w:r>
      <w:r w:rsidRPr="00A5772D">
        <w:t xml:space="preserve"> éves visszafizetési idő</w:t>
      </w:r>
      <w:r>
        <w:t xml:space="preserve"> esetén.</w:t>
      </w:r>
    </w:p>
    <w:p w14:paraId="4460A828" w14:textId="77777777" w:rsidR="006E3FBF" w:rsidRDefault="00451ECA" w:rsidP="009F316B">
      <w:pPr>
        <w:pStyle w:val="Cmsor4"/>
      </w:pPr>
      <w:r w:rsidRPr="00451ECA">
        <w:t xml:space="preserve">Magántulajdonú társasházak </w:t>
      </w:r>
      <w:r>
        <w:t>felújítási támogatási javaslat</w:t>
      </w:r>
    </w:p>
    <w:p w14:paraId="71DD23C0" w14:textId="4841620F" w:rsidR="009F316B" w:rsidRDefault="00451ECA" w:rsidP="009F316B">
      <w:pPr>
        <w:rPr>
          <w:b/>
          <w:bCs/>
        </w:rPr>
      </w:pPr>
      <w:r w:rsidRPr="008B71E0">
        <w:rPr>
          <w:b/>
          <w:bCs/>
        </w:rPr>
        <w:t xml:space="preserve">A </w:t>
      </w:r>
      <w:r w:rsidR="003625C7">
        <w:rPr>
          <w:b/>
          <w:bCs/>
        </w:rPr>
        <w:t>4</w:t>
      </w:r>
      <w:r w:rsidRPr="008B71E0">
        <w:rPr>
          <w:b/>
          <w:bCs/>
        </w:rPr>
        <w:t xml:space="preserve">. szcenárióban, </w:t>
      </w:r>
      <w:r w:rsidR="00C87535">
        <w:rPr>
          <w:b/>
          <w:bCs/>
        </w:rPr>
        <w:t>8,5</w:t>
      </w:r>
      <w:r w:rsidRPr="008B71E0">
        <w:rPr>
          <w:b/>
          <w:bCs/>
        </w:rPr>
        <w:t xml:space="preserve">%-os támogatási intenzitással, </w:t>
      </w:r>
      <w:r w:rsidR="006E3FBF" w:rsidRPr="008B71E0">
        <w:rPr>
          <w:b/>
          <w:bCs/>
        </w:rPr>
        <w:t>4</w:t>
      </w:r>
      <w:r w:rsidRPr="008B71E0">
        <w:rPr>
          <w:b/>
          <w:bCs/>
        </w:rPr>
        <w:t xml:space="preserve"> éves visszafizetési idővel</w:t>
      </w:r>
      <w:r w:rsidR="003625C7">
        <w:rPr>
          <w:b/>
          <w:bCs/>
        </w:rPr>
        <w:t xml:space="preserve"> (vagy 14%-os támogatási intenzitás és 2 éves futamidő)</w:t>
      </w:r>
      <w:r w:rsidRPr="008B71E0">
        <w:rPr>
          <w:b/>
          <w:bCs/>
        </w:rPr>
        <w:t xml:space="preserve"> nincs szükség tőkebevonásra. </w:t>
      </w:r>
    </w:p>
    <w:p w14:paraId="19F29D04" w14:textId="2B739E27" w:rsidR="00AB781D" w:rsidRDefault="00EE7E8A" w:rsidP="009F316B">
      <w:pPr>
        <w:rPr>
          <w:b/>
          <w:bCs/>
        </w:rPr>
      </w:pPr>
      <w:r w:rsidRPr="008B71E0">
        <w:rPr>
          <w:b/>
          <w:bCs/>
        </w:rPr>
        <w:t>Az 1</w:t>
      </w:r>
      <w:r w:rsidR="003625C7">
        <w:rPr>
          <w:b/>
          <w:bCs/>
        </w:rPr>
        <w:t>-3-ig</w:t>
      </w:r>
      <w:r w:rsidRPr="008B71E0">
        <w:rPr>
          <w:b/>
          <w:bCs/>
        </w:rPr>
        <w:t xml:space="preserve"> szcenárió</w:t>
      </w:r>
      <w:r w:rsidR="003625C7">
        <w:rPr>
          <w:b/>
          <w:bCs/>
        </w:rPr>
        <w:t>k</w:t>
      </w:r>
      <w:r w:rsidRPr="008B71E0">
        <w:rPr>
          <w:b/>
          <w:bCs/>
        </w:rPr>
        <w:t>ban</w:t>
      </w:r>
      <w:r w:rsidR="00451ECA" w:rsidRPr="008B71E0">
        <w:rPr>
          <w:b/>
          <w:bCs/>
        </w:rPr>
        <w:t xml:space="preserve"> – amennyiben más támogatási formákra nem számítunk – tőkebevonásra van szükség, amely a fenti fejezetekben leírt lehetőségekkel biztosítható. </w:t>
      </w:r>
    </w:p>
    <w:p w14:paraId="53CCE788" w14:textId="4BB16C2B" w:rsidR="009F316B" w:rsidRPr="004B21CA" w:rsidRDefault="009F316B" w:rsidP="009F316B">
      <w:r>
        <w:t xml:space="preserve">Az eseti önkormányzati forrásallokációs döntések helyett javasolható, hogy </w:t>
      </w:r>
      <w:r w:rsidRPr="004B21CA">
        <w:rPr>
          <w:b/>
          <w:bCs/>
        </w:rPr>
        <w:t xml:space="preserve">a saját tulajdonú ingatlanokon a felújítással </w:t>
      </w:r>
      <w:proofErr w:type="spellStart"/>
      <w:r w:rsidRPr="004B21CA">
        <w:rPr>
          <w:b/>
          <w:bCs/>
        </w:rPr>
        <w:t>egyidőben</w:t>
      </w:r>
      <w:proofErr w:type="spellEnd"/>
      <w:r w:rsidRPr="004B21CA">
        <w:rPr>
          <w:b/>
          <w:bCs/>
        </w:rPr>
        <w:t xml:space="preserve"> a telkek beépítési lehetőségeit használja ki a helyi építési szabályzatban és a környék adottságainak figyelembevételével. A legtöbb ingatlanon a tetőtér beépítése és további új épületszárnyak megvalósítása rendelkezésre áll.</w:t>
      </w:r>
      <w:r>
        <w:t xml:space="preserve"> </w:t>
      </w:r>
    </w:p>
    <w:p w14:paraId="4F188BE1" w14:textId="0C98D043" w:rsidR="00C40093" w:rsidRDefault="00451ECA" w:rsidP="00C40093">
      <w:pPr>
        <w:rPr>
          <w:b/>
          <w:bCs/>
        </w:rPr>
      </w:pPr>
      <w:r w:rsidRPr="008B71E0">
        <w:rPr>
          <w:b/>
          <w:bCs/>
        </w:rPr>
        <w:t xml:space="preserve">A jövőben megjelenő </w:t>
      </w:r>
      <w:proofErr w:type="spellStart"/>
      <w:r w:rsidRPr="008B71E0">
        <w:rPr>
          <w:b/>
          <w:bCs/>
        </w:rPr>
        <w:t>EUs</w:t>
      </w:r>
      <w:proofErr w:type="spellEnd"/>
      <w:r w:rsidRPr="008B71E0">
        <w:rPr>
          <w:b/>
          <w:bCs/>
        </w:rPr>
        <w:t xml:space="preserve"> és nemzeti támogatási programok</w:t>
      </w:r>
      <w:r w:rsidR="006E3FBF" w:rsidRPr="008B71E0">
        <w:rPr>
          <w:b/>
          <w:bCs/>
        </w:rPr>
        <w:t xml:space="preserve"> </w:t>
      </w:r>
      <w:r w:rsidRPr="008B71E0">
        <w:rPr>
          <w:b/>
          <w:bCs/>
        </w:rPr>
        <w:t>segíthetik a kedvezőbb feltételeket.</w:t>
      </w:r>
    </w:p>
    <w:p w14:paraId="6D78CBDB" w14:textId="3F9E3A1D" w:rsidR="00AB781D" w:rsidRPr="00841A24" w:rsidRDefault="00AB781D" w:rsidP="00AB781D">
      <w:r w:rsidRPr="00AB781D">
        <w:lastRenderedPageBreak/>
        <w:t xml:space="preserve">Jelen modell nem tartalmazza, de a kölcsönök </w:t>
      </w:r>
      <w:proofErr w:type="spellStart"/>
      <w:r w:rsidRPr="00AB781D">
        <w:t>kedvezményezetti</w:t>
      </w:r>
      <w:proofErr w:type="spellEnd"/>
      <w:r w:rsidRPr="00AB781D">
        <w:t xml:space="preserve"> előnyeit érdemes egy </w:t>
      </w:r>
      <w:r w:rsidRPr="00AB781D">
        <w:rPr>
          <w:b/>
          <w:bCs/>
        </w:rPr>
        <w:t>sávos rendszer bevezetésével</w:t>
      </w:r>
      <w:r>
        <w:t xml:space="preserve"> gazdagítani: </w:t>
      </w:r>
      <w:r w:rsidRPr="00841A24">
        <w:t>minél nagyobb energiahatékonyságot ér el</w:t>
      </w:r>
      <w:r>
        <w:t xml:space="preserve"> a felújítás</w:t>
      </w:r>
      <w:r w:rsidRPr="00841A24">
        <w:t>, annál nagyobb összeg vagy annál hosszabb visszafizetési idő</w:t>
      </w:r>
      <w:r>
        <w:t xml:space="preserve"> kerülhet meghatározásra</w:t>
      </w:r>
      <w:r w:rsidRPr="00841A24">
        <w:t>.</w:t>
      </w:r>
    </w:p>
    <w:p w14:paraId="5D7A42CD" w14:textId="4E318825" w:rsidR="00AB781D" w:rsidRPr="008B71E0" w:rsidRDefault="00AB781D" w:rsidP="00C40093">
      <w:pPr>
        <w:rPr>
          <w:b/>
          <w:bCs/>
        </w:rPr>
      </w:pPr>
    </w:p>
    <w:p w14:paraId="61982452" w14:textId="77777777" w:rsidR="00451ECA" w:rsidRPr="00451ECA" w:rsidRDefault="00451ECA" w:rsidP="00C40093">
      <w:pPr>
        <w:rPr>
          <w:b/>
          <w:bCs/>
        </w:rPr>
      </w:pPr>
    </w:p>
    <w:p w14:paraId="5A357290" w14:textId="0B8272E4" w:rsidR="00D40F55" w:rsidRDefault="00D40F55">
      <w:pPr>
        <w:autoSpaceDE/>
        <w:autoSpaceDN/>
        <w:spacing w:before="0" w:after="0" w:line="240" w:lineRule="auto"/>
      </w:pPr>
      <w:r>
        <w:br w:type="page"/>
      </w:r>
    </w:p>
    <w:p w14:paraId="44ADE061" w14:textId="30C8FF88" w:rsidR="004B71D9" w:rsidRDefault="004B71D9" w:rsidP="004B71D9">
      <w:pPr>
        <w:pStyle w:val="Cmsor1"/>
      </w:pPr>
      <w:bookmarkStart w:id="38" w:name="_Toc133258004"/>
      <w:r>
        <w:lastRenderedPageBreak/>
        <w:t>Bibliográfia</w:t>
      </w:r>
      <w:bookmarkEnd w:id="38"/>
    </w:p>
    <w:p w14:paraId="29FFDBD9" w14:textId="11FB1E07" w:rsidR="004B71D9" w:rsidRDefault="00406397" w:rsidP="00406397">
      <w:proofErr w:type="spellStart"/>
      <w:r>
        <w:t>Setting</w:t>
      </w:r>
      <w:proofErr w:type="spellEnd"/>
      <w:r>
        <w:t xml:space="preserve"> </w:t>
      </w:r>
      <w:proofErr w:type="spellStart"/>
      <w:r>
        <w:t>up</w:t>
      </w:r>
      <w:proofErr w:type="spellEnd"/>
      <w:r>
        <w:t xml:space="preserve"> </w:t>
      </w:r>
      <w:proofErr w:type="spellStart"/>
      <w:r>
        <w:t>innovative</w:t>
      </w:r>
      <w:proofErr w:type="spellEnd"/>
      <w:r>
        <w:t xml:space="preserve"> </w:t>
      </w:r>
      <w:proofErr w:type="spellStart"/>
      <w:r>
        <w:t>financing</w:t>
      </w:r>
      <w:proofErr w:type="spellEnd"/>
      <w:r>
        <w:t xml:space="preserve"> </w:t>
      </w:r>
      <w:proofErr w:type="spellStart"/>
      <w:r>
        <w:t>schemes</w:t>
      </w:r>
      <w:proofErr w:type="spellEnd"/>
      <w:r>
        <w:t xml:space="preserve"> for </w:t>
      </w:r>
      <w:proofErr w:type="spellStart"/>
      <w:r>
        <w:t>energy</w:t>
      </w:r>
      <w:proofErr w:type="spellEnd"/>
      <w:r>
        <w:t xml:space="preserve"> </w:t>
      </w:r>
      <w:proofErr w:type="spellStart"/>
      <w:r>
        <w:t>efficiency</w:t>
      </w:r>
      <w:proofErr w:type="spellEnd"/>
      <w:r>
        <w:t xml:space="preserve"> </w:t>
      </w:r>
      <w:proofErr w:type="spellStart"/>
      <w:r>
        <w:t>renovations</w:t>
      </w:r>
      <w:proofErr w:type="spellEnd"/>
      <w:r>
        <w:t xml:space="preserve">: a </w:t>
      </w:r>
      <w:proofErr w:type="spellStart"/>
      <w:r>
        <w:t>guidance</w:t>
      </w:r>
      <w:proofErr w:type="spellEnd"/>
      <w:r>
        <w:t xml:space="preserve"> for local </w:t>
      </w:r>
      <w:proofErr w:type="spellStart"/>
      <w:r>
        <w:t>authorities</w:t>
      </w:r>
      <w:proofErr w:type="spellEnd"/>
      <w:r>
        <w:t xml:space="preserve">, </w:t>
      </w:r>
      <w:proofErr w:type="spellStart"/>
      <w:r>
        <w:t>Giustino</w:t>
      </w:r>
      <w:proofErr w:type="spellEnd"/>
      <w:r>
        <w:t xml:space="preserve"> </w:t>
      </w:r>
      <w:proofErr w:type="spellStart"/>
      <w:r>
        <w:t>Piccolo</w:t>
      </w:r>
      <w:proofErr w:type="spellEnd"/>
      <w:r>
        <w:t xml:space="preserve"> (</w:t>
      </w:r>
      <w:proofErr w:type="spellStart"/>
      <w:r>
        <w:t>Climate</w:t>
      </w:r>
      <w:proofErr w:type="spellEnd"/>
      <w:r>
        <w:t xml:space="preserve"> </w:t>
      </w:r>
      <w:proofErr w:type="spellStart"/>
      <w:r>
        <w:t>Alliance</w:t>
      </w:r>
      <w:proofErr w:type="spellEnd"/>
      <w:r>
        <w:t xml:space="preserve">) The </w:t>
      </w:r>
      <w:proofErr w:type="spellStart"/>
      <w:r>
        <w:t>tools</w:t>
      </w:r>
      <w:proofErr w:type="spellEnd"/>
      <w:r>
        <w:t xml:space="preserve"> and </w:t>
      </w:r>
      <w:proofErr w:type="spellStart"/>
      <w:r>
        <w:t>reports</w:t>
      </w:r>
      <w:proofErr w:type="spellEnd"/>
      <w:r>
        <w:t xml:space="preserve"> </w:t>
      </w:r>
      <w:proofErr w:type="spellStart"/>
      <w:r>
        <w:t>mentioned</w:t>
      </w:r>
      <w:proofErr w:type="spellEnd"/>
      <w:r>
        <w:t xml:space="preserve"> </w:t>
      </w:r>
      <w:proofErr w:type="spellStart"/>
      <w:r>
        <w:t>in</w:t>
      </w:r>
      <w:proofErr w:type="spellEnd"/>
      <w:r>
        <w:t xml:space="preserve"> </w:t>
      </w:r>
      <w:proofErr w:type="spellStart"/>
      <w:r>
        <w:t>this</w:t>
      </w:r>
      <w:proofErr w:type="spellEnd"/>
      <w:r>
        <w:t xml:space="preserve"> </w:t>
      </w:r>
      <w:proofErr w:type="spellStart"/>
      <w:r>
        <w:t>guidance</w:t>
      </w:r>
      <w:proofErr w:type="spellEnd"/>
      <w:r>
        <w:t xml:space="preserve"> </w:t>
      </w:r>
      <w:proofErr w:type="spellStart"/>
      <w:r>
        <w:t>have</w:t>
      </w:r>
      <w:proofErr w:type="spellEnd"/>
      <w:r>
        <w:t xml:space="preserve"> </w:t>
      </w:r>
      <w:proofErr w:type="spellStart"/>
      <w:r>
        <w:t>been</w:t>
      </w:r>
      <w:proofErr w:type="spellEnd"/>
      <w:r>
        <w:t xml:space="preserve"> </w:t>
      </w:r>
      <w:proofErr w:type="spellStart"/>
      <w:r>
        <w:t>realised</w:t>
      </w:r>
      <w:proofErr w:type="spellEnd"/>
      <w:r>
        <w:t xml:space="preserve"> </w:t>
      </w:r>
      <w:proofErr w:type="spellStart"/>
      <w:r>
        <w:t>by</w:t>
      </w:r>
      <w:proofErr w:type="spellEnd"/>
      <w:r>
        <w:t xml:space="preserve">: Jean-Francois </w:t>
      </w:r>
      <w:proofErr w:type="spellStart"/>
      <w:r>
        <w:t>Marchand</w:t>
      </w:r>
      <w:proofErr w:type="spellEnd"/>
      <w:r>
        <w:t xml:space="preserve">, Miguel </w:t>
      </w:r>
      <w:proofErr w:type="spellStart"/>
      <w:r>
        <w:t>Casas</w:t>
      </w:r>
      <w:proofErr w:type="spellEnd"/>
      <w:r>
        <w:t xml:space="preserve"> &amp; </w:t>
      </w:r>
      <w:proofErr w:type="spellStart"/>
      <w:r>
        <w:t>Lieven</w:t>
      </w:r>
      <w:proofErr w:type="spellEnd"/>
      <w:r>
        <w:t xml:space="preserve"> </w:t>
      </w:r>
      <w:proofErr w:type="spellStart"/>
      <w:r>
        <w:t>Vanstraelen</w:t>
      </w:r>
      <w:proofErr w:type="spellEnd"/>
      <w:r>
        <w:t xml:space="preserve"> (</w:t>
      </w:r>
      <w:proofErr w:type="spellStart"/>
      <w:r>
        <w:t>Energinvest</w:t>
      </w:r>
      <w:proofErr w:type="spellEnd"/>
      <w:r>
        <w:t xml:space="preserve">), Erika </w:t>
      </w:r>
      <w:proofErr w:type="spellStart"/>
      <w:r>
        <w:t>Honnay</w:t>
      </w:r>
      <w:proofErr w:type="spellEnd"/>
      <w:r>
        <w:t xml:space="preserve">, </w:t>
      </w:r>
      <w:proofErr w:type="spellStart"/>
      <w:r>
        <w:t>Jehanne</w:t>
      </w:r>
      <w:proofErr w:type="spellEnd"/>
      <w:r>
        <w:t xml:space="preserve"> </w:t>
      </w:r>
      <w:proofErr w:type="spellStart"/>
      <w:r>
        <w:t>Jancloes</w:t>
      </w:r>
      <w:proofErr w:type="spellEnd"/>
      <w:r>
        <w:t xml:space="preserve"> (GRE </w:t>
      </w:r>
      <w:proofErr w:type="spellStart"/>
      <w:r>
        <w:t>Liege</w:t>
      </w:r>
      <w:proofErr w:type="spellEnd"/>
      <w:r>
        <w:t xml:space="preserve">), </w:t>
      </w:r>
      <w:proofErr w:type="spellStart"/>
      <w:r>
        <w:t>Daan</w:t>
      </w:r>
      <w:proofErr w:type="spellEnd"/>
      <w:r>
        <w:t xml:space="preserve"> </w:t>
      </w:r>
      <w:proofErr w:type="spellStart"/>
      <w:r>
        <w:t>Creupelandt</w:t>
      </w:r>
      <w:proofErr w:type="spellEnd"/>
      <w:r>
        <w:t xml:space="preserve"> (</w:t>
      </w:r>
      <w:proofErr w:type="spellStart"/>
      <w:r>
        <w:t>REScoop.eu</w:t>
      </w:r>
      <w:proofErr w:type="spellEnd"/>
      <w:r>
        <w:t xml:space="preserve">) and </w:t>
      </w:r>
      <w:proofErr w:type="spellStart"/>
      <w:r>
        <w:t>Elise</w:t>
      </w:r>
      <w:proofErr w:type="spellEnd"/>
      <w:r>
        <w:t xml:space="preserve"> </w:t>
      </w:r>
      <w:proofErr w:type="spellStart"/>
      <w:r>
        <w:t>Steyaert</w:t>
      </w:r>
      <w:proofErr w:type="spellEnd"/>
      <w:r>
        <w:t xml:space="preserve"> (</w:t>
      </w:r>
      <w:proofErr w:type="spellStart"/>
      <w:r>
        <w:t>Climate</w:t>
      </w:r>
      <w:proofErr w:type="spellEnd"/>
      <w:r>
        <w:t xml:space="preserve"> </w:t>
      </w:r>
      <w:proofErr w:type="spellStart"/>
      <w:r>
        <w:t>Alliance</w:t>
      </w:r>
      <w:proofErr w:type="spellEnd"/>
      <w:r>
        <w:t>), December 2017</w:t>
      </w:r>
    </w:p>
    <w:p w14:paraId="69BB9B27" w14:textId="4240D057" w:rsidR="00C64E8A" w:rsidRDefault="00C64E8A" w:rsidP="00406397">
      <w:r>
        <w:t xml:space="preserve">ÁSZ (2021): A helyi önkormányzatok adóztatási tevékenysége, Elemzés, Állami Számvevőszék, EL-3040-010/2021. </w:t>
      </w:r>
      <w:hyperlink r:id="rId42" w:history="1">
        <w:r w:rsidRPr="007E3EC0">
          <w:rPr>
            <w:rStyle w:val="Hiperhivatkozs"/>
          </w:rPr>
          <w:t>https://www.asz.hu/dokumentumok/helyi_onkormanyzatok_adoztatasi_tevekenysege_20210323.pdf</w:t>
        </w:r>
      </w:hyperlink>
      <w:r>
        <w:t xml:space="preserve"> (Letöltés: 2023.03.13.)</w:t>
      </w:r>
    </w:p>
    <w:p w14:paraId="4B856FFF" w14:textId="6FB31D03" w:rsidR="003D3735" w:rsidRDefault="003D3735" w:rsidP="00406397">
      <w:r>
        <w:t xml:space="preserve">MNB (2021): Lakáspiaci jelentés, Magyar Nemzeti Bank, </w:t>
      </w:r>
      <w:hyperlink r:id="rId43" w:history="1">
        <w:r w:rsidRPr="007E3EC0">
          <w:rPr>
            <w:rStyle w:val="Hiperhivatkozs"/>
          </w:rPr>
          <w:t>https://www.mnb.hu/letoltes/lakaspiaci-jelentes-2022-november-hun.pdf</w:t>
        </w:r>
      </w:hyperlink>
      <w:r>
        <w:t xml:space="preserve"> (Letöltés: 2023.03.13.)</w:t>
      </w:r>
    </w:p>
    <w:p w14:paraId="456CFB51" w14:textId="59C7BD63" w:rsidR="000230B1" w:rsidRDefault="00D674A6" w:rsidP="00D674A6">
      <w:r>
        <w:t xml:space="preserve">AACM (2022): D6.2: </w:t>
      </w:r>
      <w:proofErr w:type="spellStart"/>
      <w:r>
        <w:t>Training</w:t>
      </w:r>
      <w:proofErr w:type="spellEnd"/>
      <w:r>
        <w:t xml:space="preserve"> </w:t>
      </w:r>
      <w:proofErr w:type="spellStart"/>
      <w:r>
        <w:t>materials</w:t>
      </w:r>
      <w:proofErr w:type="spellEnd"/>
      <w:r>
        <w:t xml:space="preserve"> for </w:t>
      </w:r>
      <w:proofErr w:type="spellStart"/>
      <w:r>
        <w:t>financial</w:t>
      </w:r>
      <w:proofErr w:type="spellEnd"/>
      <w:r>
        <w:t xml:space="preserve"> </w:t>
      </w:r>
      <w:proofErr w:type="spellStart"/>
      <w:r>
        <w:t>institutions</w:t>
      </w:r>
      <w:proofErr w:type="spellEnd"/>
      <w:r>
        <w:t xml:space="preserve">, Project </w:t>
      </w:r>
      <w:proofErr w:type="spellStart"/>
      <w:r>
        <w:t>RenoHUb</w:t>
      </w:r>
      <w:proofErr w:type="spellEnd"/>
      <w:r>
        <w:t xml:space="preserve"> “</w:t>
      </w:r>
      <w:proofErr w:type="spellStart"/>
      <w:r>
        <w:t>Integrated</w:t>
      </w:r>
      <w:proofErr w:type="spellEnd"/>
      <w:r>
        <w:t xml:space="preserve"> </w:t>
      </w:r>
      <w:proofErr w:type="spellStart"/>
      <w:r>
        <w:t>Services</w:t>
      </w:r>
      <w:proofErr w:type="spellEnd"/>
      <w:r>
        <w:t xml:space="preserve"> </w:t>
      </w:r>
      <w:proofErr w:type="spellStart"/>
      <w:r>
        <w:t>to</w:t>
      </w:r>
      <w:proofErr w:type="spellEnd"/>
      <w:r>
        <w:t xml:space="preserve"> </w:t>
      </w:r>
      <w:proofErr w:type="spellStart"/>
      <w:r>
        <w:t>Boost</w:t>
      </w:r>
      <w:proofErr w:type="spellEnd"/>
      <w:r>
        <w:t xml:space="preserve"> </w:t>
      </w:r>
      <w:proofErr w:type="spellStart"/>
      <w:r>
        <w:t>Energy</w:t>
      </w:r>
      <w:proofErr w:type="spellEnd"/>
      <w:r>
        <w:t xml:space="preserve"> </w:t>
      </w:r>
      <w:proofErr w:type="spellStart"/>
      <w:r>
        <w:t>Renovation</w:t>
      </w:r>
      <w:proofErr w:type="spellEnd"/>
      <w:r>
        <w:t xml:space="preserve"> </w:t>
      </w:r>
      <w:proofErr w:type="spellStart"/>
      <w:r>
        <w:t>in</w:t>
      </w:r>
      <w:proofErr w:type="spellEnd"/>
      <w:r>
        <w:t xml:space="preserve"> </w:t>
      </w:r>
      <w:proofErr w:type="spellStart"/>
      <w:r>
        <w:t>Hungarian</w:t>
      </w:r>
      <w:proofErr w:type="spellEnd"/>
      <w:r>
        <w:t xml:space="preserve"> </w:t>
      </w:r>
      <w:proofErr w:type="spellStart"/>
      <w:r>
        <w:t>Homes</w:t>
      </w:r>
      <w:proofErr w:type="spellEnd"/>
      <w:r>
        <w:t>”</w:t>
      </w:r>
    </w:p>
    <w:p w14:paraId="681161EC" w14:textId="42DC9DFB" w:rsidR="000230B1" w:rsidRDefault="008E7E87" w:rsidP="008E7E87">
      <w:proofErr w:type="spellStart"/>
      <w:r>
        <w:t>Ertl</w:t>
      </w:r>
      <w:proofErr w:type="spellEnd"/>
      <w:r>
        <w:t>, A</w:t>
      </w:r>
      <w:proofErr w:type="gramStart"/>
      <w:r>
        <w:t>.,</w:t>
      </w:r>
      <w:proofErr w:type="gramEnd"/>
      <w:r>
        <w:t xml:space="preserve"> Horváth</w:t>
      </w:r>
      <w:r w:rsidR="00805BAE">
        <w:t xml:space="preserve"> Á.</w:t>
      </w:r>
      <w:r>
        <w:t>, Mónus G</w:t>
      </w:r>
      <w:r w:rsidR="00805BAE">
        <w:t>.</w:t>
      </w:r>
      <w:r>
        <w:t xml:space="preserve">, </w:t>
      </w:r>
      <w:proofErr w:type="spellStart"/>
      <w:r>
        <w:t>Sáfián</w:t>
      </w:r>
      <w:proofErr w:type="spellEnd"/>
      <w:r>
        <w:t xml:space="preserve"> F</w:t>
      </w:r>
      <w:r w:rsidR="00805BAE">
        <w:t>.</w:t>
      </w:r>
      <w:r>
        <w:t>, Székely J</w:t>
      </w:r>
      <w:r w:rsidR="00805BAE">
        <w:t xml:space="preserve">. (2021): </w:t>
      </w:r>
      <w:r>
        <w:t>Az energetikai jellemzők és az ingatlanárak kapcsolata</w:t>
      </w:r>
      <w:r w:rsidR="00805BAE">
        <w:t xml:space="preserve">, </w:t>
      </w:r>
      <w:r>
        <w:t>Statisztikai Szemle 99. évfolyam 10. szá</w:t>
      </w:r>
      <w:r w:rsidR="00805BAE">
        <w:t xml:space="preserve">m, </w:t>
      </w:r>
      <w:hyperlink r:id="rId44" w:history="1">
        <w:r w:rsidR="00805BAE" w:rsidRPr="007E3EC0">
          <w:rPr>
            <w:rStyle w:val="Hiperhivatkozs"/>
          </w:rPr>
          <w:t>https://www.ksh.hu/statszemle_archive/all/2021/2021_10/2021_10_923.pdf</w:t>
        </w:r>
      </w:hyperlink>
      <w:r w:rsidR="00805BAE">
        <w:t xml:space="preserve"> (Letöltés: 2023.03.13.)</w:t>
      </w:r>
    </w:p>
    <w:p w14:paraId="0F1E3101" w14:textId="2A865FD1" w:rsidR="000230B1" w:rsidRDefault="00785F72" w:rsidP="00785F72">
      <w:proofErr w:type="gramStart"/>
      <w:r w:rsidRPr="00785F72">
        <w:t>dr.</w:t>
      </w:r>
      <w:proofErr w:type="gramEnd"/>
      <w:r w:rsidRPr="00785F72">
        <w:t xml:space="preserve"> Gajdics Ágnes (</w:t>
      </w:r>
      <w:r>
        <w:t xml:space="preserve">2021): A napelemek elterjedésének jogi és adminisztratív akadályai és a megoldás lehetőségei Budapesten, </w:t>
      </w:r>
      <w:r w:rsidRPr="00785F72">
        <w:t>EMLA Egyesület</w:t>
      </w:r>
      <w:r>
        <w:t xml:space="preserve">, </w:t>
      </w:r>
      <w:hyperlink r:id="rId45" w:history="1">
        <w:r w:rsidRPr="007E3EC0">
          <w:rPr>
            <w:rStyle w:val="Hiperhivatkozs"/>
          </w:rPr>
          <w:t>https://nappalhajtva.budapest.hu/wp-content/uploads/2022/07/Budapest_Nappal-hajtva_Jogi-elemzes_2021.pdf</w:t>
        </w:r>
      </w:hyperlink>
      <w:r>
        <w:t xml:space="preserve"> (Letöltés: 2023.03.13.)</w:t>
      </w:r>
    </w:p>
    <w:p w14:paraId="10428885" w14:textId="07B5CAB6" w:rsidR="000230B1" w:rsidRDefault="00B3646A" w:rsidP="00406397">
      <w:r>
        <w:t xml:space="preserve">CASE (2019): </w:t>
      </w:r>
      <w:r w:rsidRPr="00B3646A">
        <w:t xml:space="preserve">EU28 </w:t>
      </w:r>
      <w:proofErr w:type="spellStart"/>
      <w:r w:rsidRPr="00B3646A">
        <w:t>legal</w:t>
      </w:r>
      <w:proofErr w:type="spellEnd"/>
      <w:r w:rsidRPr="00B3646A">
        <w:t xml:space="preserve"> and </w:t>
      </w:r>
      <w:proofErr w:type="spellStart"/>
      <w:r w:rsidRPr="00B3646A">
        <w:t>fiscal</w:t>
      </w:r>
      <w:proofErr w:type="spellEnd"/>
      <w:r w:rsidRPr="00B3646A">
        <w:t xml:space="preserve"> </w:t>
      </w:r>
      <w:proofErr w:type="spellStart"/>
      <w:r w:rsidRPr="00B3646A">
        <w:t>readiness</w:t>
      </w:r>
      <w:proofErr w:type="spellEnd"/>
      <w:r>
        <w:t xml:space="preserve"> f</w:t>
      </w:r>
      <w:r w:rsidRPr="00B3646A">
        <w:t xml:space="preserve">or </w:t>
      </w:r>
      <w:proofErr w:type="spellStart"/>
      <w:r w:rsidRPr="00B3646A">
        <w:t>the</w:t>
      </w:r>
      <w:proofErr w:type="spellEnd"/>
      <w:r w:rsidRPr="00B3646A">
        <w:t xml:space="preserve"> </w:t>
      </w:r>
      <w:proofErr w:type="spellStart"/>
      <w:r w:rsidRPr="00B3646A">
        <w:t>adoption</w:t>
      </w:r>
      <w:proofErr w:type="spellEnd"/>
      <w:r w:rsidRPr="00B3646A">
        <w:t xml:space="preserve"> of an </w:t>
      </w:r>
      <w:proofErr w:type="spellStart"/>
      <w:r w:rsidRPr="00B3646A">
        <w:t>on-tax</w:t>
      </w:r>
      <w:proofErr w:type="spellEnd"/>
      <w:r>
        <w:t xml:space="preserve"> </w:t>
      </w:r>
      <w:proofErr w:type="spellStart"/>
      <w:r>
        <w:t>f</w:t>
      </w:r>
      <w:r w:rsidRPr="00B3646A">
        <w:t>inancing</w:t>
      </w:r>
      <w:proofErr w:type="spellEnd"/>
      <w:r w:rsidRPr="00B3646A">
        <w:t xml:space="preserve"> </w:t>
      </w:r>
      <w:proofErr w:type="spellStart"/>
      <w:r w:rsidRPr="00B3646A">
        <w:t>mechanism</w:t>
      </w:r>
      <w:proofErr w:type="spellEnd"/>
      <w:r>
        <w:t xml:space="preserve"> – </w:t>
      </w:r>
      <w:proofErr w:type="spellStart"/>
      <w:r w:rsidRPr="00B3646A">
        <w:t>EuroPACE</w:t>
      </w:r>
      <w:proofErr w:type="spellEnd"/>
      <w:r>
        <w:t xml:space="preserve">, </w:t>
      </w:r>
      <w:r w:rsidRPr="00B3646A">
        <w:t xml:space="preserve">CASE Network </w:t>
      </w:r>
      <w:proofErr w:type="spellStart"/>
      <w:r w:rsidRPr="00B3646A">
        <w:t>Studies</w:t>
      </w:r>
      <w:proofErr w:type="spellEnd"/>
      <w:r w:rsidRPr="00B3646A">
        <w:t xml:space="preserve"> &amp; </w:t>
      </w:r>
      <w:proofErr w:type="spellStart"/>
      <w:r w:rsidRPr="00B3646A">
        <w:t>Analyses</w:t>
      </w:r>
      <w:proofErr w:type="spellEnd"/>
    </w:p>
    <w:p w14:paraId="4BEFA603" w14:textId="77777777" w:rsidR="008A54EA" w:rsidRPr="004B71D9" w:rsidRDefault="008A54EA" w:rsidP="00406397"/>
    <w:sectPr w:rsidR="008A54EA" w:rsidRPr="004B71D9" w:rsidSect="006F471A">
      <w:headerReference w:type="default" r:id="rId46"/>
      <w:footerReference w:type="even" r:id="rId47"/>
      <w:footerReference w:type="default" r:id="rId48"/>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6FE12" w14:textId="77777777" w:rsidR="008D6E82" w:rsidRDefault="008D6E82">
      <w:r>
        <w:separator/>
      </w:r>
    </w:p>
  </w:endnote>
  <w:endnote w:type="continuationSeparator" w:id="0">
    <w:p w14:paraId="42CF18F5" w14:textId="77777777" w:rsidR="008D6E82" w:rsidRDefault="008D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EE"/>
    <w:family w:val="swiss"/>
    <w:pitch w:val="variable"/>
    <w:sig w:usb0="00000000" w:usb1="500078FF" w:usb2="00000021" w:usb3="00000000" w:csb0="000001BF" w:csb1="00000000"/>
  </w:font>
  <w:font w:name="Helvetica Neue">
    <w:altName w:val="Arial"/>
    <w:charset w:val="00"/>
    <w:family w:val="auto"/>
    <w:pitch w:val="default"/>
  </w:font>
  <w:font w:name="PingFang SC">
    <w:charset w:val="01"/>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MT">
    <w:altName w:val="Cambria"/>
    <w:panose1 w:val="00000000000000000000"/>
    <w:charset w:val="00"/>
    <w:family w:val="roman"/>
    <w:notTrueType/>
    <w:pitch w:val="default"/>
  </w:font>
  <w:font w:name="Nunito Sans">
    <w:charset w:val="00"/>
    <w:family w:val="auto"/>
    <w:pitch w:val="variable"/>
    <w:sig w:usb0="A00002FF" w:usb1="5000204B" w:usb2="00000000" w:usb3="00000000" w:csb0="00000197"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172E8" w14:textId="77777777" w:rsidR="00E66302" w:rsidRDefault="00E66302" w:rsidP="008B03D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4</w:t>
    </w:r>
    <w:r>
      <w:rPr>
        <w:rStyle w:val="Oldalszm"/>
      </w:rPr>
      <w:fldChar w:fldCharType="end"/>
    </w:r>
  </w:p>
  <w:p w14:paraId="36A1F8E9" w14:textId="77777777" w:rsidR="00E66302" w:rsidRDefault="00E66302" w:rsidP="00E55E74">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3480963"/>
      <w:docPartObj>
        <w:docPartGallery w:val="Page Numbers (Bottom of Page)"/>
        <w:docPartUnique/>
      </w:docPartObj>
    </w:sdtPr>
    <w:sdtContent>
      <w:p w14:paraId="05B90333" w14:textId="18AFB50F" w:rsidR="00E66302" w:rsidRDefault="00E66302" w:rsidP="00666AEA">
        <w:pPr>
          <w:pStyle w:val="llb"/>
          <w:jc w:val="right"/>
        </w:pPr>
        <w:r>
          <w:fldChar w:fldCharType="begin"/>
        </w:r>
        <w:r>
          <w:instrText>PAGE   \* MERGEFORMAT</w:instrText>
        </w:r>
        <w:r>
          <w:fldChar w:fldCharType="separate"/>
        </w:r>
        <w:r w:rsidR="004219F5">
          <w:rPr>
            <w:noProof/>
          </w:rPr>
          <w:t>32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F542E" w14:textId="77777777" w:rsidR="008D6E82" w:rsidRDefault="008D6E82">
      <w:r>
        <w:separator/>
      </w:r>
    </w:p>
  </w:footnote>
  <w:footnote w:type="continuationSeparator" w:id="0">
    <w:p w14:paraId="00C60CF9" w14:textId="77777777" w:rsidR="008D6E82" w:rsidRDefault="008D6E82">
      <w:r>
        <w:continuationSeparator/>
      </w:r>
    </w:p>
  </w:footnote>
  <w:footnote w:id="1">
    <w:p w14:paraId="7ECBA9A7" w14:textId="77777777" w:rsidR="00E66302" w:rsidRDefault="00E66302" w:rsidP="00D6778F">
      <w:pPr>
        <w:rPr>
          <w:sz w:val="20"/>
          <w:szCs w:val="16"/>
        </w:rPr>
      </w:pPr>
      <w:r>
        <w:rPr>
          <w:rStyle w:val="Lbjegyzet-hivatkozs"/>
        </w:rPr>
        <w:footnoteRef/>
      </w:r>
      <w:r>
        <w:t xml:space="preserve"> </w:t>
      </w:r>
      <w:r w:rsidRPr="009D2986">
        <w:rPr>
          <w:sz w:val="20"/>
          <w:szCs w:val="16"/>
        </w:rPr>
        <w:t xml:space="preserve">Budapest 2015.12.29-én keretszerződést kötött az Európai Befektetési Bankkal Budapest Urban </w:t>
      </w:r>
      <w:proofErr w:type="spellStart"/>
      <w:r w:rsidRPr="009D2986">
        <w:rPr>
          <w:sz w:val="20"/>
          <w:szCs w:val="16"/>
        </w:rPr>
        <w:t>Development</w:t>
      </w:r>
      <w:proofErr w:type="spellEnd"/>
      <w:r w:rsidRPr="009D2986">
        <w:rPr>
          <w:sz w:val="20"/>
          <w:szCs w:val="16"/>
        </w:rPr>
        <w:t xml:space="preserve"> programra, azzal a céllal, hogy Budapest Integrált Városfejlesztési Stratégiájában foglalt projektek megvalósítását előremozdítsa, kiemelten a szilárd hulladék, a víz, az energiahatékonyság és a közterületek rehabilitációja, valamint esetleg más szektorok területén. A program céljaként a város gazdasági attraktivitásának növelése és a városlakók életminőségének javítását tűzi ki, a városi környezet megújítását a meglévő adottságok kihasználásával, különösen a kulturális és történeti értékeit tekintve.</w:t>
      </w:r>
      <w:r>
        <w:rPr>
          <w:sz w:val="20"/>
          <w:szCs w:val="16"/>
        </w:rPr>
        <w:t xml:space="preserve"> </w:t>
      </w:r>
    </w:p>
    <w:p w14:paraId="66385FF4" w14:textId="77777777" w:rsidR="00E66302" w:rsidRDefault="00E66302" w:rsidP="00D6778F">
      <w:r w:rsidRPr="009D2986">
        <w:rPr>
          <w:sz w:val="20"/>
          <w:szCs w:val="16"/>
        </w:rPr>
        <w:t xml:space="preserve">Teljes keret 1097 millió EUR, egy projekt javasolt </w:t>
      </w:r>
      <w:proofErr w:type="spellStart"/>
      <w:r w:rsidRPr="009D2986">
        <w:rPr>
          <w:sz w:val="20"/>
          <w:szCs w:val="16"/>
        </w:rPr>
        <w:t>EBB-finanszírozási</w:t>
      </w:r>
      <w:proofErr w:type="spellEnd"/>
      <w:r w:rsidRPr="009D2986">
        <w:rPr>
          <w:sz w:val="20"/>
          <w:szCs w:val="16"/>
        </w:rPr>
        <w:t xml:space="preserve"> összege 100 millió EUR. Ágazatok közti megosztás: kompozit infrastruktúra 16 millió EUR, szilárd hulladék 5,1 millió EUR, víz-szennyvíz 24,9 millió EUR, szolgáltatások 5 millió EUR, energia 25 millió EUR, városfejlesztés 24 millió EUR. </w:t>
      </w:r>
    </w:p>
  </w:footnote>
  <w:footnote w:id="2">
    <w:p w14:paraId="36056543" w14:textId="1DEDE9E8" w:rsidR="00E66302" w:rsidRPr="00D7063F" w:rsidRDefault="00E66302">
      <w:pPr>
        <w:pStyle w:val="Lbjegyzetszveg"/>
        <w:rPr>
          <w:sz w:val="20"/>
        </w:rPr>
      </w:pPr>
      <w:r w:rsidRPr="00D7063F">
        <w:rPr>
          <w:rStyle w:val="Lbjegyzet-hivatkozs"/>
          <w:sz w:val="20"/>
        </w:rPr>
        <w:footnoteRef/>
      </w:r>
      <w:r w:rsidRPr="00D7063F">
        <w:rPr>
          <w:sz w:val="20"/>
        </w:rPr>
        <w:t xml:space="preserve"> Infláció és diszkontálás nélküli értékek.</w:t>
      </w:r>
    </w:p>
  </w:footnote>
  <w:footnote w:id="3">
    <w:p w14:paraId="4257D298" w14:textId="77777777" w:rsidR="00E66302" w:rsidRDefault="00E66302" w:rsidP="00337B57">
      <w:pPr>
        <w:pStyle w:val="Lbjegyzetszveg"/>
      </w:pPr>
      <w:r>
        <w:rPr>
          <w:rStyle w:val="Lbjegyzet-hivatkozs"/>
        </w:rPr>
        <w:footnoteRef/>
      </w:r>
      <w:r w:rsidRPr="000230B1">
        <w:rPr>
          <w:sz w:val="20"/>
          <w:szCs w:val="16"/>
        </w:rPr>
        <w:t xml:space="preserve"> </w:t>
      </w:r>
      <w:hyperlink r:id="rId1" w:history="1">
        <w:r w:rsidRPr="000230B1">
          <w:rPr>
            <w:rStyle w:val="Hiperhivatkozs"/>
            <w:sz w:val="20"/>
            <w:szCs w:val="16"/>
          </w:rPr>
          <w:t>https://www.ksh.hu/apps/hntr.telepules?p_lang=HU&amp;p_id=29744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C290B" w14:textId="1C295BDB" w:rsidR="00E66302" w:rsidRPr="006F471A" w:rsidRDefault="00E66302" w:rsidP="006F471A">
    <w:pPr>
      <w:pStyle w:val="lfej"/>
      <w:rPr>
        <w:i/>
        <w:iCs/>
        <w:sz w:val="20"/>
        <w:szCs w:val="16"/>
      </w:rPr>
    </w:pPr>
    <w:r w:rsidRPr="006F471A">
      <w:rPr>
        <w:i/>
        <w:iCs/>
        <w:sz w:val="20"/>
        <w:szCs w:val="16"/>
      </w:rPr>
      <w:t xml:space="preserve">Energiahatékonysági és klímavédelmi alap koncepció </w:t>
    </w:r>
    <w:r>
      <w:rPr>
        <w:i/>
        <w:iCs/>
        <w:sz w:val="20"/>
        <w:szCs w:val="16"/>
      </w:rPr>
      <w:tab/>
    </w:r>
    <w:r>
      <w:rPr>
        <w:i/>
        <w:iCs/>
        <w:sz w:val="20"/>
        <w:szCs w:val="16"/>
      </w:rPr>
      <w:tab/>
    </w:r>
    <w:r w:rsidRPr="006F471A">
      <w:rPr>
        <w:i/>
        <w:iCs/>
        <w:sz w:val="20"/>
        <w:szCs w:val="16"/>
      </w:rPr>
      <w:t xml:space="preserve">2023. </w:t>
    </w:r>
    <w:r>
      <w:rPr>
        <w:i/>
        <w:iCs/>
        <w:sz w:val="20"/>
        <w:szCs w:val="16"/>
      </w:rPr>
      <w:t>április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1920"/>
    <w:multiLevelType w:val="hybridMultilevel"/>
    <w:tmpl w:val="19E831AE"/>
    <w:lvl w:ilvl="0" w:tplc="4B740E24">
      <w:numFmt w:val="bullet"/>
      <w:lvlText w:val="-"/>
      <w:lvlJc w:val="left"/>
      <w:pPr>
        <w:ind w:left="720" w:hanging="360"/>
      </w:pPr>
      <w:rPr>
        <w:rFonts w:ascii="Arial Narrow" w:eastAsia="Times New Roman" w:hAnsi="Arial Narrow"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1791CD1"/>
    <w:multiLevelType w:val="hybridMultilevel"/>
    <w:tmpl w:val="FF0C1AE4"/>
    <w:lvl w:ilvl="0" w:tplc="4B740E24">
      <w:numFmt w:val="bullet"/>
      <w:lvlText w:val="-"/>
      <w:lvlJc w:val="left"/>
      <w:pPr>
        <w:ind w:left="720" w:hanging="360"/>
      </w:pPr>
      <w:rPr>
        <w:rFonts w:ascii="Arial Narrow" w:eastAsia="Times New Roman" w:hAnsi="Arial Narrow"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3038BD"/>
    <w:multiLevelType w:val="multilevel"/>
    <w:tmpl w:val="7DAA75AA"/>
    <w:lvl w:ilvl="0">
      <w:start w:val="1"/>
      <w:numFmt w:val="decimal"/>
      <w:pStyle w:val="Cmsor1"/>
      <w:lvlText w:val="%1"/>
      <w:lvlJc w:val="left"/>
      <w:pPr>
        <w:tabs>
          <w:tab w:val="num" w:pos="851"/>
        </w:tabs>
        <w:ind w:left="851" w:hanging="851"/>
      </w:pPr>
      <w:rPr>
        <w:rFonts w:hint="default"/>
      </w:rPr>
    </w:lvl>
    <w:lvl w:ilvl="1">
      <w:start w:val="1"/>
      <w:numFmt w:val="decimal"/>
      <w:pStyle w:val="Cmsor2"/>
      <w:lvlText w:val="%1.%2"/>
      <w:lvlJc w:val="left"/>
      <w:pPr>
        <w:tabs>
          <w:tab w:val="num" w:pos="0"/>
        </w:tabs>
        <w:ind w:left="851" w:hanging="851"/>
      </w:pPr>
      <w:rPr>
        <w:rFonts w:hint="default"/>
      </w:rPr>
    </w:lvl>
    <w:lvl w:ilvl="2">
      <w:start w:val="1"/>
      <w:numFmt w:val="decimal"/>
      <w:pStyle w:val="Cmsor3"/>
      <w:lvlText w:val="%1.%2.%3"/>
      <w:lvlJc w:val="left"/>
      <w:pPr>
        <w:tabs>
          <w:tab w:val="num" w:pos="720"/>
        </w:tabs>
        <w:ind w:left="0" w:firstLine="0"/>
      </w:pPr>
      <w:rPr>
        <w:rFonts w:hint="default"/>
      </w:rPr>
    </w:lvl>
    <w:lvl w:ilvl="3">
      <w:start w:val="1"/>
      <w:numFmt w:val="none"/>
      <w:pStyle w:val="Cmsor4"/>
      <w:suff w:val="nothing"/>
      <w:lvlText w:val=""/>
      <w:lvlJc w:val="left"/>
      <w:pPr>
        <w:ind w:left="0" w:firstLine="0"/>
      </w:pPr>
      <w:rPr>
        <w:rFonts w:hint="default"/>
      </w:rPr>
    </w:lvl>
    <w:lvl w:ilvl="4">
      <w:start w:val="1"/>
      <w:numFmt w:val="decimal"/>
      <w:lvlText w:val="(%5)"/>
      <w:lvlJc w:val="left"/>
      <w:pPr>
        <w:tabs>
          <w:tab w:val="num" w:pos="0"/>
        </w:tabs>
        <w:ind w:left="2410" w:hanging="708"/>
      </w:pPr>
      <w:rPr>
        <w:rFonts w:hint="default"/>
      </w:rPr>
    </w:lvl>
    <w:lvl w:ilvl="5">
      <w:start w:val="1"/>
      <w:numFmt w:val="lowerLetter"/>
      <w:pStyle w:val="Cmsor6"/>
      <w:lvlText w:val="(%6)"/>
      <w:lvlJc w:val="left"/>
      <w:pPr>
        <w:tabs>
          <w:tab w:val="num" w:pos="0"/>
        </w:tabs>
        <w:ind w:left="3118" w:hanging="708"/>
      </w:pPr>
      <w:rPr>
        <w:rFonts w:hint="default"/>
      </w:rPr>
    </w:lvl>
    <w:lvl w:ilvl="6">
      <w:start w:val="1"/>
      <w:numFmt w:val="lowerRoman"/>
      <w:pStyle w:val="Cmsor7"/>
      <w:lvlText w:val="(%7)"/>
      <w:lvlJc w:val="left"/>
      <w:pPr>
        <w:tabs>
          <w:tab w:val="num" w:pos="0"/>
        </w:tabs>
        <w:ind w:left="3826" w:hanging="708"/>
      </w:pPr>
      <w:rPr>
        <w:rFonts w:hint="default"/>
      </w:rPr>
    </w:lvl>
    <w:lvl w:ilvl="7">
      <w:start w:val="1"/>
      <w:numFmt w:val="lowerLetter"/>
      <w:pStyle w:val="Cmsor8"/>
      <w:lvlText w:val="(%8)"/>
      <w:lvlJc w:val="left"/>
      <w:pPr>
        <w:tabs>
          <w:tab w:val="num" w:pos="0"/>
        </w:tabs>
        <w:ind w:left="4534" w:hanging="708"/>
      </w:pPr>
      <w:rPr>
        <w:rFonts w:hint="default"/>
      </w:rPr>
    </w:lvl>
    <w:lvl w:ilvl="8">
      <w:start w:val="1"/>
      <w:numFmt w:val="lowerRoman"/>
      <w:pStyle w:val="Cmsor9"/>
      <w:lvlText w:val="(%9)"/>
      <w:lvlJc w:val="left"/>
      <w:pPr>
        <w:tabs>
          <w:tab w:val="num" w:pos="0"/>
        </w:tabs>
        <w:ind w:left="5242" w:hanging="708"/>
      </w:pPr>
      <w:rPr>
        <w:rFonts w:hint="default"/>
      </w:rPr>
    </w:lvl>
  </w:abstractNum>
  <w:abstractNum w:abstractNumId="3" w15:restartNumberingAfterBreak="0">
    <w:nsid w:val="09733565"/>
    <w:multiLevelType w:val="hybridMultilevel"/>
    <w:tmpl w:val="B9A2F68C"/>
    <w:lvl w:ilvl="0" w:tplc="FFFFFFFF">
      <w:numFmt w:val="bullet"/>
      <w:lvlText w:val="-"/>
      <w:lvlJc w:val="left"/>
      <w:pPr>
        <w:ind w:left="720" w:hanging="360"/>
      </w:pPr>
      <w:rPr>
        <w:rFonts w:ascii="Arial Narrow" w:eastAsia="Times New Roman" w:hAnsi="Arial Narrow" w:cs="Times New Roman" w:hint="default"/>
      </w:rPr>
    </w:lvl>
    <w:lvl w:ilvl="1" w:tplc="4B740E24">
      <w:numFmt w:val="bullet"/>
      <w:lvlText w:val="-"/>
      <w:lvlJc w:val="left"/>
      <w:pPr>
        <w:ind w:left="1440" w:hanging="360"/>
      </w:pPr>
      <w:rPr>
        <w:rFonts w:ascii="Arial Narrow" w:eastAsia="Times New Roman" w:hAnsi="Arial Narrow"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DE376CF"/>
    <w:multiLevelType w:val="hybridMultilevel"/>
    <w:tmpl w:val="E274F9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B00ED0"/>
    <w:multiLevelType w:val="hybridMultilevel"/>
    <w:tmpl w:val="ECA63556"/>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6" w15:restartNumberingAfterBreak="0">
    <w:nsid w:val="29486DD6"/>
    <w:multiLevelType w:val="hybridMultilevel"/>
    <w:tmpl w:val="CE8A2EB4"/>
    <w:lvl w:ilvl="0" w:tplc="4B740E24">
      <w:numFmt w:val="bullet"/>
      <w:lvlText w:val="-"/>
      <w:lvlJc w:val="left"/>
      <w:pPr>
        <w:ind w:left="720" w:hanging="360"/>
      </w:pPr>
      <w:rPr>
        <w:rFonts w:ascii="Arial Narrow" w:eastAsia="Times New Roman" w:hAnsi="Arial Narrow"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3839EC"/>
    <w:multiLevelType w:val="multilevel"/>
    <w:tmpl w:val="BCD847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0E7BF0"/>
    <w:multiLevelType w:val="hybridMultilevel"/>
    <w:tmpl w:val="139EFC88"/>
    <w:lvl w:ilvl="0" w:tplc="FFFFFFFF">
      <w:numFmt w:val="bullet"/>
      <w:lvlText w:val="-"/>
      <w:lvlJc w:val="left"/>
      <w:pPr>
        <w:ind w:left="720" w:hanging="360"/>
      </w:pPr>
      <w:rPr>
        <w:rFonts w:ascii="Arial Narrow" w:eastAsia="Times New Roman" w:hAnsi="Arial Narrow" w:cs="Times New Roman" w:hint="default"/>
      </w:rPr>
    </w:lvl>
    <w:lvl w:ilvl="1" w:tplc="4B740E24">
      <w:numFmt w:val="bullet"/>
      <w:lvlText w:val="-"/>
      <w:lvlJc w:val="left"/>
      <w:pPr>
        <w:ind w:left="1440" w:hanging="360"/>
      </w:pPr>
      <w:rPr>
        <w:rFonts w:ascii="Arial Narrow" w:eastAsia="Times New Roman" w:hAnsi="Arial Narrow"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6784B10"/>
    <w:multiLevelType w:val="hybridMultilevel"/>
    <w:tmpl w:val="D99843CA"/>
    <w:lvl w:ilvl="0" w:tplc="4B740E24">
      <w:numFmt w:val="bullet"/>
      <w:lvlText w:val="-"/>
      <w:lvlJc w:val="left"/>
      <w:pPr>
        <w:ind w:left="720" w:hanging="360"/>
      </w:pPr>
      <w:rPr>
        <w:rFonts w:ascii="Arial Narrow" w:eastAsia="Times New Roman" w:hAnsi="Arial Narrow"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DD12C3D"/>
    <w:multiLevelType w:val="hybridMultilevel"/>
    <w:tmpl w:val="CB6EAFBE"/>
    <w:lvl w:ilvl="0" w:tplc="773CC880">
      <w:start w:val="1"/>
      <w:numFmt w:val="decimal"/>
      <w:pStyle w:val="StlusVerdana10ptFlkvrSorkizrtSorkz15sor1"/>
      <w:lvlText w:val="%1."/>
      <w:lvlJc w:val="left"/>
      <w:pPr>
        <w:tabs>
          <w:tab w:val="num" w:pos="360"/>
        </w:tabs>
        <w:ind w:left="360" w:hanging="360"/>
      </w:pPr>
      <w:rPr>
        <w:rFonts w:hint="default"/>
      </w:rPr>
    </w:lvl>
    <w:lvl w:ilvl="1" w:tplc="93C46898">
      <w:start w:val="319"/>
      <w:numFmt w:val="bullet"/>
      <w:lvlText w:val="-"/>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44A95305"/>
    <w:multiLevelType w:val="hybridMultilevel"/>
    <w:tmpl w:val="7D00FF9C"/>
    <w:lvl w:ilvl="0" w:tplc="4B740E24">
      <w:numFmt w:val="bullet"/>
      <w:lvlText w:val="-"/>
      <w:lvlJc w:val="left"/>
      <w:pPr>
        <w:ind w:left="720" w:hanging="360"/>
      </w:pPr>
      <w:rPr>
        <w:rFonts w:ascii="Arial Narrow" w:eastAsia="Times New Roman" w:hAnsi="Arial Narrow"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C452C76"/>
    <w:multiLevelType w:val="multilevel"/>
    <w:tmpl w:val="A8B6D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BB310BA"/>
    <w:multiLevelType w:val="hybridMultilevel"/>
    <w:tmpl w:val="BC20A9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9132861"/>
    <w:multiLevelType w:val="hybridMultilevel"/>
    <w:tmpl w:val="B7FCD314"/>
    <w:lvl w:ilvl="0" w:tplc="4B740E24">
      <w:numFmt w:val="bullet"/>
      <w:lvlText w:val="-"/>
      <w:lvlJc w:val="left"/>
      <w:pPr>
        <w:ind w:left="720" w:hanging="360"/>
      </w:pPr>
      <w:rPr>
        <w:rFonts w:ascii="Arial Narrow" w:eastAsia="Times New Roman" w:hAnsi="Arial Narrow"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
  </w:num>
  <w:num w:numId="4">
    <w:abstractNumId w:val="9"/>
  </w:num>
  <w:num w:numId="5">
    <w:abstractNumId w:val="0"/>
  </w:num>
  <w:num w:numId="6">
    <w:abstractNumId w:val="14"/>
  </w:num>
  <w:num w:numId="7">
    <w:abstractNumId w:val="3"/>
  </w:num>
  <w:num w:numId="8">
    <w:abstractNumId w:val="8"/>
  </w:num>
  <w:num w:numId="9">
    <w:abstractNumId w:val="11"/>
  </w:num>
  <w:num w:numId="10">
    <w:abstractNumId w:val="6"/>
  </w:num>
  <w:num w:numId="11">
    <w:abstractNumId w:val="5"/>
  </w:num>
  <w:num w:numId="12">
    <w:abstractNumId w:val="4"/>
  </w:num>
  <w:num w:numId="13">
    <w:abstractNumId w:val="12"/>
  </w:num>
  <w:num w:numId="14">
    <w:abstractNumId w:val="7"/>
  </w:num>
  <w:num w:numId="1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I3MzGyMLc0NDc2NLRQ0lEKTi0uzszPAykwrgUA5yoCviwAAAA="/>
  </w:docVars>
  <w:rsids>
    <w:rsidRoot w:val="00220DB3"/>
    <w:rsid w:val="000001E5"/>
    <w:rsid w:val="000061CF"/>
    <w:rsid w:val="00011FC6"/>
    <w:rsid w:val="00017CAE"/>
    <w:rsid w:val="0002011E"/>
    <w:rsid w:val="00020E6A"/>
    <w:rsid w:val="00022121"/>
    <w:rsid w:val="00022E86"/>
    <w:rsid w:val="000230B1"/>
    <w:rsid w:val="0002398A"/>
    <w:rsid w:val="0002513C"/>
    <w:rsid w:val="000278BB"/>
    <w:rsid w:val="00031B8B"/>
    <w:rsid w:val="00031D2E"/>
    <w:rsid w:val="00035642"/>
    <w:rsid w:val="00036208"/>
    <w:rsid w:val="00040B20"/>
    <w:rsid w:val="00041EC7"/>
    <w:rsid w:val="0004647F"/>
    <w:rsid w:val="00052561"/>
    <w:rsid w:val="00053F33"/>
    <w:rsid w:val="000558A7"/>
    <w:rsid w:val="00056AED"/>
    <w:rsid w:val="000574DC"/>
    <w:rsid w:val="000601B2"/>
    <w:rsid w:val="0006599D"/>
    <w:rsid w:val="00066AB4"/>
    <w:rsid w:val="0006766E"/>
    <w:rsid w:val="00067759"/>
    <w:rsid w:val="00067A52"/>
    <w:rsid w:val="0007257B"/>
    <w:rsid w:val="000727EC"/>
    <w:rsid w:val="000734A9"/>
    <w:rsid w:val="000752FF"/>
    <w:rsid w:val="00076DE3"/>
    <w:rsid w:val="000814A2"/>
    <w:rsid w:val="000864C9"/>
    <w:rsid w:val="00087794"/>
    <w:rsid w:val="00090D5C"/>
    <w:rsid w:val="0009204C"/>
    <w:rsid w:val="00096179"/>
    <w:rsid w:val="000977C1"/>
    <w:rsid w:val="000A34D0"/>
    <w:rsid w:val="000A38A9"/>
    <w:rsid w:val="000B0A88"/>
    <w:rsid w:val="000B70D4"/>
    <w:rsid w:val="000C4E9F"/>
    <w:rsid w:val="000C50A7"/>
    <w:rsid w:val="000C6547"/>
    <w:rsid w:val="000C6DCF"/>
    <w:rsid w:val="000C7357"/>
    <w:rsid w:val="000C7B46"/>
    <w:rsid w:val="000D059A"/>
    <w:rsid w:val="000D15C3"/>
    <w:rsid w:val="000E25E9"/>
    <w:rsid w:val="000E27AB"/>
    <w:rsid w:val="000E316B"/>
    <w:rsid w:val="000E3226"/>
    <w:rsid w:val="000E75F9"/>
    <w:rsid w:val="000F10B7"/>
    <w:rsid w:val="000F2658"/>
    <w:rsid w:val="000F49DF"/>
    <w:rsid w:val="00104D26"/>
    <w:rsid w:val="00105900"/>
    <w:rsid w:val="001059D5"/>
    <w:rsid w:val="00106938"/>
    <w:rsid w:val="001107F6"/>
    <w:rsid w:val="00111E24"/>
    <w:rsid w:val="0012020B"/>
    <w:rsid w:val="00120CEB"/>
    <w:rsid w:val="00123A9D"/>
    <w:rsid w:val="001266F8"/>
    <w:rsid w:val="00130A32"/>
    <w:rsid w:val="001341EA"/>
    <w:rsid w:val="00134901"/>
    <w:rsid w:val="00137508"/>
    <w:rsid w:val="001379F5"/>
    <w:rsid w:val="00144C4A"/>
    <w:rsid w:val="001459CA"/>
    <w:rsid w:val="00146D71"/>
    <w:rsid w:val="001626D6"/>
    <w:rsid w:val="00164654"/>
    <w:rsid w:val="0017377F"/>
    <w:rsid w:val="001752EF"/>
    <w:rsid w:val="001777B4"/>
    <w:rsid w:val="00177EDB"/>
    <w:rsid w:val="00180898"/>
    <w:rsid w:val="00192428"/>
    <w:rsid w:val="00192B02"/>
    <w:rsid w:val="00195FC3"/>
    <w:rsid w:val="001A0A9F"/>
    <w:rsid w:val="001A31BE"/>
    <w:rsid w:val="001A3973"/>
    <w:rsid w:val="001A5B4C"/>
    <w:rsid w:val="001A6C5B"/>
    <w:rsid w:val="001C11ED"/>
    <w:rsid w:val="001C546A"/>
    <w:rsid w:val="001C6B0E"/>
    <w:rsid w:val="001C743A"/>
    <w:rsid w:val="001D09D2"/>
    <w:rsid w:val="001D1816"/>
    <w:rsid w:val="001D3C71"/>
    <w:rsid w:val="001D7E20"/>
    <w:rsid w:val="001E2989"/>
    <w:rsid w:val="001F1CBF"/>
    <w:rsid w:val="001F70D8"/>
    <w:rsid w:val="00203BCA"/>
    <w:rsid w:val="0020610A"/>
    <w:rsid w:val="00210BC0"/>
    <w:rsid w:val="0021154A"/>
    <w:rsid w:val="002152E8"/>
    <w:rsid w:val="00215CC4"/>
    <w:rsid w:val="00220DB3"/>
    <w:rsid w:val="00222EC8"/>
    <w:rsid w:val="00227285"/>
    <w:rsid w:val="00227D28"/>
    <w:rsid w:val="00230713"/>
    <w:rsid w:val="00230C56"/>
    <w:rsid w:val="00240205"/>
    <w:rsid w:val="00241936"/>
    <w:rsid w:val="00243F23"/>
    <w:rsid w:val="00245939"/>
    <w:rsid w:val="002479C8"/>
    <w:rsid w:val="0025170B"/>
    <w:rsid w:val="00255CE0"/>
    <w:rsid w:val="002560E7"/>
    <w:rsid w:val="0026278E"/>
    <w:rsid w:val="00263565"/>
    <w:rsid w:val="00263CE7"/>
    <w:rsid w:val="002657B4"/>
    <w:rsid w:val="002721BF"/>
    <w:rsid w:val="002735FC"/>
    <w:rsid w:val="00280445"/>
    <w:rsid w:val="002813E7"/>
    <w:rsid w:val="00285E4F"/>
    <w:rsid w:val="0028696B"/>
    <w:rsid w:val="00287702"/>
    <w:rsid w:val="00291C44"/>
    <w:rsid w:val="002976EC"/>
    <w:rsid w:val="002B0216"/>
    <w:rsid w:val="002B0761"/>
    <w:rsid w:val="002B4228"/>
    <w:rsid w:val="002B424D"/>
    <w:rsid w:val="002C0457"/>
    <w:rsid w:val="002C18C5"/>
    <w:rsid w:val="002C1D26"/>
    <w:rsid w:val="002C2D6D"/>
    <w:rsid w:val="002D0C8F"/>
    <w:rsid w:val="002D4346"/>
    <w:rsid w:val="002D4B38"/>
    <w:rsid w:val="002D781F"/>
    <w:rsid w:val="002D7B53"/>
    <w:rsid w:val="002E439D"/>
    <w:rsid w:val="002E4CEA"/>
    <w:rsid w:val="002E66B3"/>
    <w:rsid w:val="002F1E45"/>
    <w:rsid w:val="002F2F64"/>
    <w:rsid w:val="002F6445"/>
    <w:rsid w:val="002F79FE"/>
    <w:rsid w:val="003020FF"/>
    <w:rsid w:val="00303A44"/>
    <w:rsid w:val="00304BA2"/>
    <w:rsid w:val="0031011B"/>
    <w:rsid w:val="003107F8"/>
    <w:rsid w:val="003216BB"/>
    <w:rsid w:val="00321B61"/>
    <w:rsid w:val="0032272E"/>
    <w:rsid w:val="003325C5"/>
    <w:rsid w:val="00334AA4"/>
    <w:rsid w:val="00335B4E"/>
    <w:rsid w:val="00337B57"/>
    <w:rsid w:val="003418CA"/>
    <w:rsid w:val="00342F21"/>
    <w:rsid w:val="00343570"/>
    <w:rsid w:val="003435FA"/>
    <w:rsid w:val="00345552"/>
    <w:rsid w:val="00346A4D"/>
    <w:rsid w:val="00347F59"/>
    <w:rsid w:val="0035408C"/>
    <w:rsid w:val="003568FF"/>
    <w:rsid w:val="00356CFF"/>
    <w:rsid w:val="00357EF3"/>
    <w:rsid w:val="00360129"/>
    <w:rsid w:val="003624F0"/>
    <w:rsid w:val="003625C7"/>
    <w:rsid w:val="00363B01"/>
    <w:rsid w:val="0037305A"/>
    <w:rsid w:val="003741F7"/>
    <w:rsid w:val="00374D8D"/>
    <w:rsid w:val="00375295"/>
    <w:rsid w:val="0037785F"/>
    <w:rsid w:val="00380C44"/>
    <w:rsid w:val="003816A4"/>
    <w:rsid w:val="00382B51"/>
    <w:rsid w:val="003838DB"/>
    <w:rsid w:val="003918CE"/>
    <w:rsid w:val="00391D73"/>
    <w:rsid w:val="00392599"/>
    <w:rsid w:val="00395C13"/>
    <w:rsid w:val="003A39CA"/>
    <w:rsid w:val="003A3C7D"/>
    <w:rsid w:val="003A4F6D"/>
    <w:rsid w:val="003A50C1"/>
    <w:rsid w:val="003A616B"/>
    <w:rsid w:val="003B0189"/>
    <w:rsid w:val="003B2358"/>
    <w:rsid w:val="003B3E5C"/>
    <w:rsid w:val="003B496B"/>
    <w:rsid w:val="003B5912"/>
    <w:rsid w:val="003C2199"/>
    <w:rsid w:val="003C2A10"/>
    <w:rsid w:val="003C3D90"/>
    <w:rsid w:val="003C4293"/>
    <w:rsid w:val="003C4772"/>
    <w:rsid w:val="003C5141"/>
    <w:rsid w:val="003C5851"/>
    <w:rsid w:val="003C7ED2"/>
    <w:rsid w:val="003D3735"/>
    <w:rsid w:val="003D6E1D"/>
    <w:rsid w:val="003E224F"/>
    <w:rsid w:val="003E55EF"/>
    <w:rsid w:val="003E65BF"/>
    <w:rsid w:val="003E7D76"/>
    <w:rsid w:val="003F2F80"/>
    <w:rsid w:val="003F3504"/>
    <w:rsid w:val="003F715E"/>
    <w:rsid w:val="004006E8"/>
    <w:rsid w:val="00400DAF"/>
    <w:rsid w:val="0040346A"/>
    <w:rsid w:val="00406397"/>
    <w:rsid w:val="00407490"/>
    <w:rsid w:val="00410D6C"/>
    <w:rsid w:val="0041699A"/>
    <w:rsid w:val="00417509"/>
    <w:rsid w:val="004206A2"/>
    <w:rsid w:val="00420A1F"/>
    <w:rsid w:val="004219F5"/>
    <w:rsid w:val="00422013"/>
    <w:rsid w:val="00423DDD"/>
    <w:rsid w:val="00432007"/>
    <w:rsid w:val="00432127"/>
    <w:rsid w:val="00432704"/>
    <w:rsid w:val="00433D6C"/>
    <w:rsid w:val="004361C6"/>
    <w:rsid w:val="00437299"/>
    <w:rsid w:val="00442171"/>
    <w:rsid w:val="00445E2C"/>
    <w:rsid w:val="00450ED6"/>
    <w:rsid w:val="00451206"/>
    <w:rsid w:val="004513E2"/>
    <w:rsid w:val="004518B5"/>
    <w:rsid w:val="00451ECA"/>
    <w:rsid w:val="00462680"/>
    <w:rsid w:val="00470C28"/>
    <w:rsid w:val="004719AA"/>
    <w:rsid w:val="00471BDD"/>
    <w:rsid w:val="0048544B"/>
    <w:rsid w:val="00485D7D"/>
    <w:rsid w:val="00487A35"/>
    <w:rsid w:val="004906ED"/>
    <w:rsid w:val="004928EB"/>
    <w:rsid w:val="00493BB3"/>
    <w:rsid w:val="00494270"/>
    <w:rsid w:val="004A0C02"/>
    <w:rsid w:val="004A2401"/>
    <w:rsid w:val="004A61C6"/>
    <w:rsid w:val="004A75B0"/>
    <w:rsid w:val="004A7845"/>
    <w:rsid w:val="004B217A"/>
    <w:rsid w:val="004B21CA"/>
    <w:rsid w:val="004B3E96"/>
    <w:rsid w:val="004B4110"/>
    <w:rsid w:val="004B71D9"/>
    <w:rsid w:val="004B78AD"/>
    <w:rsid w:val="004B7B78"/>
    <w:rsid w:val="004C0620"/>
    <w:rsid w:val="004C0950"/>
    <w:rsid w:val="004C1EA8"/>
    <w:rsid w:val="004C6B1C"/>
    <w:rsid w:val="004C6E61"/>
    <w:rsid w:val="004D0418"/>
    <w:rsid w:val="004D0F32"/>
    <w:rsid w:val="004D2304"/>
    <w:rsid w:val="004D4BCD"/>
    <w:rsid w:val="004D4F3C"/>
    <w:rsid w:val="004E204B"/>
    <w:rsid w:val="004F092B"/>
    <w:rsid w:val="005010F3"/>
    <w:rsid w:val="005015CC"/>
    <w:rsid w:val="005036B4"/>
    <w:rsid w:val="005114F0"/>
    <w:rsid w:val="00512C55"/>
    <w:rsid w:val="00514889"/>
    <w:rsid w:val="00516E26"/>
    <w:rsid w:val="00522014"/>
    <w:rsid w:val="00523D5B"/>
    <w:rsid w:val="005346C2"/>
    <w:rsid w:val="005352B6"/>
    <w:rsid w:val="00535C1B"/>
    <w:rsid w:val="00536E6B"/>
    <w:rsid w:val="00541CEE"/>
    <w:rsid w:val="00542DFC"/>
    <w:rsid w:val="00543653"/>
    <w:rsid w:val="0054431A"/>
    <w:rsid w:val="00546968"/>
    <w:rsid w:val="00561AFC"/>
    <w:rsid w:val="0056286C"/>
    <w:rsid w:val="00562BFA"/>
    <w:rsid w:val="00564099"/>
    <w:rsid w:val="00571D1D"/>
    <w:rsid w:val="00572C6C"/>
    <w:rsid w:val="00573183"/>
    <w:rsid w:val="0057332E"/>
    <w:rsid w:val="00575C78"/>
    <w:rsid w:val="00583375"/>
    <w:rsid w:val="00590752"/>
    <w:rsid w:val="0059461B"/>
    <w:rsid w:val="0059523B"/>
    <w:rsid w:val="00597E95"/>
    <w:rsid w:val="005A31CC"/>
    <w:rsid w:val="005A3EE9"/>
    <w:rsid w:val="005B1794"/>
    <w:rsid w:val="005C048B"/>
    <w:rsid w:val="005C0BA2"/>
    <w:rsid w:val="005C14B4"/>
    <w:rsid w:val="005C29F9"/>
    <w:rsid w:val="005C7E8A"/>
    <w:rsid w:val="005D0C3A"/>
    <w:rsid w:val="005D2729"/>
    <w:rsid w:val="005D4F24"/>
    <w:rsid w:val="005D7473"/>
    <w:rsid w:val="005E21A7"/>
    <w:rsid w:val="005E27C8"/>
    <w:rsid w:val="005E6E52"/>
    <w:rsid w:val="005E7474"/>
    <w:rsid w:val="005F3D84"/>
    <w:rsid w:val="005F4E39"/>
    <w:rsid w:val="005F7998"/>
    <w:rsid w:val="006062A3"/>
    <w:rsid w:val="00606911"/>
    <w:rsid w:val="00607D33"/>
    <w:rsid w:val="006146A5"/>
    <w:rsid w:val="006147D9"/>
    <w:rsid w:val="006169B4"/>
    <w:rsid w:val="006175F5"/>
    <w:rsid w:val="006179C3"/>
    <w:rsid w:val="00626F7C"/>
    <w:rsid w:val="00632AFB"/>
    <w:rsid w:val="00635C4A"/>
    <w:rsid w:val="0064176E"/>
    <w:rsid w:val="006467F1"/>
    <w:rsid w:val="00646C99"/>
    <w:rsid w:val="006528C5"/>
    <w:rsid w:val="00656E70"/>
    <w:rsid w:val="006572FC"/>
    <w:rsid w:val="00660194"/>
    <w:rsid w:val="00665E59"/>
    <w:rsid w:val="00666AEA"/>
    <w:rsid w:val="00667A06"/>
    <w:rsid w:val="00671271"/>
    <w:rsid w:val="00671866"/>
    <w:rsid w:val="006979CF"/>
    <w:rsid w:val="006A1380"/>
    <w:rsid w:val="006A1615"/>
    <w:rsid w:val="006A6968"/>
    <w:rsid w:val="006A7C72"/>
    <w:rsid w:val="006B4D38"/>
    <w:rsid w:val="006B59D1"/>
    <w:rsid w:val="006B73E9"/>
    <w:rsid w:val="006C10D2"/>
    <w:rsid w:val="006C253A"/>
    <w:rsid w:val="006C2F98"/>
    <w:rsid w:val="006C57B3"/>
    <w:rsid w:val="006C7FF4"/>
    <w:rsid w:val="006D1F44"/>
    <w:rsid w:val="006D3067"/>
    <w:rsid w:val="006D4C34"/>
    <w:rsid w:val="006D62F0"/>
    <w:rsid w:val="006D7CA7"/>
    <w:rsid w:val="006E2E0E"/>
    <w:rsid w:val="006E3063"/>
    <w:rsid w:val="006E3FBF"/>
    <w:rsid w:val="006E52C3"/>
    <w:rsid w:val="006F471A"/>
    <w:rsid w:val="006F5359"/>
    <w:rsid w:val="00700667"/>
    <w:rsid w:val="00701B3C"/>
    <w:rsid w:val="00706E45"/>
    <w:rsid w:val="00714FCF"/>
    <w:rsid w:val="00720119"/>
    <w:rsid w:val="0072387F"/>
    <w:rsid w:val="00735831"/>
    <w:rsid w:val="0073631B"/>
    <w:rsid w:val="0074009E"/>
    <w:rsid w:val="007407B8"/>
    <w:rsid w:val="00750ADE"/>
    <w:rsid w:val="00755267"/>
    <w:rsid w:val="0075649E"/>
    <w:rsid w:val="00757894"/>
    <w:rsid w:val="0076071A"/>
    <w:rsid w:val="00761D4F"/>
    <w:rsid w:val="00761E9B"/>
    <w:rsid w:val="00762E08"/>
    <w:rsid w:val="00772BB3"/>
    <w:rsid w:val="00776178"/>
    <w:rsid w:val="007763C4"/>
    <w:rsid w:val="00777227"/>
    <w:rsid w:val="00777BC3"/>
    <w:rsid w:val="0078159E"/>
    <w:rsid w:val="00783658"/>
    <w:rsid w:val="00785EFC"/>
    <w:rsid w:val="00785F72"/>
    <w:rsid w:val="0079084D"/>
    <w:rsid w:val="00795B38"/>
    <w:rsid w:val="007A403D"/>
    <w:rsid w:val="007A45A3"/>
    <w:rsid w:val="007B45FF"/>
    <w:rsid w:val="007B5E54"/>
    <w:rsid w:val="007B62CF"/>
    <w:rsid w:val="007B743A"/>
    <w:rsid w:val="007C0F30"/>
    <w:rsid w:val="007C1701"/>
    <w:rsid w:val="007C661D"/>
    <w:rsid w:val="007D2C07"/>
    <w:rsid w:val="007D55EC"/>
    <w:rsid w:val="007D657D"/>
    <w:rsid w:val="007E1848"/>
    <w:rsid w:val="007F21E2"/>
    <w:rsid w:val="007F24AE"/>
    <w:rsid w:val="007F3552"/>
    <w:rsid w:val="007F555E"/>
    <w:rsid w:val="0080191F"/>
    <w:rsid w:val="00804F3A"/>
    <w:rsid w:val="00805BAE"/>
    <w:rsid w:val="00813E7D"/>
    <w:rsid w:val="00815577"/>
    <w:rsid w:val="00816A24"/>
    <w:rsid w:val="00827A06"/>
    <w:rsid w:val="0083113C"/>
    <w:rsid w:val="00834C48"/>
    <w:rsid w:val="00835BA7"/>
    <w:rsid w:val="00835CDD"/>
    <w:rsid w:val="00841A24"/>
    <w:rsid w:val="00843167"/>
    <w:rsid w:val="00843C4B"/>
    <w:rsid w:val="00844D23"/>
    <w:rsid w:val="00845528"/>
    <w:rsid w:val="00847775"/>
    <w:rsid w:val="00851E64"/>
    <w:rsid w:val="00852DBE"/>
    <w:rsid w:val="00852F2B"/>
    <w:rsid w:val="00853756"/>
    <w:rsid w:val="00854EE4"/>
    <w:rsid w:val="008561C7"/>
    <w:rsid w:val="00862854"/>
    <w:rsid w:val="00864A09"/>
    <w:rsid w:val="00866956"/>
    <w:rsid w:val="00870942"/>
    <w:rsid w:val="00872714"/>
    <w:rsid w:val="00875415"/>
    <w:rsid w:val="00893BBD"/>
    <w:rsid w:val="0089677C"/>
    <w:rsid w:val="0089696C"/>
    <w:rsid w:val="00896F9B"/>
    <w:rsid w:val="008A52C1"/>
    <w:rsid w:val="008A54EA"/>
    <w:rsid w:val="008A5D9E"/>
    <w:rsid w:val="008B03D8"/>
    <w:rsid w:val="008B1414"/>
    <w:rsid w:val="008B22D0"/>
    <w:rsid w:val="008B3952"/>
    <w:rsid w:val="008B71E0"/>
    <w:rsid w:val="008B7C71"/>
    <w:rsid w:val="008C0F5C"/>
    <w:rsid w:val="008C102C"/>
    <w:rsid w:val="008C12E9"/>
    <w:rsid w:val="008D0661"/>
    <w:rsid w:val="008D186C"/>
    <w:rsid w:val="008D37E8"/>
    <w:rsid w:val="008D58A2"/>
    <w:rsid w:val="008D6E82"/>
    <w:rsid w:val="008D7475"/>
    <w:rsid w:val="008D74C2"/>
    <w:rsid w:val="008E085C"/>
    <w:rsid w:val="008E4C2C"/>
    <w:rsid w:val="008E4C43"/>
    <w:rsid w:val="008E5BBF"/>
    <w:rsid w:val="008E60B5"/>
    <w:rsid w:val="008E7E87"/>
    <w:rsid w:val="008F34A6"/>
    <w:rsid w:val="008F43D7"/>
    <w:rsid w:val="008F4E88"/>
    <w:rsid w:val="008F5775"/>
    <w:rsid w:val="00901780"/>
    <w:rsid w:val="00901B13"/>
    <w:rsid w:val="009027D4"/>
    <w:rsid w:val="0090330B"/>
    <w:rsid w:val="00904727"/>
    <w:rsid w:val="009106FA"/>
    <w:rsid w:val="0091127E"/>
    <w:rsid w:val="00912B86"/>
    <w:rsid w:val="00914699"/>
    <w:rsid w:val="00914B42"/>
    <w:rsid w:val="00914BE9"/>
    <w:rsid w:val="00917058"/>
    <w:rsid w:val="009222C4"/>
    <w:rsid w:val="009223A8"/>
    <w:rsid w:val="009228A3"/>
    <w:rsid w:val="00923E0C"/>
    <w:rsid w:val="00926651"/>
    <w:rsid w:val="009269DA"/>
    <w:rsid w:val="009304FE"/>
    <w:rsid w:val="0093058C"/>
    <w:rsid w:val="009313DF"/>
    <w:rsid w:val="00944CB9"/>
    <w:rsid w:val="00946729"/>
    <w:rsid w:val="00950B86"/>
    <w:rsid w:val="00950D6F"/>
    <w:rsid w:val="00951296"/>
    <w:rsid w:val="009519E9"/>
    <w:rsid w:val="009552D6"/>
    <w:rsid w:val="009561AD"/>
    <w:rsid w:val="00956FC8"/>
    <w:rsid w:val="00957B26"/>
    <w:rsid w:val="00963970"/>
    <w:rsid w:val="00965EB5"/>
    <w:rsid w:val="00972EF7"/>
    <w:rsid w:val="00982CDD"/>
    <w:rsid w:val="009836FC"/>
    <w:rsid w:val="00986867"/>
    <w:rsid w:val="00987909"/>
    <w:rsid w:val="00994793"/>
    <w:rsid w:val="009954E2"/>
    <w:rsid w:val="00996E4A"/>
    <w:rsid w:val="0099701A"/>
    <w:rsid w:val="009A7180"/>
    <w:rsid w:val="009B08C2"/>
    <w:rsid w:val="009B0E4A"/>
    <w:rsid w:val="009B30B9"/>
    <w:rsid w:val="009B5423"/>
    <w:rsid w:val="009B6DAA"/>
    <w:rsid w:val="009B7AF7"/>
    <w:rsid w:val="009C0622"/>
    <w:rsid w:val="009C0BE9"/>
    <w:rsid w:val="009C24D9"/>
    <w:rsid w:val="009C29C5"/>
    <w:rsid w:val="009C4DED"/>
    <w:rsid w:val="009C51A3"/>
    <w:rsid w:val="009D2986"/>
    <w:rsid w:val="009D3C92"/>
    <w:rsid w:val="009D4F63"/>
    <w:rsid w:val="009D752E"/>
    <w:rsid w:val="009D7BA4"/>
    <w:rsid w:val="009E15B2"/>
    <w:rsid w:val="009E2E53"/>
    <w:rsid w:val="009E4068"/>
    <w:rsid w:val="009E5E76"/>
    <w:rsid w:val="009E7375"/>
    <w:rsid w:val="009F316B"/>
    <w:rsid w:val="009F6A0E"/>
    <w:rsid w:val="00A00C30"/>
    <w:rsid w:val="00A01729"/>
    <w:rsid w:val="00A03F88"/>
    <w:rsid w:val="00A05294"/>
    <w:rsid w:val="00A07269"/>
    <w:rsid w:val="00A103B8"/>
    <w:rsid w:val="00A127F9"/>
    <w:rsid w:val="00A12A94"/>
    <w:rsid w:val="00A1368B"/>
    <w:rsid w:val="00A15948"/>
    <w:rsid w:val="00A16ED5"/>
    <w:rsid w:val="00A23B42"/>
    <w:rsid w:val="00A27475"/>
    <w:rsid w:val="00A30199"/>
    <w:rsid w:val="00A32B1E"/>
    <w:rsid w:val="00A37B5E"/>
    <w:rsid w:val="00A4120D"/>
    <w:rsid w:val="00A43DD5"/>
    <w:rsid w:val="00A43EB7"/>
    <w:rsid w:val="00A4495A"/>
    <w:rsid w:val="00A469F8"/>
    <w:rsid w:val="00A473CA"/>
    <w:rsid w:val="00A51024"/>
    <w:rsid w:val="00A53AF5"/>
    <w:rsid w:val="00A5772D"/>
    <w:rsid w:val="00A6071D"/>
    <w:rsid w:val="00A60DBB"/>
    <w:rsid w:val="00A61F58"/>
    <w:rsid w:val="00A66F9F"/>
    <w:rsid w:val="00A732B8"/>
    <w:rsid w:val="00A75A8B"/>
    <w:rsid w:val="00A81AC3"/>
    <w:rsid w:val="00A85707"/>
    <w:rsid w:val="00A9293E"/>
    <w:rsid w:val="00A937F4"/>
    <w:rsid w:val="00A9545A"/>
    <w:rsid w:val="00AA0A8A"/>
    <w:rsid w:val="00AA1993"/>
    <w:rsid w:val="00AA3D25"/>
    <w:rsid w:val="00AA4015"/>
    <w:rsid w:val="00AA4234"/>
    <w:rsid w:val="00AA43C1"/>
    <w:rsid w:val="00AA7672"/>
    <w:rsid w:val="00AB4075"/>
    <w:rsid w:val="00AB5992"/>
    <w:rsid w:val="00AB781D"/>
    <w:rsid w:val="00AC3451"/>
    <w:rsid w:val="00AC4220"/>
    <w:rsid w:val="00AC674C"/>
    <w:rsid w:val="00AC7076"/>
    <w:rsid w:val="00AD4C96"/>
    <w:rsid w:val="00AD5C0C"/>
    <w:rsid w:val="00AE02C8"/>
    <w:rsid w:val="00AE13A0"/>
    <w:rsid w:val="00AE305E"/>
    <w:rsid w:val="00AE72CD"/>
    <w:rsid w:val="00AF3DFD"/>
    <w:rsid w:val="00AF4234"/>
    <w:rsid w:val="00AF48CC"/>
    <w:rsid w:val="00AF48F8"/>
    <w:rsid w:val="00AF5DAE"/>
    <w:rsid w:val="00AF6C90"/>
    <w:rsid w:val="00AF7642"/>
    <w:rsid w:val="00B01A3A"/>
    <w:rsid w:val="00B10E2C"/>
    <w:rsid w:val="00B11066"/>
    <w:rsid w:val="00B1230B"/>
    <w:rsid w:val="00B1299E"/>
    <w:rsid w:val="00B165A0"/>
    <w:rsid w:val="00B16EDB"/>
    <w:rsid w:val="00B21141"/>
    <w:rsid w:val="00B22972"/>
    <w:rsid w:val="00B25990"/>
    <w:rsid w:val="00B25E92"/>
    <w:rsid w:val="00B26E64"/>
    <w:rsid w:val="00B305F1"/>
    <w:rsid w:val="00B31FB3"/>
    <w:rsid w:val="00B3446C"/>
    <w:rsid w:val="00B354CE"/>
    <w:rsid w:val="00B3646A"/>
    <w:rsid w:val="00B365DD"/>
    <w:rsid w:val="00B51E16"/>
    <w:rsid w:val="00B544A6"/>
    <w:rsid w:val="00B56AC2"/>
    <w:rsid w:val="00B578E0"/>
    <w:rsid w:val="00B622C0"/>
    <w:rsid w:val="00B62383"/>
    <w:rsid w:val="00B62645"/>
    <w:rsid w:val="00B63C9B"/>
    <w:rsid w:val="00B65C47"/>
    <w:rsid w:val="00B66580"/>
    <w:rsid w:val="00B67F19"/>
    <w:rsid w:val="00B70FC9"/>
    <w:rsid w:val="00B83393"/>
    <w:rsid w:val="00B84F93"/>
    <w:rsid w:val="00B94581"/>
    <w:rsid w:val="00B97CAB"/>
    <w:rsid w:val="00BA0348"/>
    <w:rsid w:val="00BA0511"/>
    <w:rsid w:val="00BA121E"/>
    <w:rsid w:val="00BA69D2"/>
    <w:rsid w:val="00BA7244"/>
    <w:rsid w:val="00BA7506"/>
    <w:rsid w:val="00BA7C69"/>
    <w:rsid w:val="00BB17FD"/>
    <w:rsid w:val="00BB28E8"/>
    <w:rsid w:val="00BB529C"/>
    <w:rsid w:val="00BB5C73"/>
    <w:rsid w:val="00BC2DDB"/>
    <w:rsid w:val="00BC380A"/>
    <w:rsid w:val="00BC46D3"/>
    <w:rsid w:val="00BC66DC"/>
    <w:rsid w:val="00BC70E5"/>
    <w:rsid w:val="00BD30F6"/>
    <w:rsid w:val="00BD4CDF"/>
    <w:rsid w:val="00BD58CC"/>
    <w:rsid w:val="00BD6BAF"/>
    <w:rsid w:val="00BD7696"/>
    <w:rsid w:val="00BE0120"/>
    <w:rsid w:val="00BE27ED"/>
    <w:rsid w:val="00BE4CC1"/>
    <w:rsid w:val="00BE641A"/>
    <w:rsid w:val="00BE6D11"/>
    <w:rsid w:val="00BE70A1"/>
    <w:rsid w:val="00BF3C94"/>
    <w:rsid w:val="00BF633F"/>
    <w:rsid w:val="00BF6370"/>
    <w:rsid w:val="00C01208"/>
    <w:rsid w:val="00C04E33"/>
    <w:rsid w:val="00C06242"/>
    <w:rsid w:val="00C14278"/>
    <w:rsid w:val="00C1449B"/>
    <w:rsid w:val="00C17081"/>
    <w:rsid w:val="00C22470"/>
    <w:rsid w:val="00C23BDB"/>
    <w:rsid w:val="00C26262"/>
    <w:rsid w:val="00C32A57"/>
    <w:rsid w:val="00C34B2E"/>
    <w:rsid w:val="00C352F5"/>
    <w:rsid w:val="00C36829"/>
    <w:rsid w:val="00C37132"/>
    <w:rsid w:val="00C40093"/>
    <w:rsid w:val="00C42930"/>
    <w:rsid w:val="00C4427A"/>
    <w:rsid w:val="00C44E61"/>
    <w:rsid w:val="00C45A7D"/>
    <w:rsid w:val="00C516F8"/>
    <w:rsid w:val="00C5742E"/>
    <w:rsid w:val="00C62977"/>
    <w:rsid w:val="00C64E8A"/>
    <w:rsid w:val="00C7259F"/>
    <w:rsid w:val="00C77D34"/>
    <w:rsid w:val="00C81CB4"/>
    <w:rsid w:val="00C87535"/>
    <w:rsid w:val="00C87BA8"/>
    <w:rsid w:val="00C90B05"/>
    <w:rsid w:val="00C911D1"/>
    <w:rsid w:val="00C917DC"/>
    <w:rsid w:val="00C96EB6"/>
    <w:rsid w:val="00CB0443"/>
    <w:rsid w:val="00CB28C2"/>
    <w:rsid w:val="00CB3EF0"/>
    <w:rsid w:val="00CB55B2"/>
    <w:rsid w:val="00CB5BA9"/>
    <w:rsid w:val="00CB5E2E"/>
    <w:rsid w:val="00CC0632"/>
    <w:rsid w:val="00CC313E"/>
    <w:rsid w:val="00CC37C6"/>
    <w:rsid w:val="00CC42A7"/>
    <w:rsid w:val="00CC7E5A"/>
    <w:rsid w:val="00CD2A00"/>
    <w:rsid w:val="00CE079B"/>
    <w:rsid w:val="00CE5C65"/>
    <w:rsid w:val="00CE7179"/>
    <w:rsid w:val="00CF053B"/>
    <w:rsid w:val="00CF39CC"/>
    <w:rsid w:val="00CF4ACB"/>
    <w:rsid w:val="00CF6132"/>
    <w:rsid w:val="00CF77A7"/>
    <w:rsid w:val="00CF7B69"/>
    <w:rsid w:val="00D00EA1"/>
    <w:rsid w:val="00D01778"/>
    <w:rsid w:val="00D05ACE"/>
    <w:rsid w:val="00D11171"/>
    <w:rsid w:val="00D11C22"/>
    <w:rsid w:val="00D139B5"/>
    <w:rsid w:val="00D226AC"/>
    <w:rsid w:val="00D2474B"/>
    <w:rsid w:val="00D24EF5"/>
    <w:rsid w:val="00D329F0"/>
    <w:rsid w:val="00D34523"/>
    <w:rsid w:val="00D40A56"/>
    <w:rsid w:val="00D40F55"/>
    <w:rsid w:val="00D4287A"/>
    <w:rsid w:val="00D42F98"/>
    <w:rsid w:val="00D44354"/>
    <w:rsid w:val="00D45E84"/>
    <w:rsid w:val="00D47531"/>
    <w:rsid w:val="00D523B6"/>
    <w:rsid w:val="00D5432D"/>
    <w:rsid w:val="00D5534F"/>
    <w:rsid w:val="00D55471"/>
    <w:rsid w:val="00D55E4D"/>
    <w:rsid w:val="00D566CE"/>
    <w:rsid w:val="00D57C71"/>
    <w:rsid w:val="00D57D06"/>
    <w:rsid w:val="00D57D37"/>
    <w:rsid w:val="00D6209D"/>
    <w:rsid w:val="00D64331"/>
    <w:rsid w:val="00D65932"/>
    <w:rsid w:val="00D674A6"/>
    <w:rsid w:val="00D675AA"/>
    <w:rsid w:val="00D6778F"/>
    <w:rsid w:val="00D7063F"/>
    <w:rsid w:val="00D723FC"/>
    <w:rsid w:val="00D80A83"/>
    <w:rsid w:val="00D96524"/>
    <w:rsid w:val="00D9652B"/>
    <w:rsid w:val="00D9672E"/>
    <w:rsid w:val="00DA0C6A"/>
    <w:rsid w:val="00DA0EE7"/>
    <w:rsid w:val="00DA3B9D"/>
    <w:rsid w:val="00DA3CD0"/>
    <w:rsid w:val="00DB18B1"/>
    <w:rsid w:val="00DB1C00"/>
    <w:rsid w:val="00DB5A7B"/>
    <w:rsid w:val="00DC322F"/>
    <w:rsid w:val="00DC6FA0"/>
    <w:rsid w:val="00DD1807"/>
    <w:rsid w:val="00DD286D"/>
    <w:rsid w:val="00DD3734"/>
    <w:rsid w:val="00DD3FAC"/>
    <w:rsid w:val="00DF021F"/>
    <w:rsid w:val="00DF0918"/>
    <w:rsid w:val="00DF111B"/>
    <w:rsid w:val="00DF42AC"/>
    <w:rsid w:val="00DF4353"/>
    <w:rsid w:val="00DF5B41"/>
    <w:rsid w:val="00E054D9"/>
    <w:rsid w:val="00E062BC"/>
    <w:rsid w:val="00E06966"/>
    <w:rsid w:val="00E10223"/>
    <w:rsid w:val="00E14E37"/>
    <w:rsid w:val="00E21C09"/>
    <w:rsid w:val="00E25F29"/>
    <w:rsid w:val="00E311B1"/>
    <w:rsid w:val="00E3193A"/>
    <w:rsid w:val="00E32644"/>
    <w:rsid w:val="00E33C1D"/>
    <w:rsid w:val="00E35882"/>
    <w:rsid w:val="00E44376"/>
    <w:rsid w:val="00E45AD5"/>
    <w:rsid w:val="00E50CF1"/>
    <w:rsid w:val="00E55E74"/>
    <w:rsid w:val="00E56CB0"/>
    <w:rsid w:val="00E63807"/>
    <w:rsid w:val="00E6455C"/>
    <w:rsid w:val="00E651D1"/>
    <w:rsid w:val="00E65D52"/>
    <w:rsid w:val="00E66302"/>
    <w:rsid w:val="00E667C3"/>
    <w:rsid w:val="00E70A47"/>
    <w:rsid w:val="00E71B45"/>
    <w:rsid w:val="00E74D28"/>
    <w:rsid w:val="00E8283C"/>
    <w:rsid w:val="00E82CC5"/>
    <w:rsid w:val="00E84C3F"/>
    <w:rsid w:val="00E85502"/>
    <w:rsid w:val="00E87802"/>
    <w:rsid w:val="00E92639"/>
    <w:rsid w:val="00E927B7"/>
    <w:rsid w:val="00E96219"/>
    <w:rsid w:val="00E966CF"/>
    <w:rsid w:val="00EA2368"/>
    <w:rsid w:val="00EA35AE"/>
    <w:rsid w:val="00EA3B5A"/>
    <w:rsid w:val="00EA6B8A"/>
    <w:rsid w:val="00EB522F"/>
    <w:rsid w:val="00EB7C39"/>
    <w:rsid w:val="00EC6B00"/>
    <w:rsid w:val="00EC78C1"/>
    <w:rsid w:val="00ED12C8"/>
    <w:rsid w:val="00ED1BD6"/>
    <w:rsid w:val="00ED1D80"/>
    <w:rsid w:val="00ED461E"/>
    <w:rsid w:val="00EE1B01"/>
    <w:rsid w:val="00EE228F"/>
    <w:rsid w:val="00EE2A0A"/>
    <w:rsid w:val="00EE30DA"/>
    <w:rsid w:val="00EE4CEE"/>
    <w:rsid w:val="00EE5E0E"/>
    <w:rsid w:val="00EE6A77"/>
    <w:rsid w:val="00EE6BF8"/>
    <w:rsid w:val="00EE7E8A"/>
    <w:rsid w:val="00EF06A2"/>
    <w:rsid w:val="00EF6808"/>
    <w:rsid w:val="00F0109F"/>
    <w:rsid w:val="00F01723"/>
    <w:rsid w:val="00F1358A"/>
    <w:rsid w:val="00F15B44"/>
    <w:rsid w:val="00F17939"/>
    <w:rsid w:val="00F210B2"/>
    <w:rsid w:val="00F24598"/>
    <w:rsid w:val="00F251E3"/>
    <w:rsid w:val="00F26952"/>
    <w:rsid w:val="00F278F3"/>
    <w:rsid w:val="00F322EE"/>
    <w:rsid w:val="00F410D9"/>
    <w:rsid w:val="00F4355B"/>
    <w:rsid w:val="00F4464C"/>
    <w:rsid w:val="00F458EC"/>
    <w:rsid w:val="00F45E7E"/>
    <w:rsid w:val="00F46165"/>
    <w:rsid w:val="00F52D52"/>
    <w:rsid w:val="00F6178F"/>
    <w:rsid w:val="00F63357"/>
    <w:rsid w:val="00F702A6"/>
    <w:rsid w:val="00F70434"/>
    <w:rsid w:val="00F71F48"/>
    <w:rsid w:val="00F720EA"/>
    <w:rsid w:val="00F73E1A"/>
    <w:rsid w:val="00F81F0A"/>
    <w:rsid w:val="00F82B81"/>
    <w:rsid w:val="00F95091"/>
    <w:rsid w:val="00FB30C0"/>
    <w:rsid w:val="00FB7429"/>
    <w:rsid w:val="00FC252C"/>
    <w:rsid w:val="00FC277B"/>
    <w:rsid w:val="00FC288E"/>
    <w:rsid w:val="00FC6136"/>
    <w:rsid w:val="00FC7DEB"/>
    <w:rsid w:val="00FD1EBA"/>
    <w:rsid w:val="00FD2782"/>
    <w:rsid w:val="00FD568B"/>
    <w:rsid w:val="00FD6875"/>
    <w:rsid w:val="00FE027D"/>
    <w:rsid w:val="00FE4A5E"/>
    <w:rsid w:val="00FE5063"/>
    <w:rsid w:val="00FE6535"/>
    <w:rsid w:val="00FF154F"/>
    <w:rsid w:val="00FF1A0D"/>
    <w:rsid w:val="00FF5BF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0FF84C"/>
  <w15:docId w15:val="{382EDFF1-CA7B-4148-BE6C-12C331E7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7259F"/>
    <w:pPr>
      <w:autoSpaceDE w:val="0"/>
      <w:autoSpaceDN w:val="0"/>
      <w:spacing w:before="120" w:after="120" w:line="264" w:lineRule="auto"/>
    </w:pPr>
    <w:rPr>
      <w:rFonts w:ascii="Arial Narrow" w:hAnsi="Arial Narrow"/>
      <w:sz w:val="24"/>
    </w:rPr>
  </w:style>
  <w:style w:type="paragraph" w:styleId="Cmsor1">
    <w:name w:val="heading 1"/>
    <w:basedOn w:val="Norml"/>
    <w:next w:val="Norml"/>
    <w:link w:val="Cmsor1Char"/>
    <w:uiPriority w:val="9"/>
    <w:qFormat/>
    <w:rsid w:val="00AF5DAE"/>
    <w:pPr>
      <w:keepNext/>
      <w:numPr>
        <w:numId w:val="2"/>
      </w:numPr>
      <w:autoSpaceDE/>
      <w:autoSpaceDN/>
      <w:spacing w:before="360"/>
      <w:ind w:left="567" w:hanging="567"/>
      <w:outlineLvl w:val="0"/>
    </w:pPr>
    <w:rPr>
      <w:rFonts w:cs="Arial"/>
      <w:b/>
      <w:bCs/>
      <w:kern w:val="32"/>
      <w:sz w:val="32"/>
      <w:szCs w:val="32"/>
    </w:rPr>
  </w:style>
  <w:style w:type="paragraph" w:styleId="Cmsor2">
    <w:name w:val="heading 2"/>
    <w:basedOn w:val="Norml"/>
    <w:next w:val="Norml"/>
    <w:link w:val="Cmsor2Char"/>
    <w:uiPriority w:val="9"/>
    <w:qFormat/>
    <w:rsid w:val="00AF5DAE"/>
    <w:pPr>
      <w:keepNext/>
      <w:numPr>
        <w:ilvl w:val="1"/>
        <w:numId w:val="2"/>
      </w:numPr>
      <w:autoSpaceDE/>
      <w:autoSpaceDN/>
      <w:spacing w:before="360" w:after="60"/>
      <w:ind w:left="567" w:hanging="567"/>
      <w:outlineLvl w:val="1"/>
    </w:pPr>
    <w:rPr>
      <w:rFonts w:cs="Arial"/>
      <w:b/>
      <w:bCs/>
      <w:iCs/>
      <w:sz w:val="28"/>
      <w:szCs w:val="28"/>
    </w:rPr>
  </w:style>
  <w:style w:type="paragraph" w:styleId="Cmsor3">
    <w:name w:val="heading 3"/>
    <w:basedOn w:val="Norml"/>
    <w:next w:val="Norml"/>
    <w:link w:val="Cmsor3Char"/>
    <w:uiPriority w:val="9"/>
    <w:qFormat/>
    <w:rsid w:val="004A75B0"/>
    <w:pPr>
      <w:keepNext/>
      <w:numPr>
        <w:ilvl w:val="2"/>
        <w:numId w:val="2"/>
      </w:numPr>
      <w:autoSpaceDE/>
      <w:autoSpaceDN/>
      <w:spacing w:before="240" w:after="60"/>
      <w:outlineLvl w:val="2"/>
    </w:pPr>
    <w:rPr>
      <w:rFonts w:cs="Arial"/>
      <w:b/>
      <w:bCs/>
      <w:szCs w:val="26"/>
      <w:u w:val="single"/>
    </w:rPr>
  </w:style>
  <w:style w:type="paragraph" w:styleId="Cmsor4">
    <w:name w:val="heading 4"/>
    <w:basedOn w:val="Cmsor3"/>
    <w:next w:val="Norml"/>
    <w:link w:val="Cmsor4Char"/>
    <w:uiPriority w:val="9"/>
    <w:qFormat/>
    <w:rsid w:val="00134901"/>
    <w:pPr>
      <w:numPr>
        <w:ilvl w:val="3"/>
      </w:numPr>
      <w:outlineLvl w:val="3"/>
    </w:pPr>
    <w:rPr>
      <w:bCs w:val="0"/>
      <w:i/>
      <w:szCs w:val="28"/>
    </w:rPr>
  </w:style>
  <w:style w:type="paragraph" w:styleId="Cmsor5">
    <w:name w:val="heading 5"/>
    <w:basedOn w:val="Cmsor4"/>
    <w:next w:val="Norml"/>
    <w:link w:val="Cmsor5Char"/>
    <w:uiPriority w:val="9"/>
    <w:qFormat/>
    <w:rsid w:val="00134901"/>
    <w:pPr>
      <w:numPr>
        <w:ilvl w:val="0"/>
        <w:numId w:val="0"/>
      </w:numPr>
      <w:outlineLvl w:val="4"/>
    </w:pPr>
    <w:rPr>
      <w:b w:val="0"/>
      <w:bCs/>
      <w:iCs/>
      <w:szCs w:val="26"/>
    </w:rPr>
  </w:style>
  <w:style w:type="paragraph" w:styleId="Cmsor6">
    <w:name w:val="heading 6"/>
    <w:basedOn w:val="Norml"/>
    <w:next w:val="Norml"/>
    <w:link w:val="Cmsor6Char"/>
    <w:uiPriority w:val="9"/>
    <w:qFormat/>
    <w:rsid w:val="00522014"/>
    <w:pPr>
      <w:numPr>
        <w:ilvl w:val="5"/>
        <w:numId w:val="2"/>
      </w:numPr>
      <w:autoSpaceDE/>
      <w:autoSpaceDN/>
      <w:spacing w:before="240" w:after="60"/>
      <w:outlineLvl w:val="5"/>
    </w:pPr>
    <w:rPr>
      <w:b/>
      <w:bCs/>
      <w:sz w:val="22"/>
      <w:szCs w:val="22"/>
    </w:rPr>
  </w:style>
  <w:style w:type="paragraph" w:styleId="Cmsor7">
    <w:name w:val="heading 7"/>
    <w:basedOn w:val="Norml"/>
    <w:next w:val="Norml"/>
    <w:link w:val="Cmsor7Char"/>
    <w:uiPriority w:val="9"/>
    <w:qFormat/>
    <w:rsid w:val="00522014"/>
    <w:pPr>
      <w:numPr>
        <w:ilvl w:val="6"/>
        <w:numId w:val="2"/>
      </w:numPr>
      <w:autoSpaceDE/>
      <w:autoSpaceDN/>
      <w:spacing w:before="240" w:after="60"/>
      <w:outlineLvl w:val="6"/>
    </w:pPr>
    <w:rPr>
      <w:szCs w:val="24"/>
    </w:rPr>
  </w:style>
  <w:style w:type="paragraph" w:styleId="Cmsor8">
    <w:name w:val="heading 8"/>
    <w:basedOn w:val="Norml"/>
    <w:next w:val="Norml"/>
    <w:link w:val="Cmsor8Char"/>
    <w:uiPriority w:val="9"/>
    <w:qFormat/>
    <w:rsid w:val="00522014"/>
    <w:pPr>
      <w:numPr>
        <w:ilvl w:val="7"/>
        <w:numId w:val="2"/>
      </w:numPr>
      <w:autoSpaceDE/>
      <w:autoSpaceDN/>
      <w:spacing w:before="240" w:after="60"/>
      <w:outlineLvl w:val="7"/>
    </w:pPr>
    <w:rPr>
      <w:i/>
      <w:iCs/>
      <w:szCs w:val="24"/>
    </w:rPr>
  </w:style>
  <w:style w:type="paragraph" w:styleId="Cmsor9">
    <w:name w:val="heading 9"/>
    <w:basedOn w:val="Norml"/>
    <w:next w:val="Norml"/>
    <w:link w:val="Cmsor9Char"/>
    <w:uiPriority w:val="9"/>
    <w:qFormat/>
    <w:rsid w:val="00522014"/>
    <w:pPr>
      <w:numPr>
        <w:ilvl w:val="8"/>
        <w:numId w:val="2"/>
      </w:numPr>
      <w:autoSpaceDE/>
      <w:autoSpaceDN/>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ortkcm">
    <w:name w:val="envelope address"/>
    <w:basedOn w:val="Norml"/>
    <w:rsid w:val="00DF111B"/>
    <w:pPr>
      <w:framePr w:w="7920" w:h="1980" w:hRule="exact" w:hSpace="141" w:wrap="auto" w:hAnchor="page" w:xAlign="center" w:yAlign="bottom"/>
      <w:ind w:left="2880"/>
    </w:pPr>
    <w:rPr>
      <w:rFonts w:cs="Arial"/>
      <w:i/>
    </w:rPr>
  </w:style>
  <w:style w:type="paragraph" w:styleId="Feladcmebortkon">
    <w:name w:val="envelope return"/>
    <w:basedOn w:val="Norml"/>
    <w:rsid w:val="00DF111B"/>
    <w:rPr>
      <w:rFonts w:cs="Arial"/>
      <w:i/>
    </w:rPr>
  </w:style>
  <w:style w:type="paragraph" w:styleId="Szvegtrzsbehzssal">
    <w:name w:val="Body Text Indent"/>
    <w:basedOn w:val="Norml"/>
    <w:rsid w:val="00210BC0"/>
    <w:pPr>
      <w:autoSpaceDE/>
      <w:autoSpaceDN/>
      <w:ind w:firstLine="708"/>
      <w:jc w:val="both"/>
    </w:pPr>
    <w:rPr>
      <w:szCs w:val="24"/>
    </w:rPr>
  </w:style>
  <w:style w:type="paragraph" w:styleId="llb">
    <w:name w:val="footer"/>
    <w:basedOn w:val="Norml"/>
    <w:link w:val="llbChar"/>
    <w:uiPriority w:val="99"/>
    <w:rsid w:val="00E55E74"/>
    <w:pPr>
      <w:tabs>
        <w:tab w:val="center" w:pos="4536"/>
        <w:tab w:val="right" w:pos="9072"/>
      </w:tabs>
    </w:pPr>
  </w:style>
  <w:style w:type="character" w:styleId="Oldalszm">
    <w:name w:val="page number"/>
    <w:basedOn w:val="Bekezdsalapbettpusa"/>
    <w:rsid w:val="00E55E74"/>
  </w:style>
  <w:style w:type="paragraph" w:styleId="lfej">
    <w:name w:val="header"/>
    <w:basedOn w:val="Norml"/>
    <w:link w:val="lfejChar"/>
    <w:uiPriority w:val="99"/>
    <w:rsid w:val="00E55E74"/>
    <w:pPr>
      <w:tabs>
        <w:tab w:val="center" w:pos="4536"/>
        <w:tab w:val="right" w:pos="9072"/>
      </w:tabs>
    </w:pPr>
  </w:style>
  <w:style w:type="paragraph" w:styleId="Szvegtrzsbehzssal2">
    <w:name w:val="Body Text Indent 2"/>
    <w:basedOn w:val="Norml"/>
    <w:rsid w:val="00853756"/>
    <w:pPr>
      <w:autoSpaceDE/>
      <w:autoSpaceDN/>
      <w:spacing w:line="480" w:lineRule="auto"/>
      <w:ind w:left="283"/>
    </w:pPr>
    <w:rPr>
      <w:szCs w:val="24"/>
    </w:rPr>
  </w:style>
  <w:style w:type="paragraph" w:styleId="Buborkszveg">
    <w:name w:val="Balloon Text"/>
    <w:basedOn w:val="Norml"/>
    <w:link w:val="BuborkszvegChar"/>
    <w:uiPriority w:val="99"/>
    <w:semiHidden/>
    <w:rsid w:val="00853756"/>
    <w:rPr>
      <w:rFonts w:ascii="Tahoma" w:hAnsi="Tahoma" w:cs="Tahoma"/>
      <w:sz w:val="16"/>
      <w:szCs w:val="16"/>
    </w:rPr>
  </w:style>
  <w:style w:type="paragraph" w:customStyle="1" w:styleId="FCm">
    <w:name w:val="FôCím"/>
    <w:basedOn w:val="Norml"/>
    <w:rsid w:val="007B743A"/>
    <w:pPr>
      <w:keepNext/>
      <w:keepLines/>
      <w:autoSpaceDE/>
      <w:autoSpaceDN/>
      <w:spacing w:before="480" w:after="240"/>
      <w:jc w:val="center"/>
    </w:pPr>
    <w:rPr>
      <w:b/>
      <w:noProof/>
      <w:sz w:val="28"/>
      <w:lang w:val="en-US" w:eastAsia="en-US"/>
    </w:rPr>
  </w:style>
  <w:style w:type="paragraph" w:styleId="Szvegtrzsbehzssal3">
    <w:name w:val="Body Text Indent 3"/>
    <w:basedOn w:val="Norml"/>
    <w:rsid w:val="00573183"/>
    <w:pPr>
      <w:ind w:left="283"/>
    </w:pPr>
    <w:rPr>
      <w:sz w:val="16"/>
      <w:szCs w:val="16"/>
    </w:rPr>
  </w:style>
  <w:style w:type="table" w:styleId="Rcsostblzat">
    <w:name w:val="Table Grid"/>
    <w:basedOn w:val="Normltblzat"/>
    <w:uiPriority w:val="39"/>
    <w:rsid w:val="00FD568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Verdana10ptSorkizrtSorkz15sor1">
    <w:name w:val="Stílus Verdana 10 pt Sorkizárt Sorköz:  15 sor1"/>
    <w:basedOn w:val="Norml"/>
    <w:rsid w:val="00BE70A1"/>
    <w:pPr>
      <w:autoSpaceDE/>
      <w:autoSpaceDN/>
      <w:jc w:val="both"/>
    </w:pPr>
    <w:rPr>
      <w:rFonts w:ascii="Verdana" w:hAnsi="Verdana"/>
    </w:rPr>
  </w:style>
  <w:style w:type="paragraph" w:styleId="Szvegtrzs">
    <w:name w:val="Body Text"/>
    <w:basedOn w:val="Norml"/>
    <w:rsid w:val="00280445"/>
  </w:style>
  <w:style w:type="paragraph" w:customStyle="1" w:styleId="StlusVerdana10ptSorkizrtBal125cmSorkz15sor">
    <w:name w:val="Stílus Verdana 10 pt Sorkizárt Bal:  125 cm Sorköz:  15 sor"/>
    <w:basedOn w:val="Norml"/>
    <w:rsid w:val="00522014"/>
    <w:pPr>
      <w:autoSpaceDE/>
      <w:autoSpaceDN/>
      <w:ind w:left="709"/>
      <w:jc w:val="both"/>
    </w:pPr>
    <w:rPr>
      <w:rFonts w:ascii="Verdana" w:hAnsi="Verdana"/>
    </w:rPr>
  </w:style>
  <w:style w:type="paragraph" w:customStyle="1" w:styleId="StlusVerdana10ptFlkvrSorkizrtSorkz15sor1">
    <w:name w:val="Stílus Verdana 10 pt Félkövér Sorkizárt Sorköz:  15 sor1"/>
    <w:basedOn w:val="Norml"/>
    <w:rsid w:val="00522014"/>
    <w:pPr>
      <w:numPr>
        <w:numId w:val="1"/>
      </w:numPr>
      <w:tabs>
        <w:tab w:val="clear" w:pos="360"/>
        <w:tab w:val="left" w:pos="567"/>
      </w:tabs>
      <w:autoSpaceDE/>
      <w:autoSpaceDN/>
      <w:jc w:val="both"/>
    </w:pPr>
    <w:rPr>
      <w:rFonts w:ascii="Verdana" w:hAnsi="Verdana"/>
      <w:b/>
      <w:bCs/>
    </w:rPr>
  </w:style>
  <w:style w:type="paragraph" w:styleId="Lbjegyzetszveg">
    <w:name w:val="footnote text"/>
    <w:basedOn w:val="Norml"/>
    <w:link w:val="LbjegyzetszvegChar"/>
    <w:uiPriority w:val="99"/>
    <w:semiHidden/>
    <w:rsid w:val="00522014"/>
    <w:pPr>
      <w:autoSpaceDE/>
      <w:autoSpaceDN/>
    </w:pPr>
  </w:style>
  <w:style w:type="character" w:styleId="Lbjegyzet-hivatkozs">
    <w:name w:val="footnote reference"/>
    <w:uiPriority w:val="99"/>
    <w:semiHidden/>
    <w:rsid w:val="00522014"/>
    <w:rPr>
      <w:vertAlign w:val="superscript"/>
    </w:rPr>
  </w:style>
  <w:style w:type="paragraph" w:customStyle="1" w:styleId="CharCharCharCharCharCharChar">
    <w:name w:val="Char Char Char Char Char Char Char"/>
    <w:basedOn w:val="Norml"/>
    <w:rsid w:val="00950B86"/>
    <w:pPr>
      <w:autoSpaceDE/>
      <w:autoSpaceDN/>
      <w:spacing w:after="160" w:line="240" w:lineRule="exact"/>
      <w:jc w:val="both"/>
    </w:pPr>
    <w:rPr>
      <w:rFonts w:ascii="Tahoma" w:hAnsi="Tahoma"/>
      <w:lang w:val="en-US" w:eastAsia="en-US"/>
    </w:rPr>
  </w:style>
  <w:style w:type="paragraph" w:customStyle="1" w:styleId="CharCharCharCharCharCharCharCharCharChar">
    <w:name w:val="Char Char Char Char Char Char Char Char Char Char"/>
    <w:basedOn w:val="Norml"/>
    <w:rsid w:val="002F79FE"/>
    <w:pPr>
      <w:autoSpaceDE/>
      <w:autoSpaceDN/>
      <w:spacing w:after="160" w:line="240" w:lineRule="exact"/>
      <w:jc w:val="both"/>
    </w:pPr>
    <w:rPr>
      <w:rFonts w:ascii="Tahoma" w:hAnsi="Tahoma"/>
      <w:lang w:val="en-US" w:eastAsia="en-US"/>
    </w:rPr>
  </w:style>
  <w:style w:type="character" w:styleId="Hiperhivatkozs">
    <w:name w:val="Hyperlink"/>
    <w:uiPriority w:val="99"/>
    <w:unhideWhenUsed/>
    <w:rsid w:val="007D2C07"/>
    <w:rPr>
      <w:color w:val="0000FF"/>
      <w:u w:val="single"/>
    </w:rPr>
  </w:style>
  <w:style w:type="paragraph" w:customStyle="1" w:styleId="HBHESzovegtest1">
    <w:name w:val="HBHE_Szovegtest_1"/>
    <w:basedOn w:val="Norml"/>
    <w:rsid w:val="007A403D"/>
    <w:pPr>
      <w:autoSpaceDE/>
      <w:autoSpaceDN/>
      <w:spacing w:line="288" w:lineRule="auto"/>
      <w:jc w:val="both"/>
    </w:pPr>
    <w:rPr>
      <w:rFonts w:ascii="Calibri" w:eastAsiaTheme="minorHAnsi" w:hAnsi="Calibri"/>
      <w:color w:val="404040"/>
      <w:sz w:val="21"/>
      <w:szCs w:val="21"/>
    </w:rPr>
  </w:style>
  <w:style w:type="paragraph" w:customStyle="1" w:styleId="HBHEAjanlatCim2">
    <w:name w:val="HBHE_Ajanlat_Cim_2"/>
    <w:basedOn w:val="Norml"/>
    <w:rsid w:val="007A403D"/>
    <w:pPr>
      <w:autoSpaceDE/>
      <w:autoSpaceDN/>
      <w:spacing w:before="360" w:line="288" w:lineRule="auto"/>
      <w:jc w:val="both"/>
    </w:pPr>
    <w:rPr>
      <w:rFonts w:ascii="Calibri" w:eastAsiaTheme="minorHAnsi" w:hAnsi="Calibri"/>
      <w:i/>
      <w:iCs/>
      <w:caps/>
      <w:color w:val="404040"/>
      <w:sz w:val="28"/>
      <w:szCs w:val="28"/>
    </w:rPr>
  </w:style>
  <w:style w:type="paragraph" w:styleId="Listaszerbekezds">
    <w:name w:val="List Paragraph"/>
    <w:aliases w:val="Számozott lista 1,Eszeri felsorolás,Welt L,Bullet_1,List Paragraph à moi,lista_2,Színes lista – 1. jelölőszín1,Listaszerű bekezdés3,Bullet List,FooterText,numbered,Paragraphe de liste1,Bulletr List Paragraph,列出段落,列出段落1,Listeafsnit1"/>
    <w:basedOn w:val="Norml"/>
    <w:link w:val="ListaszerbekezdsChar"/>
    <w:uiPriority w:val="34"/>
    <w:qFormat/>
    <w:rsid w:val="007A403D"/>
    <w:pPr>
      <w:ind w:left="720"/>
      <w:contextualSpacing/>
    </w:pPr>
  </w:style>
  <w:style w:type="character" w:styleId="Jegyzethivatkozs">
    <w:name w:val="annotation reference"/>
    <w:basedOn w:val="Bekezdsalapbettpusa"/>
    <w:uiPriority w:val="99"/>
    <w:semiHidden/>
    <w:unhideWhenUsed/>
    <w:rsid w:val="00022121"/>
    <w:rPr>
      <w:sz w:val="16"/>
      <w:szCs w:val="16"/>
    </w:rPr>
  </w:style>
  <w:style w:type="paragraph" w:styleId="Jegyzetszveg">
    <w:name w:val="annotation text"/>
    <w:basedOn w:val="Norml"/>
    <w:link w:val="JegyzetszvegChar"/>
    <w:uiPriority w:val="99"/>
    <w:unhideWhenUsed/>
    <w:rsid w:val="00022121"/>
  </w:style>
  <w:style w:type="character" w:customStyle="1" w:styleId="JegyzetszvegChar">
    <w:name w:val="Jegyzetszöveg Char"/>
    <w:basedOn w:val="Bekezdsalapbettpusa"/>
    <w:link w:val="Jegyzetszveg"/>
    <w:uiPriority w:val="99"/>
    <w:rsid w:val="00022121"/>
  </w:style>
  <w:style w:type="paragraph" w:styleId="Megjegyzstrgya">
    <w:name w:val="annotation subject"/>
    <w:basedOn w:val="Jegyzetszveg"/>
    <w:next w:val="Jegyzetszveg"/>
    <w:link w:val="MegjegyzstrgyaChar"/>
    <w:uiPriority w:val="99"/>
    <w:semiHidden/>
    <w:unhideWhenUsed/>
    <w:rsid w:val="00022121"/>
    <w:rPr>
      <w:b/>
      <w:bCs/>
    </w:rPr>
  </w:style>
  <w:style w:type="character" w:customStyle="1" w:styleId="MegjegyzstrgyaChar">
    <w:name w:val="Megjegyzés tárgya Char"/>
    <w:basedOn w:val="JegyzetszvegChar"/>
    <w:link w:val="Megjegyzstrgya"/>
    <w:uiPriority w:val="99"/>
    <w:semiHidden/>
    <w:rsid w:val="00022121"/>
    <w:rPr>
      <w:b/>
      <w:bCs/>
    </w:rPr>
  </w:style>
  <w:style w:type="character" w:customStyle="1" w:styleId="Feloldatlanmegemlts1">
    <w:name w:val="Feloldatlan megemlítés1"/>
    <w:basedOn w:val="Bekezdsalapbettpusa"/>
    <w:uiPriority w:val="99"/>
    <w:semiHidden/>
    <w:unhideWhenUsed/>
    <w:rsid w:val="00035642"/>
    <w:rPr>
      <w:color w:val="808080"/>
      <w:shd w:val="clear" w:color="auto" w:fill="E6E6E6"/>
    </w:rPr>
  </w:style>
  <w:style w:type="character" w:customStyle="1" w:styleId="ListaszerbekezdsChar">
    <w:name w:val="Listaszerű bekezdés Char"/>
    <w:aliases w:val="Számozott lista 1 Char,Eszeri felsorolás Char,Welt L Char,Bullet_1 Char,List Paragraph à moi Char,lista_2 Char,Színes lista – 1. jelölőszín1 Char,Listaszerű bekezdés3 Char,Bullet List Char,FooterText Char,numbered Char,列出段落 Char"/>
    <w:link w:val="Listaszerbekezds"/>
    <w:uiPriority w:val="34"/>
    <w:qFormat/>
    <w:rsid w:val="002B424D"/>
  </w:style>
  <w:style w:type="character" w:customStyle="1" w:styleId="Feloldatlanmegemlts2">
    <w:name w:val="Feloldatlan megemlítés2"/>
    <w:basedOn w:val="Bekezdsalapbettpusa"/>
    <w:uiPriority w:val="99"/>
    <w:semiHidden/>
    <w:unhideWhenUsed/>
    <w:rsid w:val="00606911"/>
    <w:rPr>
      <w:color w:val="605E5C"/>
      <w:shd w:val="clear" w:color="auto" w:fill="E1DFDD"/>
    </w:rPr>
  </w:style>
  <w:style w:type="character" w:customStyle="1" w:styleId="LbjegyzetszvegChar">
    <w:name w:val="Lábjegyzetszöveg Char"/>
    <w:basedOn w:val="Bekezdsalapbettpusa"/>
    <w:link w:val="Lbjegyzetszveg"/>
    <w:uiPriority w:val="99"/>
    <w:semiHidden/>
    <w:rsid w:val="00872714"/>
  </w:style>
  <w:style w:type="paragraph" w:customStyle="1" w:styleId="Default">
    <w:name w:val="Default"/>
    <w:rsid w:val="00561AFC"/>
    <w:pPr>
      <w:autoSpaceDE w:val="0"/>
      <w:autoSpaceDN w:val="0"/>
      <w:adjustRightInd w:val="0"/>
    </w:pPr>
    <w:rPr>
      <w:rFonts w:ascii="Liberation Sans" w:hAnsi="Liberation Sans" w:cs="Liberation Sans"/>
      <w:color w:val="000000"/>
      <w:sz w:val="24"/>
      <w:szCs w:val="24"/>
    </w:rPr>
  </w:style>
  <w:style w:type="character" w:customStyle="1" w:styleId="UnresolvedMention">
    <w:name w:val="Unresolved Mention"/>
    <w:basedOn w:val="Bekezdsalapbettpusa"/>
    <w:uiPriority w:val="99"/>
    <w:semiHidden/>
    <w:unhideWhenUsed/>
    <w:rsid w:val="00912B86"/>
    <w:rPr>
      <w:color w:val="605E5C"/>
      <w:shd w:val="clear" w:color="auto" w:fill="E1DFDD"/>
    </w:rPr>
  </w:style>
  <w:style w:type="paragraph" w:styleId="Vltozat">
    <w:name w:val="Revision"/>
    <w:hidden/>
    <w:uiPriority w:val="99"/>
    <w:semiHidden/>
    <w:rsid w:val="00912B86"/>
  </w:style>
  <w:style w:type="paragraph" w:styleId="NormlWeb">
    <w:name w:val="Normal (Web)"/>
    <w:basedOn w:val="Norml"/>
    <w:uiPriority w:val="99"/>
    <w:semiHidden/>
    <w:unhideWhenUsed/>
    <w:rsid w:val="00C7259F"/>
    <w:pPr>
      <w:autoSpaceDE/>
      <w:autoSpaceDN/>
      <w:spacing w:before="100" w:beforeAutospacing="1" w:after="100" w:afterAutospacing="1" w:line="240" w:lineRule="auto"/>
    </w:pPr>
    <w:rPr>
      <w:rFonts w:ascii="Times New Roman" w:hAnsi="Times New Roman"/>
      <w:szCs w:val="24"/>
    </w:rPr>
  </w:style>
  <w:style w:type="character" w:customStyle="1" w:styleId="pagination-previous">
    <w:name w:val="pagination-previous"/>
    <w:basedOn w:val="Bekezdsalapbettpusa"/>
    <w:rsid w:val="00B25990"/>
  </w:style>
  <w:style w:type="character" w:customStyle="1" w:styleId="ListLabel10">
    <w:name w:val="ListLabel 10"/>
    <w:rsid w:val="006C10D2"/>
    <w:rPr>
      <w:rFonts w:ascii="Helvetica Neue" w:hAnsi="Helvetica Neue"/>
      <w:b w:val="0"/>
      <w:sz w:val="20"/>
    </w:rPr>
  </w:style>
  <w:style w:type="paragraph" w:customStyle="1" w:styleId="Cmsor">
    <w:name w:val="Címsor"/>
    <w:basedOn w:val="Norml"/>
    <w:next w:val="Szvegtrzs"/>
    <w:rsid w:val="006C10D2"/>
    <w:pPr>
      <w:keepNext/>
      <w:autoSpaceDE/>
      <w:autoSpaceDN/>
      <w:spacing w:before="240" w:line="240" w:lineRule="auto"/>
    </w:pPr>
    <w:rPr>
      <w:rFonts w:ascii="Liberation Sans" w:eastAsia="PingFang SC" w:hAnsi="Liberation Sans" w:cs="Arial Unicode MS"/>
      <w:sz w:val="28"/>
      <w:szCs w:val="28"/>
    </w:rPr>
  </w:style>
  <w:style w:type="paragraph" w:styleId="Lista">
    <w:name w:val="List"/>
    <w:basedOn w:val="Szvegtrzs"/>
    <w:rsid w:val="006C10D2"/>
    <w:pPr>
      <w:autoSpaceDE/>
      <w:autoSpaceDN/>
      <w:spacing w:before="0" w:after="140" w:line="276" w:lineRule="auto"/>
    </w:pPr>
    <w:rPr>
      <w:rFonts w:ascii="Calibri" w:hAnsi="Calibri" w:cs="Arial Unicode MS"/>
      <w:szCs w:val="21"/>
    </w:rPr>
  </w:style>
  <w:style w:type="paragraph" w:styleId="Kpalrs">
    <w:name w:val="caption"/>
    <w:basedOn w:val="Norml"/>
    <w:next w:val="Norml"/>
    <w:uiPriority w:val="35"/>
    <w:unhideWhenUsed/>
    <w:qFormat/>
    <w:rsid w:val="006C10D2"/>
    <w:pPr>
      <w:autoSpaceDE/>
      <w:autoSpaceDN/>
      <w:spacing w:line="240" w:lineRule="auto"/>
    </w:pPr>
    <w:rPr>
      <w:rFonts w:ascii="Calibri" w:hAnsi="Calibri" w:cs="Calibri"/>
      <w:b/>
      <w:bCs/>
      <w:color w:val="404040"/>
      <w:sz w:val="16"/>
      <w:szCs w:val="16"/>
    </w:rPr>
  </w:style>
  <w:style w:type="paragraph" w:customStyle="1" w:styleId="Trgymutat">
    <w:name w:val="Tárgymutató"/>
    <w:basedOn w:val="Norml"/>
    <w:rsid w:val="006C10D2"/>
    <w:pPr>
      <w:suppressLineNumbers/>
      <w:autoSpaceDE/>
      <w:autoSpaceDN/>
      <w:spacing w:line="240" w:lineRule="auto"/>
    </w:pPr>
    <w:rPr>
      <w:rFonts w:ascii="Calibri" w:hAnsi="Calibri" w:cs="Arial Unicode MS"/>
      <w:szCs w:val="21"/>
    </w:rPr>
  </w:style>
  <w:style w:type="character" w:customStyle="1" w:styleId="Cmsor1Char">
    <w:name w:val="Címsor 1 Char"/>
    <w:link w:val="Cmsor1"/>
    <w:uiPriority w:val="9"/>
    <w:rsid w:val="00AF5DAE"/>
    <w:rPr>
      <w:rFonts w:ascii="Arial Narrow" w:hAnsi="Arial Narrow" w:cs="Arial"/>
      <w:b/>
      <w:bCs/>
      <w:kern w:val="32"/>
      <w:sz w:val="32"/>
      <w:szCs w:val="32"/>
    </w:rPr>
  </w:style>
  <w:style w:type="character" w:customStyle="1" w:styleId="Cmsor2Char">
    <w:name w:val="Címsor 2 Char"/>
    <w:link w:val="Cmsor2"/>
    <w:uiPriority w:val="9"/>
    <w:rsid w:val="00AF5DAE"/>
    <w:rPr>
      <w:rFonts w:ascii="Arial Narrow" w:hAnsi="Arial Narrow" w:cs="Arial"/>
      <w:b/>
      <w:bCs/>
      <w:iCs/>
      <w:sz w:val="28"/>
      <w:szCs w:val="28"/>
    </w:rPr>
  </w:style>
  <w:style w:type="character" w:customStyle="1" w:styleId="Cmsor3Char">
    <w:name w:val="Címsor 3 Char"/>
    <w:link w:val="Cmsor3"/>
    <w:uiPriority w:val="9"/>
    <w:rsid w:val="006C10D2"/>
    <w:rPr>
      <w:rFonts w:ascii="Arial Narrow" w:hAnsi="Arial Narrow" w:cs="Arial"/>
      <w:b/>
      <w:bCs/>
      <w:sz w:val="24"/>
      <w:szCs w:val="26"/>
      <w:u w:val="single"/>
    </w:rPr>
  </w:style>
  <w:style w:type="character" w:customStyle="1" w:styleId="Cmsor4Char">
    <w:name w:val="Címsor 4 Char"/>
    <w:link w:val="Cmsor4"/>
    <w:uiPriority w:val="9"/>
    <w:rsid w:val="00134901"/>
    <w:rPr>
      <w:rFonts w:ascii="Arial Narrow" w:hAnsi="Arial Narrow" w:cs="Arial"/>
      <w:b/>
      <w:i/>
      <w:sz w:val="24"/>
      <w:szCs w:val="28"/>
      <w:u w:val="single"/>
    </w:rPr>
  </w:style>
  <w:style w:type="character" w:customStyle="1" w:styleId="Cmsor5Char">
    <w:name w:val="Címsor 5 Char"/>
    <w:link w:val="Cmsor5"/>
    <w:uiPriority w:val="9"/>
    <w:rsid w:val="00134901"/>
    <w:rPr>
      <w:rFonts w:ascii="Arial Narrow" w:hAnsi="Arial Narrow" w:cs="Arial"/>
      <w:bCs/>
      <w:i/>
      <w:iCs/>
      <w:sz w:val="24"/>
      <w:szCs w:val="26"/>
      <w:u w:val="single"/>
    </w:rPr>
  </w:style>
  <w:style w:type="character" w:customStyle="1" w:styleId="Cmsor6Char">
    <w:name w:val="Címsor 6 Char"/>
    <w:link w:val="Cmsor6"/>
    <w:uiPriority w:val="9"/>
    <w:rsid w:val="006C10D2"/>
    <w:rPr>
      <w:rFonts w:ascii="Arial Narrow" w:hAnsi="Arial Narrow"/>
      <w:b/>
      <w:bCs/>
      <w:sz w:val="22"/>
      <w:szCs w:val="22"/>
    </w:rPr>
  </w:style>
  <w:style w:type="character" w:customStyle="1" w:styleId="Cmsor7Char">
    <w:name w:val="Címsor 7 Char"/>
    <w:link w:val="Cmsor7"/>
    <w:uiPriority w:val="9"/>
    <w:rsid w:val="006C10D2"/>
    <w:rPr>
      <w:rFonts w:ascii="Arial Narrow" w:hAnsi="Arial Narrow"/>
      <w:sz w:val="24"/>
      <w:szCs w:val="24"/>
    </w:rPr>
  </w:style>
  <w:style w:type="character" w:customStyle="1" w:styleId="Cmsor8Char">
    <w:name w:val="Címsor 8 Char"/>
    <w:link w:val="Cmsor8"/>
    <w:uiPriority w:val="9"/>
    <w:rsid w:val="006C10D2"/>
    <w:rPr>
      <w:rFonts w:ascii="Arial Narrow" w:hAnsi="Arial Narrow"/>
      <w:i/>
      <w:iCs/>
      <w:sz w:val="24"/>
      <w:szCs w:val="24"/>
    </w:rPr>
  </w:style>
  <w:style w:type="character" w:customStyle="1" w:styleId="Cmsor9Char">
    <w:name w:val="Címsor 9 Char"/>
    <w:link w:val="Cmsor9"/>
    <w:uiPriority w:val="9"/>
    <w:rsid w:val="006C10D2"/>
    <w:rPr>
      <w:rFonts w:ascii="Arial" w:hAnsi="Arial" w:cs="Arial"/>
      <w:sz w:val="22"/>
      <w:szCs w:val="22"/>
    </w:rPr>
  </w:style>
  <w:style w:type="paragraph" w:styleId="Cm">
    <w:name w:val="Title"/>
    <w:basedOn w:val="Norml"/>
    <w:next w:val="Norml"/>
    <w:link w:val="CmChar"/>
    <w:uiPriority w:val="10"/>
    <w:qFormat/>
    <w:rsid w:val="006C10D2"/>
    <w:pPr>
      <w:autoSpaceDE/>
      <w:autoSpaceDN/>
      <w:spacing w:after="0" w:line="240" w:lineRule="auto"/>
      <w:contextualSpacing/>
    </w:pPr>
    <w:rPr>
      <w:rFonts w:ascii="Calibri Light" w:eastAsia="SimSun" w:hAnsi="Calibri Light"/>
      <w:caps/>
      <w:color w:val="A50021"/>
      <w:w w:val="90"/>
      <w:sz w:val="44"/>
      <w:szCs w:val="96"/>
    </w:rPr>
  </w:style>
  <w:style w:type="character" w:customStyle="1" w:styleId="CmChar">
    <w:name w:val="Cím Char"/>
    <w:basedOn w:val="Bekezdsalapbettpusa"/>
    <w:link w:val="Cm"/>
    <w:uiPriority w:val="10"/>
    <w:rsid w:val="006C10D2"/>
    <w:rPr>
      <w:rFonts w:ascii="Calibri Light" w:eastAsia="SimSun" w:hAnsi="Calibri Light"/>
      <w:caps/>
      <w:color w:val="A50021"/>
      <w:w w:val="90"/>
      <w:sz w:val="44"/>
      <w:szCs w:val="96"/>
    </w:rPr>
  </w:style>
  <w:style w:type="paragraph" w:styleId="Alcm">
    <w:name w:val="Subtitle"/>
    <w:basedOn w:val="Norml"/>
    <w:next w:val="Norml"/>
    <w:link w:val="AlcmChar"/>
    <w:uiPriority w:val="11"/>
    <w:qFormat/>
    <w:rsid w:val="006C10D2"/>
    <w:pPr>
      <w:numPr>
        <w:ilvl w:val="1"/>
      </w:numPr>
      <w:autoSpaceDE/>
      <w:autoSpaceDN/>
      <w:spacing w:after="240" w:line="240" w:lineRule="auto"/>
    </w:pPr>
    <w:rPr>
      <w:rFonts w:ascii="Calibri" w:hAnsi="Calibri" w:cs="Calibri"/>
      <w:caps/>
      <w:color w:val="404040"/>
      <w:w w:val="90"/>
      <w:sz w:val="32"/>
      <w:szCs w:val="28"/>
    </w:rPr>
  </w:style>
  <w:style w:type="character" w:customStyle="1" w:styleId="AlcmChar">
    <w:name w:val="Alcím Char"/>
    <w:basedOn w:val="Bekezdsalapbettpusa"/>
    <w:link w:val="Alcm"/>
    <w:uiPriority w:val="11"/>
    <w:rsid w:val="006C10D2"/>
    <w:rPr>
      <w:rFonts w:ascii="Calibri" w:hAnsi="Calibri" w:cs="Calibri"/>
      <w:caps/>
      <w:color w:val="404040"/>
      <w:w w:val="90"/>
      <w:sz w:val="32"/>
      <w:szCs w:val="28"/>
    </w:rPr>
  </w:style>
  <w:style w:type="character" w:styleId="Kiemels2">
    <w:name w:val="Strong"/>
    <w:uiPriority w:val="22"/>
    <w:qFormat/>
    <w:rsid w:val="006C10D2"/>
    <w:rPr>
      <w:rFonts w:ascii="Calibri Light" w:hAnsi="Calibri Light"/>
      <w:b/>
      <w:bCs/>
      <w:sz w:val="24"/>
    </w:rPr>
  </w:style>
  <w:style w:type="character" w:styleId="Kiemels">
    <w:name w:val="Emphasis"/>
    <w:uiPriority w:val="20"/>
    <w:qFormat/>
    <w:rsid w:val="006C10D2"/>
    <w:rPr>
      <w:i/>
      <w:iCs/>
      <w:color w:val="000000"/>
    </w:rPr>
  </w:style>
  <w:style w:type="paragraph" w:styleId="Nincstrkz">
    <w:name w:val="No Spacing"/>
    <w:uiPriority w:val="1"/>
    <w:qFormat/>
    <w:rsid w:val="006C10D2"/>
    <w:rPr>
      <w:rFonts w:ascii="Calibri" w:hAnsi="Calibri" w:cs="Calibri"/>
      <w:sz w:val="21"/>
      <w:szCs w:val="21"/>
    </w:rPr>
  </w:style>
  <w:style w:type="paragraph" w:styleId="Idzet">
    <w:name w:val="Quote"/>
    <w:basedOn w:val="Norml"/>
    <w:next w:val="Norml"/>
    <w:link w:val="IdzetChar"/>
    <w:uiPriority w:val="29"/>
    <w:qFormat/>
    <w:rsid w:val="006C10D2"/>
    <w:pPr>
      <w:autoSpaceDE/>
      <w:autoSpaceDN/>
      <w:spacing w:before="160" w:line="240" w:lineRule="auto"/>
      <w:ind w:left="720" w:right="720"/>
      <w:jc w:val="center"/>
    </w:pPr>
    <w:rPr>
      <w:rFonts w:ascii="Calibri Light" w:eastAsia="SimSun" w:hAnsi="Calibri Light"/>
      <w:color w:val="000000"/>
      <w:szCs w:val="24"/>
    </w:rPr>
  </w:style>
  <w:style w:type="character" w:customStyle="1" w:styleId="IdzetChar">
    <w:name w:val="Idézet Char"/>
    <w:basedOn w:val="Bekezdsalapbettpusa"/>
    <w:link w:val="Idzet"/>
    <w:uiPriority w:val="29"/>
    <w:rsid w:val="006C10D2"/>
    <w:rPr>
      <w:rFonts w:ascii="Calibri Light" w:eastAsia="SimSun" w:hAnsi="Calibri Light"/>
      <w:color w:val="000000"/>
      <w:sz w:val="24"/>
      <w:szCs w:val="24"/>
    </w:rPr>
  </w:style>
  <w:style w:type="paragraph" w:styleId="Kiemeltidzet">
    <w:name w:val="Intense Quote"/>
    <w:basedOn w:val="Norml"/>
    <w:next w:val="Norml"/>
    <w:link w:val="KiemeltidzetChar"/>
    <w:uiPriority w:val="30"/>
    <w:qFormat/>
    <w:rsid w:val="006C10D2"/>
    <w:pPr>
      <w:pBdr>
        <w:top w:val="single" w:sz="24" w:space="4" w:color="ED7D31"/>
      </w:pBdr>
      <w:autoSpaceDE/>
      <w:autoSpaceDN/>
      <w:spacing w:line="240" w:lineRule="auto"/>
      <w:ind w:left="936" w:right="936"/>
      <w:jc w:val="center"/>
    </w:pPr>
    <w:rPr>
      <w:rFonts w:ascii="Calibri Light" w:eastAsia="SimSun" w:hAnsi="Calibri Light"/>
      <w:sz w:val="18"/>
      <w:szCs w:val="24"/>
    </w:rPr>
  </w:style>
  <w:style w:type="character" w:customStyle="1" w:styleId="KiemeltidzetChar">
    <w:name w:val="Kiemelt idézet Char"/>
    <w:basedOn w:val="Bekezdsalapbettpusa"/>
    <w:link w:val="Kiemeltidzet"/>
    <w:uiPriority w:val="30"/>
    <w:rsid w:val="006C10D2"/>
    <w:rPr>
      <w:rFonts w:ascii="Calibri Light" w:eastAsia="SimSun" w:hAnsi="Calibri Light"/>
      <w:sz w:val="18"/>
      <w:szCs w:val="24"/>
    </w:rPr>
  </w:style>
  <w:style w:type="character" w:styleId="Finomkiemels">
    <w:name w:val="Subtle Emphasis"/>
    <w:uiPriority w:val="19"/>
    <w:qFormat/>
    <w:rsid w:val="006C10D2"/>
    <w:rPr>
      <w:i/>
      <w:iCs/>
      <w:color w:val="595959"/>
    </w:rPr>
  </w:style>
  <w:style w:type="character" w:styleId="Erskiemels">
    <w:name w:val="Intense Emphasis"/>
    <w:uiPriority w:val="21"/>
    <w:qFormat/>
    <w:rsid w:val="006C10D2"/>
    <w:rPr>
      <w:rFonts w:ascii="Calibri Light" w:hAnsi="Calibri Light"/>
      <w:b/>
      <w:bCs/>
      <w:i/>
      <w:iCs/>
      <w:caps w:val="0"/>
      <w:smallCaps w:val="0"/>
      <w:strike w:val="0"/>
      <w:dstrike w:val="0"/>
      <w:color w:val="A50021"/>
      <w:sz w:val="24"/>
    </w:rPr>
  </w:style>
  <w:style w:type="character" w:styleId="Finomhivatkozs">
    <w:name w:val="Subtle Reference"/>
    <w:uiPriority w:val="31"/>
    <w:qFormat/>
    <w:rsid w:val="006C10D2"/>
    <w:rPr>
      <w:caps w:val="0"/>
      <w:smallCaps/>
      <w:color w:val="404040"/>
      <w:spacing w:val="0"/>
      <w:u w:val="single" w:color="7F7F7F"/>
    </w:rPr>
  </w:style>
  <w:style w:type="character" w:styleId="Ershivatkozs">
    <w:name w:val="Intense Reference"/>
    <w:uiPriority w:val="32"/>
    <w:qFormat/>
    <w:rsid w:val="006C10D2"/>
    <w:rPr>
      <w:b/>
      <w:bCs/>
      <w:caps w:val="0"/>
      <w:smallCaps/>
      <w:color w:val="auto"/>
      <w:spacing w:val="0"/>
      <w:u w:val="single"/>
    </w:rPr>
  </w:style>
  <w:style w:type="character" w:styleId="Knyvcme">
    <w:name w:val="Book Title"/>
    <w:uiPriority w:val="33"/>
    <w:qFormat/>
    <w:rsid w:val="006C10D2"/>
    <w:rPr>
      <w:b/>
      <w:bCs/>
      <w:caps w:val="0"/>
      <w:smallCaps/>
      <w:spacing w:val="0"/>
    </w:rPr>
  </w:style>
  <w:style w:type="paragraph" w:styleId="Tartalomjegyzkcmsora">
    <w:name w:val="TOC Heading"/>
    <w:basedOn w:val="Cmsor1"/>
    <w:next w:val="Norml"/>
    <w:uiPriority w:val="39"/>
    <w:unhideWhenUsed/>
    <w:qFormat/>
    <w:rsid w:val="006C10D2"/>
    <w:pPr>
      <w:keepLines/>
      <w:pBdr>
        <w:bottom w:val="single" w:sz="4" w:space="2" w:color="ED7D31"/>
      </w:pBdr>
      <w:tabs>
        <w:tab w:val="clear" w:pos="851"/>
      </w:tabs>
      <w:spacing w:line="240" w:lineRule="auto"/>
      <w:ind w:left="432" w:hanging="432"/>
      <w:outlineLvl w:val="9"/>
    </w:pPr>
    <w:rPr>
      <w:rFonts w:ascii="Calibri Light" w:eastAsia="SimSun" w:hAnsi="Calibri Light" w:cs="Times New Roman"/>
      <w:b w:val="0"/>
      <w:bCs w:val="0"/>
      <w:caps/>
      <w:color w:val="262626"/>
      <w:w w:val="90"/>
      <w:kern w:val="0"/>
      <w:sz w:val="36"/>
      <w:szCs w:val="40"/>
    </w:rPr>
  </w:style>
  <w:style w:type="character" w:customStyle="1" w:styleId="sc-ehgmql">
    <w:name w:val="sc-ehgmql"/>
    <w:rsid w:val="006C10D2"/>
  </w:style>
  <w:style w:type="character" w:customStyle="1" w:styleId="fontstyle21">
    <w:name w:val="fontstyle21"/>
    <w:rsid w:val="006C10D2"/>
    <w:rPr>
      <w:rFonts w:ascii="SymbolMT" w:hAnsi="SymbolMT" w:hint="default"/>
      <w:b w:val="0"/>
      <w:bCs w:val="0"/>
      <w:i w:val="0"/>
      <w:iCs w:val="0"/>
      <w:color w:val="000000"/>
      <w:sz w:val="20"/>
      <w:szCs w:val="20"/>
    </w:rPr>
  </w:style>
  <w:style w:type="table" w:customStyle="1" w:styleId="TableNormal">
    <w:name w:val="Table Normal"/>
    <w:uiPriority w:val="2"/>
    <w:semiHidden/>
    <w:unhideWhenUsed/>
    <w:qFormat/>
    <w:rsid w:val="006C10D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6C10D2"/>
    <w:pPr>
      <w:widowControl w:val="0"/>
      <w:spacing w:before="0" w:after="0" w:line="240" w:lineRule="auto"/>
      <w:ind w:left="69"/>
    </w:pPr>
    <w:rPr>
      <w:rFonts w:ascii="Calibri" w:eastAsia="Calibri" w:hAnsi="Calibri" w:cs="Calibri"/>
      <w:sz w:val="22"/>
      <w:szCs w:val="22"/>
      <w:lang w:val="en-US" w:eastAsia="en-US"/>
    </w:rPr>
  </w:style>
  <w:style w:type="table" w:styleId="Listaszertblzat33jellszn">
    <w:name w:val="List Table 3 Accent 3"/>
    <w:basedOn w:val="Normltblzat"/>
    <w:uiPriority w:val="48"/>
    <w:rsid w:val="006C10D2"/>
    <w:rPr>
      <w:rFonts w:ascii="Calibri" w:hAnsi="Calibri" w:cs="Calibri"/>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paragraph" w:customStyle="1" w:styleId="tablazat">
    <w:name w:val="tablazat"/>
    <w:basedOn w:val="Norml"/>
    <w:qFormat/>
    <w:rsid w:val="00CF77A7"/>
    <w:pPr>
      <w:autoSpaceDE/>
      <w:autoSpaceDN/>
      <w:spacing w:before="40" w:after="40" w:line="240" w:lineRule="auto"/>
    </w:pPr>
    <w:rPr>
      <w:rFonts w:cs="Calibri"/>
      <w:sz w:val="20"/>
      <w:szCs w:val="18"/>
    </w:rPr>
  </w:style>
  <w:style w:type="character" w:styleId="Mrltotthiperhivatkozs">
    <w:name w:val="FollowedHyperlink"/>
    <w:uiPriority w:val="99"/>
    <w:semiHidden/>
    <w:unhideWhenUsed/>
    <w:rsid w:val="006C10D2"/>
    <w:rPr>
      <w:color w:val="954F72"/>
      <w:u w:val="single"/>
    </w:rPr>
  </w:style>
  <w:style w:type="paragraph" w:customStyle="1" w:styleId="bullet">
    <w:name w:val="bullet"/>
    <w:basedOn w:val="Listaszerbekezds"/>
    <w:qFormat/>
    <w:rsid w:val="006C10D2"/>
    <w:pPr>
      <w:autoSpaceDE/>
      <w:autoSpaceDN/>
      <w:spacing w:before="60" w:after="60" w:line="228" w:lineRule="auto"/>
      <w:ind w:left="1683" w:hanging="360"/>
      <w:contextualSpacing w:val="0"/>
    </w:pPr>
    <w:rPr>
      <w:rFonts w:ascii="Calibri" w:hAnsi="Calibri" w:cs="Calibri"/>
      <w:szCs w:val="21"/>
    </w:rPr>
  </w:style>
  <w:style w:type="paragraph" w:customStyle="1" w:styleId="yiv6525892205msonormal">
    <w:name w:val="yiv6525892205msonormal"/>
    <w:basedOn w:val="Norml"/>
    <w:rsid w:val="006C10D2"/>
    <w:pPr>
      <w:autoSpaceDE/>
      <w:autoSpaceDN/>
      <w:spacing w:before="100" w:beforeAutospacing="1" w:after="100" w:afterAutospacing="1" w:line="240" w:lineRule="auto"/>
    </w:pPr>
    <w:rPr>
      <w:rFonts w:ascii="Times New Roman" w:hAnsi="Times New Roman"/>
      <w:szCs w:val="24"/>
    </w:rPr>
  </w:style>
  <w:style w:type="paragraph" w:customStyle="1" w:styleId="kepalairas">
    <w:name w:val="kepalairas"/>
    <w:basedOn w:val="Norml"/>
    <w:qFormat/>
    <w:rsid w:val="00437299"/>
    <w:pPr>
      <w:autoSpaceDE/>
      <w:autoSpaceDN/>
      <w:spacing w:before="40" w:after="240" w:line="240" w:lineRule="auto"/>
      <w:jc w:val="center"/>
    </w:pPr>
    <w:rPr>
      <w:rFonts w:cs="Calibri"/>
      <w:i/>
      <w:iCs/>
      <w:sz w:val="20"/>
      <w:szCs w:val="18"/>
    </w:rPr>
  </w:style>
  <w:style w:type="character" w:customStyle="1" w:styleId="fontstyle31">
    <w:name w:val="fontstyle31"/>
    <w:rsid w:val="006C10D2"/>
    <w:rPr>
      <w:rFonts w:ascii="Verdana" w:hAnsi="Verdana" w:hint="default"/>
      <w:b w:val="0"/>
      <w:bCs w:val="0"/>
      <w:i w:val="0"/>
      <w:iCs w:val="0"/>
      <w:color w:val="000000"/>
      <w:sz w:val="16"/>
      <w:szCs w:val="16"/>
    </w:rPr>
  </w:style>
  <w:style w:type="paragraph" w:customStyle="1" w:styleId="Lista2">
    <w:name w:val="Lista_2"/>
    <w:basedOn w:val="Listaszerbekezds"/>
    <w:qFormat/>
    <w:rsid w:val="006C10D2"/>
    <w:pPr>
      <w:autoSpaceDE/>
      <w:autoSpaceDN/>
      <w:spacing w:before="60" w:after="60" w:line="240" w:lineRule="auto"/>
      <w:ind w:left="1418" w:hanging="284"/>
      <w:contextualSpacing w:val="0"/>
    </w:pPr>
    <w:rPr>
      <w:rFonts w:ascii="Calibri" w:hAnsi="Calibri" w:cs="Calibri"/>
      <w:szCs w:val="21"/>
    </w:rPr>
  </w:style>
  <w:style w:type="character" w:customStyle="1" w:styleId="BuborkszvegChar">
    <w:name w:val="Buborékszöveg Char"/>
    <w:link w:val="Buborkszveg"/>
    <w:uiPriority w:val="99"/>
    <w:semiHidden/>
    <w:rsid w:val="006C10D2"/>
    <w:rPr>
      <w:rFonts w:ascii="Tahoma" w:hAnsi="Tahoma" w:cs="Tahoma"/>
      <w:sz w:val="16"/>
      <w:szCs w:val="16"/>
    </w:rPr>
  </w:style>
  <w:style w:type="character" w:customStyle="1" w:styleId="fontstyle01">
    <w:name w:val="fontstyle01"/>
    <w:rsid w:val="006C10D2"/>
    <w:rPr>
      <w:rFonts w:ascii="Times New Roman" w:hAnsi="Times New Roman" w:cs="Times New Roman" w:hint="default"/>
      <w:b/>
      <w:bCs/>
      <w:i w:val="0"/>
      <w:iCs w:val="0"/>
      <w:color w:val="000000"/>
      <w:sz w:val="32"/>
      <w:szCs w:val="32"/>
    </w:rPr>
  </w:style>
  <w:style w:type="paragraph" w:customStyle="1" w:styleId="kockazat">
    <w:name w:val="kockazat"/>
    <w:basedOn w:val="Norml"/>
    <w:qFormat/>
    <w:rsid w:val="006C10D2"/>
    <w:pPr>
      <w:autoSpaceDE/>
      <w:autoSpaceDN/>
      <w:spacing w:before="60" w:after="60" w:line="240" w:lineRule="auto"/>
      <w:ind w:left="2381" w:hanging="1701"/>
    </w:pPr>
    <w:rPr>
      <w:rFonts w:ascii="Calibri" w:hAnsi="Calibri" w:cs="Calibri"/>
      <w:i/>
      <w:noProof/>
      <w:w w:val="90"/>
      <w:szCs w:val="21"/>
    </w:rPr>
  </w:style>
  <w:style w:type="paragraph" w:styleId="TJ1">
    <w:name w:val="toc 1"/>
    <w:basedOn w:val="Norml"/>
    <w:next w:val="Norml"/>
    <w:autoRedefine/>
    <w:uiPriority w:val="39"/>
    <w:unhideWhenUsed/>
    <w:rsid w:val="003624F0"/>
    <w:pPr>
      <w:tabs>
        <w:tab w:val="left" w:pos="480"/>
        <w:tab w:val="right" w:leader="dot" w:pos="9628"/>
      </w:tabs>
      <w:autoSpaceDE/>
      <w:autoSpaceDN/>
      <w:spacing w:before="60" w:after="60" w:line="240" w:lineRule="auto"/>
      <w:ind w:left="425" w:hanging="425"/>
    </w:pPr>
    <w:rPr>
      <w:rFonts w:eastAsia="SimSun" w:cs="Calibri"/>
      <w:caps/>
      <w:noProof/>
      <w:szCs w:val="21"/>
    </w:rPr>
  </w:style>
  <w:style w:type="paragraph" w:styleId="TJ2">
    <w:name w:val="toc 2"/>
    <w:basedOn w:val="Norml"/>
    <w:next w:val="Norml"/>
    <w:autoRedefine/>
    <w:uiPriority w:val="39"/>
    <w:unhideWhenUsed/>
    <w:rsid w:val="008F43D7"/>
    <w:pPr>
      <w:tabs>
        <w:tab w:val="left" w:pos="1276"/>
        <w:tab w:val="right" w:leader="dot" w:pos="9016"/>
      </w:tabs>
      <w:autoSpaceDE/>
      <w:autoSpaceDN/>
      <w:spacing w:before="40" w:after="40" w:line="240" w:lineRule="auto"/>
      <w:ind w:left="238"/>
    </w:pPr>
    <w:rPr>
      <w:rFonts w:cs="Calibri"/>
      <w:sz w:val="22"/>
      <w:szCs w:val="21"/>
    </w:rPr>
  </w:style>
  <w:style w:type="paragraph" w:styleId="TJ3">
    <w:name w:val="toc 3"/>
    <w:basedOn w:val="Norml"/>
    <w:next w:val="Norml"/>
    <w:autoRedefine/>
    <w:uiPriority w:val="39"/>
    <w:unhideWhenUsed/>
    <w:rsid w:val="008F43D7"/>
    <w:pPr>
      <w:tabs>
        <w:tab w:val="left" w:pos="1276"/>
        <w:tab w:val="right" w:leader="dot" w:pos="9628"/>
      </w:tabs>
      <w:autoSpaceDE/>
      <w:autoSpaceDN/>
      <w:spacing w:before="0" w:after="0" w:line="240" w:lineRule="auto"/>
      <w:ind w:left="1276" w:hanging="796"/>
    </w:pPr>
    <w:rPr>
      <w:rFonts w:cs="Calibri"/>
      <w:noProof/>
      <w:sz w:val="22"/>
    </w:rPr>
  </w:style>
  <w:style w:type="character" w:customStyle="1" w:styleId="lfejChar">
    <w:name w:val="Élőfej Char"/>
    <w:link w:val="lfej"/>
    <w:uiPriority w:val="99"/>
    <w:rsid w:val="006C10D2"/>
    <w:rPr>
      <w:rFonts w:ascii="Arial Narrow" w:hAnsi="Arial Narrow"/>
      <w:sz w:val="24"/>
    </w:rPr>
  </w:style>
  <w:style w:type="character" w:customStyle="1" w:styleId="llbChar">
    <w:name w:val="Élőláb Char"/>
    <w:link w:val="llb"/>
    <w:uiPriority w:val="99"/>
    <w:rsid w:val="006C10D2"/>
    <w:rPr>
      <w:rFonts w:ascii="Arial Narrow" w:hAnsi="Arial Narrow"/>
      <w:sz w:val="24"/>
    </w:rPr>
  </w:style>
  <w:style w:type="paragraph" w:styleId="Vgjegyzetszvege">
    <w:name w:val="endnote text"/>
    <w:basedOn w:val="Norml"/>
    <w:link w:val="VgjegyzetszvegeChar"/>
    <w:uiPriority w:val="99"/>
    <w:semiHidden/>
    <w:unhideWhenUsed/>
    <w:rsid w:val="006C10D2"/>
    <w:pPr>
      <w:autoSpaceDE/>
      <w:autoSpaceDN/>
      <w:spacing w:line="240" w:lineRule="auto"/>
    </w:pPr>
    <w:rPr>
      <w:rFonts w:ascii="Calibri" w:hAnsi="Calibri" w:cs="Calibri"/>
      <w:sz w:val="20"/>
    </w:rPr>
  </w:style>
  <w:style w:type="character" w:customStyle="1" w:styleId="VgjegyzetszvegeChar">
    <w:name w:val="Végjegyzet szövege Char"/>
    <w:basedOn w:val="Bekezdsalapbettpusa"/>
    <w:link w:val="Vgjegyzetszvege"/>
    <w:uiPriority w:val="99"/>
    <w:semiHidden/>
    <w:rsid w:val="006C10D2"/>
    <w:rPr>
      <w:rFonts w:ascii="Calibri" w:hAnsi="Calibri" w:cs="Calibri"/>
    </w:rPr>
  </w:style>
  <w:style w:type="character" w:styleId="Vgjegyzet-hivatkozs">
    <w:name w:val="endnote reference"/>
    <w:uiPriority w:val="99"/>
    <w:semiHidden/>
    <w:unhideWhenUsed/>
    <w:rsid w:val="006C10D2"/>
    <w:rPr>
      <w:vertAlign w:val="superscript"/>
    </w:rPr>
  </w:style>
  <w:style w:type="character" w:customStyle="1" w:styleId="fontstyle41">
    <w:name w:val="fontstyle41"/>
    <w:rsid w:val="006C10D2"/>
    <w:rPr>
      <w:rFonts w:ascii="Calibri" w:hAnsi="Calibri" w:cs="Calibri" w:hint="default"/>
      <w:b w:val="0"/>
      <w:bCs w:val="0"/>
      <w:i w:val="0"/>
      <w:iCs w:val="0"/>
      <w:color w:val="000000"/>
      <w:sz w:val="22"/>
      <w:szCs w:val="22"/>
    </w:rPr>
  </w:style>
  <w:style w:type="character" w:customStyle="1" w:styleId="s3uucc">
    <w:name w:val="s3uucc"/>
    <w:rsid w:val="006C10D2"/>
  </w:style>
  <w:style w:type="table" w:styleId="Tblzatrcsos5stt6jellszn">
    <w:name w:val="Grid Table 5 Dark Accent 6"/>
    <w:basedOn w:val="Normltblzat"/>
    <w:uiPriority w:val="50"/>
    <w:rsid w:val="00CF77A7"/>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6326">
      <w:bodyDiv w:val="1"/>
      <w:marLeft w:val="0"/>
      <w:marRight w:val="0"/>
      <w:marTop w:val="0"/>
      <w:marBottom w:val="0"/>
      <w:divBdr>
        <w:top w:val="none" w:sz="0" w:space="0" w:color="auto"/>
        <w:left w:val="none" w:sz="0" w:space="0" w:color="auto"/>
        <w:bottom w:val="none" w:sz="0" w:space="0" w:color="auto"/>
        <w:right w:val="none" w:sz="0" w:space="0" w:color="auto"/>
      </w:divBdr>
    </w:div>
    <w:div w:id="107553826">
      <w:bodyDiv w:val="1"/>
      <w:marLeft w:val="0"/>
      <w:marRight w:val="0"/>
      <w:marTop w:val="0"/>
      <w:marBottom w:val="0"/>
      <w:divBdr>
        <w:top w:val="none" w:sz="0" w:space="0" w:color="auto"/>
        <w:left w:val="none" w:sz="0" w:space="0" w:color="auto"/>
        <w:bottom w:val="none" w:sz="0" w:space="0" w:color="auto"/>
        <w:right w:val="none" w:sz="0" w:space="0" w:color="auto"/>
      </w:divBdr>
    </w:div>
    <w:div w:id="141122594">
      <w:bodyDiv w:val="1"/>
      <w:marLeft w:val="0"/>
      <w:marRight w:val="0"/>
      <w:marTop w:val="0"/>
      <w:marBottom w:val="0"/>
      <w:divBdr>
        <w:top w:val="none" w:sz="0" w:space="0" w:color="auto"/>
        <w:left w:val="none" w:sz="0" w:space="0" w:color="auto"/>
        <w:bottom w:val="none" w:sz="0" w:space="0" w:color="auto"/>
        <w:right w:val="none" w:sz="0" w:space="0" w:color="auto"/>
      </w:divBdr>
      <w:divsChild>
        <w:div w:id="1739749183">
          <w:marLeft w:val="0"/>
          <w:marRight w:val="0"/>
          <w:marTop w:val="0"/>
          <w:marBottom w:val="0"/>
          <w:divBdr>
            <w:top w:val="none" w:sz="0" w:space="0" w:color="auto"/>
            <w:left w:val="none" w:sz="0" w:space="0" w:color="auto"/>
            <w:bottom w:val="none" w:sz="0" w:space="0" w:color="auto"/>
            <w:right w:val="none" w:sz="0" w:space="0" w:color="auto"/>
          </w:divBdr>
          <w:divsChild>
            <w:div w:id="1138180438">
              <w:marLeft w:val="0"/>
              <w:marRight w:val="0"/>
              <w:marTop w:val="0"/>
              <w:marBottom w:val="0"/>
              <w:divBdr>
                <w:top w:val="none" w:sz="0" w:space="0" w:color="auto"/>
                <w:left w:val="none" w:sz="0" w:space="0" w:color="auto"/>
                <w:bottom w:val="none" w:sz="0" w:space="0" w:color="auto"/>
                <w:right w:val="none" w:sz="0" w:space="0" w:color="auto"/>
              </w:divBdr>
            </w:div>
            <w:div w:id="530611131">
              <w:marLeft w:val="0"/>
              <w:marRight w:val="0"/>
              <w:marTop w:val="0"/>
              <w:marBottom w:val="0"/>
              <w:divBdr>
                <w:top w:val="none" w:sz="0" w:space="0" w:color="auto"/>
                <w:left w:val="none" w:sz="0" w:space="0" w:color="auto"/>
                <w:bottom w:val="none" w:sz="0" w:space="0" w:color="auto"/>
                <w:right w:val="none" w:sz="0" w:space="0" w:color="auto"/>
              </w:divBdr>
            </w:div>
          </w:divsChild>
        </w:div>
        <w:div w:id="1764297002">
          <w:marLeft w:val="0"/>
          <w:marRight w:val="-15"/>
          <w:marTop w:val="0"/>
          <w:marBottom w:val="600"/>
          <w:divBdr>
            <w:top w:val="none" w:sz="0" w:space="0" w:color="auto"/>
            <w:left w:val="none" w:sz="0" w:space="0" w:color="auto"/>
            <w:bottom w:val="none" w:sz="0" w:space="0" w:color="auto"/>
            <w:right w:val="none" w:sz="0" w:space="0" w:color="auto"/>
          </w:divBdr>
        </w:div>
      </w:divsChild>
    </w:div>
    <w:div w:id="174273525">
      <w:bodyDiv w:val="1"/>
      <w:marLeft w:val="0"/>
      <w:marRight w:val="0"/>
      <w:marTop w:val="0"/>
      <w:marBottom w:val="0"/>
      <w:divBdr>
        <w:top w:val="none" w:sz="0" w:space="0" w:color="auto"/>
        <w:left w:val="none" w:sz="0" w:space="0" w:color="auto"/>
        <w:bottom w:val="none" w:sz="0" w:space="0" w:color="auto"/>
        <w:right w:val="none" w:sz="0" w:space="0" w:color="auto"/>
      </w:divBdr>
    </w:div>
    <w:div w:id="179244765">
      <w:bodyDiv w:val="1"/>
      <w:marLeft w:val="0"/>
      <w:marRight w:val="0"/>
      <w:marTop w:val="0"/>
      <w:marBottom w:val="0"/>
      <w:divBdr>
        <w:top w:val="none" w:sz="0" w:space="0" w:color="auto"/>
        <w:left w:val="none" w:sz="0" w:space="0" w:color="auto"/>
        <w:bottom w:val="none" w:sz="0" w:space="0" w:color="auto"/>
        <w:right w:val="none" w:sz="0" w:space="0" w:color="auto"/>
      </w:divBdr>
    </w:div>
    <w:div w:id="180509407">
      <w:bodyDiv w:val="1"/>
      <w:marLeft w:val="0"/>
      <w:marRight w:val="0"/>
      <w:marTop w:val="0"/>
      <w:marBottom w:val="0"/>
      <w:divBdr>
        <w:top w:val="none" w:sz="0" w:space="0" w:color="auto"/>
        <w:left w:val="none" w:sz="0" w:space="0" w:color="auto"/>
        <w:bottom w:val="none" w:sz="0" w:space="0" w:color="auto"/>
        <w:right w:val="none" w:sz="0" w:space="0" w:color="auto"/>
      </w:divBdr>
    </w:div>
    <w:div w:id="231356131">
      <w:bodyDiv w:val="1"/>
      <w:marLeft w:val="0"/>
      <w:marRight w:val="0"/>
      <w:marTop w:val="0"/>
      <w:marBottom w:val="0"/>
      <w:divBdr>
        <w:top w:val="none" w:sz="0" w:space="0" w:color="auto"/>
        <w:left w:val="none" w:sz="0" w:space="0" w:color="auto"/>
        <w:bottom w:val="none" w:sz="0" w:space="0" w:color="auto"/>
        <w:right w:val="none" w:sz="0" w:space="0" w:color="auto"/>
      </w:divBdr>
    </w:div>
    <w:div w:id="234583802">
      <w:bodyDiv w:val="1"/>
      <w:marLeft w:val="0"/>
      <w:marRight w:val="0"/>
      <w:marTop w:val="0"/>
      <w:marBottom w:val="0"/>
      <w:divBdr>
        <w:top w:val="none" w:sz="0" w:space="0" w:color="auto"/>
        <w:left w:val="none" w:sz="0" w:space="0" w:color="auto"/>
        <w:bottom w:val="none" w:sz="0" w:space="0" w:color="auto"/>
        <w:right w:val="none" w:sz="0" w:space="0" w:color="auto"/>
      </w:divBdr>
    </w:div>
    <w:div w:id="304890537">
      <w:bodyDiv w:val="1"/>
      <w:marLeft w:val="0"/>
      <w:marRight w:val="0"/>
      <w:marTop w:val="0"/>
      <w:marBottom w:val="0"/>
      <w:divBdr>
        <w:top w:val="none" w:sz="0" w:space="0" w:color="auto"/>
        <w:left w:val="none" w:sz="0" w:space="0" w:color="auto"/>
        <w:bottom w:val="none" w:sz="0" w:space="0" w:color="auto"/>
        <w:right w:val="none" w:sz="0" w:space="0" w:color="auto"/>
      </w:divBdr>
    </w:div>
    <w:div w:id="314577914">
      <w:bodyDiv w:val="1"/>
      <w:marLeft w:val="0"/>
      <w:marRight w:val="0"/>
      <w:marTop w:val="0"/>
      <w:marBottom w:val="0"/>
      <w:divBdr>
        <w:top w:val="none" w:sz="0" w:space="0" w:color="auto"/>
        <w:left w:val="none" w:sz="0" w:space="0" w:color="auto"/>
        <w:bottom w:val="none" w:sz="0" w:space="0" w:color="auto"/>
        <w:right w:val="none" w:sz="0" w:space="0" w:color="auto"/>
      </w:divBdr>
    </w:div>
    <w:div w:id="398017710">
      <w:bodyDiv w:val="1"/>
      <w:marLeft w:val="0"/>
      <w:marRight w:val="0"/>
      <w:marTop w:val="0"/>
      <w:marBottom w:val="0"/>
      <w:divBdr>
        <w:top w:val="none" w:sz="0" w:space="0" w:color="auto"/>
        <w:left w:val="none" w:sz="0" w:space="0" w:color="auto"/>
        <w:bottom w:val="none" w:sz="0" w:space="0" w:color="auto"/>
        <w:right w:val="none" w:sz="0" w:space="0" w:color="auto"/>
      </w:divBdr>
    </w:div>
    <w:div w:id="421146186">
      <w:bodyDiv w:val="1"/>
      <w:marLeft w:val="0"/>
      <w:marRight w:val="0"/>
      <w:marTop w:val="0"/>
      <w:marBottom w:val="0"/>
      <w:divBdr>
        <w:top w:val="none" w:sz="0" w:space="0" w:color="auto"/>
        <w:left w:val="none" w:sz="0" w:space="0" w:color="auto"/>
        <w:bottom w:val="none" w:sz="0" w:space="0" w:color="auto"/>
        <w:right w:val="none" w:sz="0" w:space="0" w:color="auto"/>
      </w:divBdr>
    </w:div>
    <w:div w:id="466515644">
      <w:bodyDiv w:val="1"/>
      <w:marLeft w:val="0"/>
      <w:marRight w:val="0"/>
      <w:marTop w:val="0"/>
      <w:marBottom w:val="0"/>
      <w:divBdr>
        <w:top w:val="none" w:sz="0" w:space="0" w:color="auto"/>
        <w:left w:val="none" w:sz="0" w:space="0" w:color="auto"/>
        <w:bottom w:val="none" w:sz="0" w:space="0" w:color="auto"/>
        <w:right w:val="none" w:sz="0" w:space="0" w:color="auto"/>
      </w:divBdr>
    </w:div>
    <w:div w:id="468670861">
      <w:bodyDiv w:val="1"/>
      <w:marLeft w:val="0"/>
      <w:marRight w:val="0"/>
      <w:marTop w:val="0"/>
      <w:marBottom w:val="0"/>
      <w:divBdr>
        <w:top w:val="none" w:sz="0" w:space="0" w:color="auto"/>
        <w:left w:val="none" w:sz="0" w:space="0" w:color="auto"/>
        <w:bottom w:val="none" w:sz="0" w:space="0" w:color="auto"/>
        <w:right w:val="none" w:sz="0" w:space="0" w:color="auto"/>
      </w:divBdr>
    </w:div>
    <w:div w:id="523910179">
      <w:bodyDiv w:val="1"/>
      <w:marLeft w:val="0"/>
      <w:marRight w:val="0"/>
      <w:marTop w:val="0"/>
      <w:marBottom w:val="0"/>
      <w:divBdr>
        <w:top w:val="none" w:sz="0" w:space="0" w:color="auto"/>
        <w:left w:val="none" w:sz="0" w:space="0" w:color="auto"/>
        <w:bottom w:val="none" w:sz="0" w:space="0" w:color="auto"/>
        <w:right w:val="none" w:sz="0" w:space="0" w:color="auto"/>
      </w:divBdr>
    </w:div>
    <w:div w:id="550921442">
      <w:bodyDiv w:val="1"/>
      <w:marLeft w:val="0"/>
      <w:marRight w:val="0"/>
      <w:marTop w:val="0"/>
      <w:marBottom w:val="0"/>
      <w:divBdr>
        <w:top w:val="none" w:sz="0" w:space="0" w:color="auto"/>
        <w:left w:val="none" w:sz="0" w:space="0" w:color="auto"/>
        <w:bottom w:val="none" w:sz="0" w:space="0" w:color="auto"/>
        <w:right w:val="none" w:sz="0" w:space="0" w:color="auto"/>
      </w:divBdr>
    </w:div>
    <w:div w:id="633950050">
      <w:bodyDiv w:val="1"/>
      <w:marLeft w:val="0"/>
      <w:marRight w:val="0"/>
      <w:marTop w:val="0"/>
      <w:marBottom w:val="0"/>
      <w:divBdr>
        <w:top w:val="none" w:sz="0" w:space="0" w:color="auto"/>
        <w:left w:val="none" w:sz="0" w:space="0" w:color="auto"/>
        <w:bottom w:val="none" w:sz="0" w:space="0" w:color="auto"/>
        <w:right w:val="none" w:sz="0" w:space="0" w:color="auto"/>
      </w:divBdr>
    </w:div>
    <w:div w:id="659191856">
      <w:bodyDiv w:val="1"/>
      <w:marLeft w:val="0"/>
      <w:marRight w:val="0"/>
      <w:marTop w:val="0"/>
      <w:marBottom w:val="0"/>
      <w:divBdr>
        <w:top w:val="none" w:sz="0" w:space="0" w:color="auto"/>
        <w:left w:val="none" w:sz="0" w:space="0" w:color="auto"/>
        <w:bottom w:val="none" w:sz="0" w:space="0" w:color="auto"/>
        <w:right w:val="none" w:sz="0" w:space="0" w:color="auto"/>
      </w:divBdr>
    </w:div>
    <w:div w:id="675154322">
      <w:bodyDiv w:val="1"/>
      <w:marLeft w:val="0"/>
      <w:marRight w:val="0"/>
      <w:marTop w:val="0"/>
      <w:marBottom w:val="0"/>
      <w:divBdr>
        <w:top w:val="none" w:sz="0" w:space="0" w:color="auto"/>
        <w:left w:val="none" w:sz="0" w:space="0" w:color="auto"/>
        <w:bottom w:val="none" w:sz="0" w:space="0" w:color="auto"/>
        <w:right w:val="none" w:sz="0" w:space="0" w:color="auto"/>
      </w:divBdr>
    </w:div>
    <w:div w:id="712966351">
      <w:bodyDiv w:val="1"/>
      <w:marLeft w:val="0"/>
      <w:marRight w:val="0"/>
      <w:marTop w:val="0"/>
      <w:marBottom w:val="0"/>
      <w:divBdr>
        <w:top w:val="none" w:sz="0" w:space="0" w:color="auto"/>
        <w:left w:val="none" w:sz="0" w:space="0" w:color="auto"/>
        <w:bottom w:val="none" w:sz="0" w:space="0" w:color="auto"/>
        <w:right w:val="none" w:sz="0" w:space="0" w:color="auto"/>
      </w:divBdr>
    </w:div>
    <w:div w:id="797533337">
      <w:bodyDiv w:val="1"/>
      <w:marLeft w:val="0"/>
      <w:marRight w:val="0"/>
      <w:marTop w:val="0"/>
      <w:marBottom w:val="0"/>
      <w:divBdr>
        <w:top w:val="none" w:sz="0" w:space="0" w:color="auto"/>
        <w:left w:val="none" w:sz="0" w:space="0" w:color="auto"/>
        <w:bottom w:val="none" w:sz="0" w:space="0" w:color="auto"/>
        <w:right w:val="none" w:sz="0" w:space="0" w:color="auto"/>
      </w:divBdr>
    </w:div>
    <w:div w:id="907032234">
      <w:bodyDiv w:val="1"/>
      <w:marLeft w:val="0"/>
      <w:marRight w:val="0"/>
      <w:marTop w:val="0"/>
      <w:marBottom w:val="0"/>
      <w:divBdr>
        <w:top w:val="none" w:sz="0" w:space="0" w:color="auto"/>
        <w:left w:val="none" w:sz="0" w:space="0" w:color="auto"/>
        <w:bottom w:val="none" w:sz="0" w:space="0" w:color="auto"/>
        <w:right w:val="none" w:sz="0" w:space="0" w:color="auto"/>
      </w:divBdr>
    </w:div>
    <w:div w:id="1072004383">
      <w:bodyDiv w:val="1"/>
      <w:marLeft w:val="0"/>
      <w:marRight w:val="0"/>
      <w:marTop w:val="0"/>
      <w:marBottom w:val="0"/>
      <w:divBdr>
        <w:top w:val="none" w:sz="0" w:space="0" w:color="auto"/>
        <w:left w:val="none" w:sz="0" w:space="0" w:color="auto"/>
        <w:bottom w:val="none" w:sz="0" w:space="0" w:color="auto"/>
        <w:right w:val="none" w:sz="0" w:space="0" w:color="auto"/>
      </w:divBdr>
      <w:divsChild>
        <w:div w:id="1848983228">
          <w:marLeft w:val="0"/>
          <w:marRight w:val="0"/>
          <w:marTop w:val="0"/>
          <w:marBottom w:val="0"/>
          <w:divBdr>
            <w:top w:val="none" w:sz="0" w:space="0" w:color="auto"/>
            <w:left w:val="none" w:sz="0" w:space="0" w:color="auto"/>
            <w:bottom w:val="none" w:sz="0" w:space="0" w:color="auto"/>
            <w:right w:val="none" w:sz="0" w:space="0" w:color="auto"/>
          </w:divBdr>
        </w:div>
      </w:divsChild>
    </w:div>
    <w:div w:id="1094477162">
      <w:bodyDiv w:val="1"/>
      <w:marLeft w:val="0"/>
      <w:marRight w:val="0"/>
      <w:marTop w:val="0"/>
      <w:marBottom w:val="0"/>
      <w:divBdr>
        <w:top w:val="none" w:sz="0" w:space="0" w:color="auto"/>
        <w:left w:val="none" w:sz="0" w:space="0" w:color="auto"/>
        <w:bottom w:val="none" w:sz="0" w:space="0" w:color="auto"/>
        <w:right w:val="none" w:sz="0" w:space="0" w:color="auto"/>
      </w:divBdr>
    </w:div>
    <w:div w:id="1216355143">
      <w:bodyDiv w:val="1"/>
      <w:marLeft w:val="0"/>
      <w:marRight w:val="0"/>
      <w:marTop w:val="0"/>
      <w:marBottom w:val="0"/>
      <w:divBdr>
        <w:top w:val="none" w:sz="0" w:space="0" w:color="auto"/>
        <w:left w:val="none" w:sz="0" w:space="0" w:color="auto"/>
        <w:bottom w:val="none" w:sz="0" w:space="0" w:color="auto"/>
        <w:right w:val="none" w:sz="0" w:space="0" w:color="auto"/>
      </w:divBdr>
    </w:div>
    <w:div w:id="1288975915">
      <w:bodyDiv w:val="1"/>
      <w:marLeft w:val="0"/>
      <w:marRight w:val="0"/>
      <w:marTop w:val="0"/>
      <w:marBottom w:val="0"/>
      <w:divBdr>
        <w:top w:val="none" w:sz="0" w:space="0" w:color="auto"/>
        <w:left w:val="none" w:sz="0" w:space="0" w:color="auto"/>
        <w:bottom w:val="none" w:sz="0" w:space="0" w:color="auto"/>
        <w:right w:val="none" w:sz="0" w:space="0" w:color="auto"/>
      </w:divBdr>
    </w:div>
    <w:div w:id="1651516770">
      <w:bodyDiv w:val="1"/>
      <w:marLeft w:val="0"/>
      <w:marRight w:val="0"/>
      <w:marTop w:val="0"/>
      <w:marBottom w:val="0"/>
      <w:divBdr>
        <w:top w:val="none" w:sz="0" w:space="0" w:color="auto"/>
        <w:left w:val="none" w:sz="0" w:space="0" w:color="auto"/>
        <w:bottom w:val="none" w:sz="0" w:space="0" w:color="auto"/>
        <w:right w:val="none" w:sz="0" w:space="0" w:color="auto"/>
      </w:divBdr>
      <w:divsChild>
        <w:div w:id="1305625033">
          <w:marLeft w:val="0"/>
          <w:marRight w:val="0"/>
          <w:marTop w:val="0"/>
          <w:marBottom w:val="0"/>
          <w:divBdr>
            <w:top w:val="none" w:sz="0" w:space="0" w:color="auto"/>
            <w:left w:val="none" w:sz="0" w:space="0" w:color="auto"/>
            <w:bottom w:val="none" w:sz="0" w:space="0" w:color="auto"/>
            <w:right w:val="none" w:sz="0" w:space="0" w:color="auto"/>
          </w:divBdr>
        </w:div>
      </w:divsChild>
    </w:div>
    <w:div w:id="1672220035">
      <w:bodyDiv w:val="1"/>
      <w:marLeft w:val="0"/>
      <w:marRight w:val="0"/>
      <w:marTop w:val="0"/>
      <w:marBottom w:val="0"/>
      <w:divBdr>
        <w:top w:val="none" w:sz="0" w:space="0" w:color="auto"/>
        <w:left w:val="none" w:sz="0" w:space="0" w:color="auto"/>
        <w:bottom w:val="none" w:sz="0" w:space="0" w:color="auto"/>
        <w:right w:val="none" w:sz="0" w:space="0" w:color="auto"/>
      </w:divBdr>
    </w:div>
    <w:div w:id="1757903206">
      <w:bodyDiv w:val="1"/>
      <w:marLeft w:val="0"/>
      <w:marRight w:val="0"/>
      <w:marTop w:val="0"/>
      <w:marBottom w:val="0"/>
      <w:divBdr>
        <w:top w:val="none" w:sz="0" w:space="0" w:color="auto"/>
        <w:left w:val="none" w:sz="0" w:space="0" w:color="auto"/>
        <w:bottom w:val="none" w:sz="0" w:space="0" w:color="auto"/>
        <w:right w:val="none" w:sz="0" w:space="0" w:color="auto"/>
      </w:divBdr>
    </w:div>
    <w:div w:id="1793983952">
      <w:bodyDiv w:val="1"/>
      <w:marLeft w:val="0"/>
      <w:marRight w:val="0"/>
      <w:marTop w:val="0"/>
      <w:marBottom w:val="0"/>
      <w:divBdr>
        <w:top w:val="none" w:sz="0" w:space="0" w:color="auto"/>
        <w:left w:val="none" w:sz="0" w:space="0" w:color="auto"/>
        <w:bottom w:val="none" w:sz="0" w:space="0" w:color="auto"/>
        <w:right w:val="none" w:sz="0" w:space="0" w:color="auto"/>
      </w:divBdr>
      <w:divsChild>
        <w:div w:id="1581910139">
          <w:marLeft w:val="0"/>
          <w:marRight w:val="0"/>
          <w:marTop w:val="0"/>
          <w:marBottom w:val="0"/>
          <w:divBdr>
            <w:top w:val="none" w:sz="0" w:space="0" w:color="auto"/>
            <w:left w:val="none" w:sz="0" w:space="0" w:color="auto"/>
            <w:bottom w:val="none" w:sz="0" w:space="0" w:color="auto"/>
            <w:right w:val="none" w:sz="0" w:space="0" w:color="auto"/>
          </w:divBdr>
          <w:divsChild>
            <w:div w:id="863852">
              <w:marLeft w:val="0"/>
              <w:marRight w:val="0"/>
              <w:marTop w:val="0"/>
              <w:marBottom w:val="0"/>
              <w:divBdr>
                <w:top w:val="none" w:sz="0" w:space="0" w:color="auto"/>
                <w:left w:val="none" w:sz="0" w:space="0" w:color="auto"/>
                <w:bottom w:val="none" w:sz="0" w:space="0" w:color="auto"/>
                <w:right w:val="none" w:sz="0" w:space="0" w:color="auto"/>
              </w:divBdr>
              <w:divsChild>
                <w:div w:id="1840122320">
                  <w:marLeft w:val="0"/>
                  <w:marRight w:val="0"/>
                  <w:marTop w:val="0"/>
                  <w:marBottom w:val="0"/>
                  <w:divBdr>
                    <w:top w:val="none" w:sz="0" w:space="0" w:color="auto"/>
                    <w:left w:val="none" w:sz="0" w:space="0" w:color="auto"/>
                    <w:bottom w:val="none" w:sz="0" w:space="0" w:color="auto"/>
                    <w:right w:val="none" w:sz="0" w:space="0" w:color="auto"/>
                  </w:divBdr>
                </w:div>
              </w:divsChild>
            </w:div>
            <w:div w:id="135339006">
              <w:marLeft w:val="0"/>
              <w:marRight w:val="0"/>
              <w:marTop w:val="0"/>
              <w:marBottom w:val="0"/>
              <w:divBdr>
                <w:top w:val="none" w:sz="0" w:space="0" w:color="auto"/>
                <w:left w:val="none" w:sz="0" w:space="0" w:color="auto"/>
                <w:bottom w:val="none" w:sz="0" w:space="0" w:color="auto"/>
                <w:right w:val="none" w:sz="0" w:space="0" w:color="auto"/>
              </w:divBdr>
              <w:divsChild>
                <w:div w:id="1093471757">
                  <w:marLeft w:val="0"/>
                  <w:marRight w:val="0"/>
                  <w:marTop w:val="0"/>
                  <w:marBottom w:val="0"/>
                  <w:divBdr>
                    <w:top w:val="none" w:sz="0" w:space="0" w:color="auto"/>
                    <w:left w:val="none" w:sz="0" w:space="0" w:color="auto"/>
                    <w:bottom w:val="none" w:sz="0" w:space="0" w:color="auto"/>
                    <w:right w:val="none" w:sz="0" w:space="0" w:color="auto"/>
                  </w:divBdr>
                </w:div>
              </w:divsChild>
            </w:div>
            <w:div w:id="1519542585">
              <w:marLeft w:val="0"/>
              <w:marRight w:val="0"/>
              <w:marTop w:val="0"/>
              <w:marBottom w:val="0"/>
              <w:divBdr>
                <w:top w:val="none" w:sz="0" w:space="0" w:color="auto"/>
                <w:left w:val="none" w:sz="0" w:space="0" w:color="auto"/>
                <w:bottom w:val="none" w:sz="0" w:space="0" w:color="auto"/>
                <w:right w:val="none" w:sz="0" w:space="0" w:color="auto"/>
              </w:divBdr>
              <w:divsChild>
                <w:div w:id="87157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879553">
      <w:bodyDiv w:val="1"/>
      <w:marLeft w:val="0"/>
      <w:marRight w:val="0"/>
      <w:marTop w:val="0"/>
      <w:marBottom w:val="0"/>
      <w:divBdr>
        <w:top w:val="none" w:sz="0" w:space="0" w:color="auto"/>
        <w:left w:val="none" w:sz="0" w:space="0" w:color="auto"/>
        <w:bottom w:val="none" w:sz="0" w:space="0" w:color="auto"/>
        <w:right w:val="none" w:sz="0" w:space="0" w:color="auto"/>
      </w:divBdr>
    </w:div>
    <w:div w:id="1856841600">
      <w:bodyDiv w:val="1"/>
      <w:marLeft w:val="0"/>
      <w:marRight w:val="0"/>
      <w:marTop w:val="0"/>
      <w:marBottom w:val="0"/>
      <w:divBdr>
        <w:top w:val="none" w:sz="0" w:space="0" w:color="auto"/>
        <w:left w:val="none" w:sz="0" w:space="0" w:color="auto"/>
        <w:bottom w:val="none" w:sz="0" w:space="0" w:color="auto"/>
        <w:right w:val="none" w:sz="0" w:space="0" w:color="auto"/>
      </w:divBdr>
    </w:div>
    <w:div w:id="1930653120">
      <w:bodyDiv w:val="1"/>
      <w:marLeft w:val="0"/>
      <w:marRight w:val="0"/>
      <w:marTop w:val="0"/>
      <w:marBottom w:val="0"/>
      <w:divBdr>
        <w:top w:val="none" w:sz="0" w:space="0" w:color="auto"/>
        <w:left w:val="none" w:sz="0" w:space="0" w:color="auto"/>
        <w:bottom w:val="none" w:sz="0" w:space="0" w:color="auto"/>
        <w:right w:val="none" w:sz="0" w:space="0" w:color="auto"/>
      </w:divBdr>
    </w:div>
    <w:div w:id="1991128439">
      <w:bodyDiv w:val="1"/>
      <w:marLeft w:val="0"/>
      <w:marRight w:val="0"/>
      <w:marTop w:val="0"/>
      <w:marBottom w:val="0"/>
      <w:divBdr>
        <w:top w:val="none" w:sz="0" w:space="0" w:color="auto"/>
        <w:left w:val="none" w:sz="0" w:space="0" w:color="auto"/>
        <w:bottom w:val="none" w:sz="0" w:space="0" w:color="auto"/>
        <w:right w:val="none" w:sz="0" w:space="0" w:color="auto"/>
      </w:divBdr>
    </w:div>
    <w:div w:id="2044943990">
      <w:bodyDiv w:val="1"/>
      <w:marLeft w:val="0"/>
      <w:marRight w:val="0"/>
      <w:marTop w:val="0"/>
      <w:marBottom w:val="0"/>
      <w:divBdr>
        <w:top w:val="none" w:sz="0" w:space="0" w:color="auto"/>
        <w:left w:val="none" w:sz="0" w:space="0" w:color="auto"/>
        <w:bottom w:val="none" w:sz="0" w:space="0" w:color="auto"/>
        <w:right w:val="none" w:sz="0" w:space="0" w:color="auto"/>
      </w:divBdr>
    </w:div>
    <w:div w:id="2050303057">
      <w:bodyDiv w:val="1"/>
      <w:marLeft w:val="0"/>
      <w:marRight w:val="0"/>
      <w:marTop w:val="0"/>
      <w:marBottom w:val="0"/>
      <w:divBdr>
        <w:top w:val="none" w:sz="0" w:space="0" w:color="auto"/>
        <w:left w:val="none" w:sz="0" w:space="0" w:color="auto"/>
        <w:bottom w:val="none" w:sz="0" w:space="0" w:color="auto"/>
        <w:right w:val="none" w:sz="0" w:space="0" w:color="auto"/>
      </w:divBdr>
    </w:div>
    <w:div w:id="2073691233">
      <w:bodyDiv w:val="1"/>
      <w:marLeft w:val="0"/>
      <w:marRight w:val="0"/>
      <w:marTop w:val="0"/>
      <w:marBottom w:val="0"/>
      <w:divBdr>
        <w:top w:val="none" w:sz="0" w:space="0" w:color="auto"/>
        <w:left w:val="none" w:sz="0" w:space="0" w:color="auto"/>
        <w:bottom w:val="none" w:sz="0" w:space="0" w:color="auto"/>
        <w:right w:val="none" w:sz="0" w:space="0" w:color="auto"/>
      </w:divBdr>
    </w:div>
    <w:div w:id="2143619161">
      <w:bodyDiv w:val="1"/>
      <w:marLeft w:val="0"/>
      <w:marRight w:val="0"/>
      <w:marTop w:val="0"/>
      <w:marBottom w:val="0"/>
      <w:divBdr>
        <w:top w:val="none" w:sz="0" w:space="0" w:color="auto"/>
        <w:left w:val="none" w:sz="0" w:space="0" w:color="auto"/>
        <w:bottom w:val="none" w:sz="0" w:space="0" w:color="auto"/>
        <w:right w:val="none" w:sz="0" w:space="0" w:color="auto"/>
      </w:divBdr>
      <w:divsChild>
        <w:div w:id="634529593">
          <w:marLeft w:val="0"/>
          <w:marRight w:val="0"/>
          <w:marTop w:val="0"/>
          <w:marBottom w:val="0"/>
          <w:divBdr>
            <w:top w:val="none" w:sz="0" w:space="0" w:color="auto"/>
            <w:left w:val="none" w:sz="0" w:space="0" w:color="auto"/>
            <w:bottom w:val="none" w:sz="0" w:space="0" w:color="auto"/>
            <w:right w:val="none" w:sz="0" w:space="0" w:color="auto"/>
          </w:divBdr>
          <w:divsChild>
            <w:div w:id="455296731">
              <w:marLeft w:val="0"/>
              <w:marRight w:val="0"/>
              <w:marTop w:val="0"/>
              <w:marBottom w:val="0"/>
              <w:divBdr>
                <w:top w:val="none" w:sz="0" w:space="0" w:color="auto"/>
                <w:left w:val="none" w:sz="0" w:space="0" w:color="auto"/>
                <w:bottom w:val="none" w:sz="0" w:space="0" w:color="auto"/>
                <w:right w:val="none" w:sz="0" w:space="0" w:color="auto"/>
              </w:divBdr>
            </w:div>
            <w:div w:id="1041586997">
              <w:marLeft w:val="0"/>
              <w:marRight w:val="0"/>
              <w:marTop w:val="0"/>
              <w:marBottom w:val="0"/>
              <w:divBdr>
                <w:top w:val="none" w:sz="0" w:space="0" w:color="auto"/>
                <w:left w:val="none" w:sz="0" w:space="0" w:color="auto"/>
                <w:bottom w:val="none" w:sz="0" w:space="0" w:color="auto"/>
                <w:right w:val="none" w:sz="0" w:space="0" w:color="auto"/>
              </w:divBdr>
            </w:div>
          </w:divsChild>
        </w:div>
        <w:div w:id="676036180">
          <w:marLeft w:val="0"/>
          <w:marRight w:val="0"/>
          <w:marTop w:val="0"/>
          <w:marBottom w:val="0"/>
          <w:divBdr>
            <w:top w:val="none" w:sz="0" w:space="0" w:color="auto"/>
            <w:left w:val="none" w:sz="0" w:space="0" w:color="auto"/>
            <w:bottom w:val="none" w:sz="0" w:space="0" w:color="auto"/>
            <w:right w:val="none" w:sz="0" w:space="0" w:color="auto"/>
          </w:divBdr>
          <w:divsChild>
            <w:div w:id="1138718496">
              <w:marLeft w:val="0"/>
              <w:marRight w:val="0"/>
              <w:marTop w:val="0"/>
              <w:marBottom w:val="0"/>
              <w:divBdr>
                <w:top w:val="none" w:sz="0" w:space="0" w:color="auto"/>
                <w:left w:val="none" w:sz="0" w:space="0" w:color="auto"/>
                <w:bottom w:val="none" w:sz="0" w:space="0" w:color="auto"/>
                <w:right w:val="none" w:sz="0" w:space="0" w:color="auto"/>
              </w:divBdr>
            </w:div>
            <w:div w:id="25325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evo-world.org/en/products-services-mainmenu-en/protocols/ipmvp" TargetMode="External"/><Relationship Id="rId26" Type="http://schemas.openxmlformats.org/officeDocument/2006/relationships/image" Target="media/image7.png"/><Relationship Id="rId39" Type="http://schemas.openxmlformats.org/officeDocument/2006/relationships/image" Target="media/image20.png"/><Relationship Id="rId21" Type="http://schemas.openxmlformats.org/officeDocument/2006/relationships/image" Target="media/image3.png"/><Relationship Id="rId34" Type="http://schemas.openxmlformats.org/officeDocument/2006/relationships/image" Target="media/image15.png"/><Relationship Id="rId42" Type="http://schemas.openxmlformats.org/officeDocument/2006/relationships/hyperlink" Target="https://www.asz.hu/dokumentumok/helyi_onkormanyzatok_adoztatasi_tevekenysege_20210323.pdf"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fevix.hu/" TargetMode="External"/><Relationship Id="rId29" Type="http://schemas.openxmlformats.org/officeDocument/2006/relationships/image" Target="media/image10.emf"/><Relationship Id="rId11" Type="http://schemas.openxmlformats.org/officeDocument/2006/relationships/hyperlink" Target="https://wires.onlinelibrary.wiley.com/doi/epdf/10.1002/wene.384" TargetMode="External"/><Relationship Id="rId24" Type="http://schemas.openxmlformats.org/officeDocument/2006/relationships/image" Target="media/image5.emf"/><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hyperlink" Target="https://nappalhajtva.budapest.hu/wp-content/uploads/2022/07/Budapest_Nappal-hajtva_Jogi-elemzes_2021.pdf" TargetMode="External"/><Relationship Id="rId5" Type="http://schemas.openxmlformats.org/officeDocument/2006/relationships/numbering" Target="numbering.xml"/><Relationship Id="rId15" Type="http://schemas.openxmlformats.org/officeDocument/2006/relationships/hyperlink" Target="http://blvf.hu/" TargetMode="External"/><Relationship Id="rId23" Type="http://schemas.openxmlformats.org/officeDocument/2006/relationships/image" Target="media/image4.emf"/><Relationship Id="rId28" Type="http://schemas.openxmlformats.org/officeDocument/2006/relationships/image" Target="media/image9.emf"/><Relationship Id="rId36" Type="http://schemas.openxmlformats.org/officeDocument/2006/relationships/image" Target="media/image17.png"/><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nhat.mekh.hu/esco" TargetMode="External"/><Relationship Id="rId31" Type="http://schemas.openxmlformats.org/officeDocument/2006/relationships/image" Target="media/image12.emf"/><Relationship Id="rId44" Type="http://schemas.openxmlformats.org/officeDocument/2006/relationships/hyperlink" Target="https://www.ksh.hu/statszemle_archive/all/2021/2021_10/2021_10_923.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hyperlink" Target="https://nappalhajtva.budapest.hu/" TargetMode="External"/><Relationship Id="rId27" Type="http://schemas.openxmlformats.org/officeDocument/2006/relationships/image" Target="media/image8.png"/><Relationship Id="rId30" Type="http://schemas.openxmlformats.org/officeDocument/2006/relationships/image" Target="media/image11.emf"/><Relationship Id="rId35" Type="http://schemas.openxmlformats.org/officeDocument/2006/relationships/image" Target="media/image16.png"/><Relationship Id="rId43" Type="http://schemas.openxmlformats.org/officeDocument/2006/relationships/hyperlink" Target="https://www.mnb.hu/letoltes/lakaspiaci-jelentes-2022-november-hun.pdf" TargetMode="External"/><Relationship Id="rId48"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kozpenzpalyazat.gov.hu" TargetMode="External"/><Relationship Id="rId17" Type="http://schemas.openxmlformats.org/officeDocument/2006/relationships/hyperlink" Target="http://rev8.hu/" TargetMode="Externa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header" Target="header1.xml"/><Relationship Id="rId20" Type="http://schemas.openxmlformats.org/officeDocument/2006/relationships/hyperlink" Target="https://nappalhajtva.budapest.hu/" TargetMode="External"/><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ksh.hu/apps/hntr.telepules?p_lang=HU&amp;p_id=29744"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7B0BC93A1708B543B91BBBB33C0DB963" ma:contentTypeVersion="11" ma:contentTypeDescription="Új dokumentum létrehozása." ma:contentTypeScope="" ma:versionID="94fb6547de9cd89edbdc1c96a9464353">
  <xsd:schema xmlns:xsd="http://www.w3.org/2001/XMLSchema" xmlns:xs="http://www.w3.org/2001/XMLSchema" xmlns:p="http://schemas.microsoft.com/office/2006/metadata/properties" xmlns:ns2="541f0c58-facf-49fc-aa5f-287c66f8f9dc" targetNamespace="http://schemas.microsoft.com/office/2006/metadata/properties" ma:root="true" ma:fieldsID="610cd751fc8ef544d73dc7d4c106fb2a" ns2:_="">
    <xsd:import namespace="541f0c58-facf-49fc-aa5f-287c66f8f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f0c58-facf-49fc-aa5f-287c66f8f9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4E5A2-B713-4C61-A9BA-6AA2C7E044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CF87F5-3616-47C8-AEA5-D476C3343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f0c58-facf-49fc-aa5f-287c66f8f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AAB70C-A5A8-4DB5-A8BA-A13E3BBB1B07}">
  <ds:schemaRefs>
    <ds:schemaRef ds:uri="http://schemas.microsoft.com/sharepoint/v3/contenttype/forms"/>
  </ds:schemaRefs>
</ds:datastoreItem>
</file>

<file path=customXml/itemProps4.xml><?xml version="1.0" encoding="utf-8"?>
<ds:datastoreItem xmlns:ds="http://schemas.openxmlformats.org/officeDocument/2006/customXml" ds:itemID="{98B6823D-E7ED-4EE2-BF39-7C68CE3B4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12681</Words>
  <Characters>87500</Characters>
  <Application>Microsoft Office Word</Application>
  <DocSecurity>0</DocSecurity>
  <Lines>729</Lines>
  <Paragraphs>199</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Budapest-Csepel Önkormányzata</Company>
  <LinksUpToDate>false</LinksUpToDate>
  <CharactersWithSpaces>99982</CharactersWithSpaces>
  <SharedDoc>false</SharedDoc>
  <HLinks>
    <vt:vector size="6" baseType="variant">
      <vt:variant>
        <vt:i4>917613</vt:i4>
      </vt:variant>
      <vt:variant>
        <vt:i4>0</vt:i4>
      </vt:variant>
      <vt:variant>
        <vt:i4>0</vt:i4>
      </vt:variant>
      <vt:variant>
        <vt:i4>5</vt:i4>
      </vt:variant>
      <vt:variant>
        <vt:lpwstr>mailto:hitesy.agnes@hbhe.hu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ebeleznay@yahoo.com</dc:creator>
  <cp:lastModifiedBy>Tóth Csaba</cp:lastModifiedBy>
  <cp:revision>4</cp:revision>
  <cp:lastPrinted>2017-11-27T08:48:00Z</cp:lastPrinted>
  <dcterms:created xsi:type="dcterms:W3CDTF">2023-05-07T10:54:00Z</dcterms:created>
  <dcterms:modified xsi:type="dcterms:W3CDTF">2023-05-10T07:34:00Z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0x0101007B0BC93A1708B543B91BBBB33C0DB963</vt:lpwstr>
  </property>
</Properties>
</file>