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2D9F1" w14:textId="1681B150" w:rsidR="001C71F4" w:rsidRDefault="001C71F4" w:rsidP="001C71F4">
      <w:pPr>
        <w:spacing w:line="560" w:lineRule="exact"/>
        <w:ind w:left="-1134"/>
        <w:jc w:val="center"/>
        <w:rPr>
          <w:rFonts w:ascii="Source Sans Pro Black" w:hAnsi="Source Sans Pro Black"/>
          <w:color w:val="FFFFFF"/>
          <w:sz w:val="56"/>
          <w:szCs w:val="56"/>
        </w:rPr>
      </w:pPr>
      <w:r w:rsidRPr="00AC687F">
        <w:rPr>
          <w:noProof/>
          <w:lang w:eastAsia="hu-HU"/>
        </w:rPr>
        <w:drawing>
          <wp:anchor distT="0" distB="0" distL="114300" distR="114300" simplePos="0" relativeHeight="251659264" behindDoc="1" locked="0" layoutInCell="1" allowOverlap="1" wp14:anchorId="0FEE5548" wp14:editId="11F78FFD">
            <wp:simplePos x="0" y="0"/>
            <wp:positionH relativeFrom="margin">
              <wp:posOffset>-921060</wp:posOffset>
            </wp:positionH>
            <wp:positionV relativeFrom="margin">
              <wp:posOffset>-892979</wp:posOffset>
            </wp:positionV>
            <wp:extent cx="7601888" cy="10685802"/>
            <wp:effectExtent l="0" t="0" r="0" b="1270"/>
            <wp:wrapNone/>
            <wp:docPr id="2" name="Image 1" descr="Description : Macintosh HD:Users:umberto:Documents:EN_COURS:CLIMATE ALLIANCE:fond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Macintosh HD:Users:umberto:Documents:EN_COURS:CLIMATE ALLIANCE:fondcou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13229" cy="107017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B40F7" w14:textId="77777777" w:rsidR="001C71F4" w:rsidRDefault="001C71F4" w:rsidP="001C71F4">
      <w:pPr>
        <w:spacing w:line="560" w:lineRule="exact"/>
        <w:ind w:left="-1134"/>
        <w:jc w:val="center"/>
        <w:rPr>
          <w:rFonts w:ascii="Source Sans Pro Black" w:hAnsi="Source Sans Pro Black"/>
          <w:color w:val="FFFFFF"/>
          <w:sz w:val="56"/>
          <w:szCs w:val="56"/>
        </w:rPr>
      </w:pPr>
    </w:p>
    <w:p w14:paraId="18A81340" w14:textId="77777777" w:rsidR="001C71F4" w:rsidRDefault="001C71F4" w:rsidP="001C71F4">
      <w:pPr>
        <w:spacing w:line="560" w:lineRule="exact"/>
        <w:ind w:left="-1134"/>
        <w:jc w:val="center"/>
        <w:rPr>
          <w:rFonts w:ascii="Source Sans Pro Black" w:hAnsi="Source Sans Pro Black"/>
          <w:color w:val="FFFFFF"/>
          <w:sz w:val="56"/>
          <w:szCs w:val="56"/>
        </w:rPr>
      </w:pPr>
    </w:p>
    <w:p w14:paraId="6354DA8C" w14:textId="77777777" w:rsidR="001C71F4" w:rsidRDefault="001C71F4" w:rsidP="001C71F4">
      <w:pPr>
        <w:spacing w:line="560" w:lineRule="exact"/>
        <w:ind w:left="-1134"/>
        <w:jc w:val="center"/>
        <w:rPr>
          <w:rFonts w:ascii="Source Sans Pro Black" w:hAnsi="Source Sans Pro Black"/>
          <w:color w:val="FFFFFF"/>
          <w:sz w:val="56"/>
          <w:szCs w:val="56"/>
        </w:rPr>
      </w:pPr>
    </w:p>
    <w:p w14:paraId="466F1333" w14:textId="77777777" w:rsidR="001C71F4" w:rsidRDefault="001C71F4" w:rsidP="001C71F4">
      <w:pPr>
        <w:spacing w:line="560" w:lineRule="exact"/>
        <w:ind w:left="-1134"/>
        <w:jc w:val="center"/>
        <w:rPr>
          <w:rFonts w:ascii="Source Sans Pro Black" w:hAnsi="Source Sans Pro Black"/>
          <w:color w:val="FFFFFF"/>
          <w:sz w:val="56"/>
          <w:szCs w:val="56"/>
        </w:rPr>
      </w:pPr>
    </w:p>
    <w:p w14:paraId="77D6B4CF" w14:textId="77777777" w:rsidR="001C71F4" w:rsidRDefault="001C71F4" w:rsidP="001C71F4">
      <w:pPr>
        <w:spacing w:line="560" w:lineRule="exact"/>
        <w:ind w:left="-1134"/>
        <w:jc w:val="center"/>
        <w:rPr>
          <w:rFonts w:ascii="Source Sans Pro Black" w:hAnsi="Source Sans Pro Black"/>
          <w:color w:val="FFFFFF"/>
          <w:sz w:val="56"/>
          <w:szCs w:val="56"/>
        </w:rPr>
      </w:pPr>
    </w:p>
    <w:p w14:paraId="67585CB8" w14:textId="77777777" w:rsidR="001C71F4" w:rsidRDefault="001C71F4" w:rsidP="001C71F4">
      <w:pPr>
        <w:spacing w:line="560" w:lineRule="exact"/>
        <w:ind w:left="-1134"/>
        <w:jc w:val="center"/>
        <w:rPr>
          <w:rFonts w:ascii="Source Sans Pro Black" w:hAnsi="Source Sans Pro Black"/>
          <w:color w:val="FFFFFF"/>
          <w:sz w:val="56"/>
          <w:szCs w:val="56"/>
        </w:rPr>
      </w:pPr>
    </w:p>
    <w:p w14:paraId="01B10623" w14:textId="77777777" w:rsidR="001C71F4" w:rsidRDefault="001C71F4" w:rsidP="001C71F4">
      <w:pPr>
        <w:spacing w:line="560" w:lineRule="exact"/>
        <w:ind w:left="-1134"/>
        <w:jc w:val="center"/>
        <w:rPr>
          <w:rFonts w:ascii="Source Sans Pro Black" w:hAnsi="Source Sans Pro Black"/>
          <w:color w:val="FFFFFF"/>
          <w:sz w:val="56"/>
          <w:szCs w:val="56"/>
        </w:rPr>
      </w:pPr>
    </w:p>
    <w:p w14:paraId="16D76D2C" w14:textId="77777777" w:rsidR="001C71F4" w:rsidRDefault="001C71F4" w:rsidP="001C71F4">
      <w:pPr>
        <w:spacing w:line="560" w:lineRule="exact"/>
        <w:ind w:left="-1134"/>
        <w:jc w:val="center"/>
        <w:rPr>
          <w:rFonts w:ascii="Source Sans Pro Black" w:hAnsi="Source Sans Pro Black"/>
          <w:color w:val="FFFFFF"/>
          <w:sz w:val="56"/>
          <w:szCs w:val="56"/>
        </w:rPr>
      </w:pPr>
    </w:p>
    <w:p w14:paraId="1D3F04C4" w14:textId="77777777" w:rsidR="001C71F4" w:rsidRDefault="001C71F4" w:rsidP="001C71F4">
      <w:pPr>
        <w:spacing w:line="560" w:lineRule="exact"/>
        <w:ind w:left="-1134"/>
        <w:jc w:val="center"/>
        <w:rPr>
          <w:rFonts w:ascii="Source Sans Pro Black" w:hAnsi="Source Sans Pro Black"/>
          <w:color w:val="FFFFFF"/>
          <w:sz w:val="56"/>
          <w:szCs w:val="56"/>
        </w:rPr>
      </w:pPr>
    </w:p>
    <w:p w14:paraId="5A3493AD" w14:textId="77777777" w:rsidR="001C71F4" w:rsidRDefault="001C71F4" w:rsidP="001C71F4">
      <w:pPr>
        <w:spacing w:line="560" w:lineRule="exact"/>
        <w:jc w:val="center"/>
        <w:rPr>
          <w:rFonts w:ascii="Source Sans Pro Black" w:hAnsi="Source Sans Pro Black"/>
          <w:color w:val="FFFFFF"/>
          <w:sz w:val="56"/>
          <w:szCs w:val="56"/>
        </w:rPr>
      </w:pPr>
    </w:p>
    <w:p w14:paraId="7C942DAF" w14:textId="3AF16821" w:rsidR="001C71F4" w:rsidRPr="00AC687F" w:rsidRDefault="001C71F4" w:rsidP="001C71F4">
      <w:pPr>
        <w:spacing w:line="560" w:lineRule="exact"/>
        <w:jc w:val="center"/>
        <w:rPr>
          <w:rFonts w:ascii="Source Sans Pro Black" w:hAnsi="Source Sans Pro Black"/>
          <w:color w:val="FFFFFF"/>
          <w:sz w:val="56"/>
          <w:szCs w:val="56"/>
        </w:rPr>
      </w:pPr>
      <w:r w:rsidRPr="00AC687F">
        <w:rPr>
          <w:rFonts w:ascii="Source Sans Pro Black" w:hAnsi="Source Sans Pro Black"/>
          <w:color w:val="FFFFFF"/>
          <w:sz w:val="56"/>
          <w:szCs w:val="56"/>
        </w:rPr>
        <w:t>EUROPEAN CITY FACILITY</w:t>
      </w:r>
      <w:r>
        <w:rPr>
          <w:rFonts w:ascii="Source Sans Pro Black" w:hAnsi="Source Sans Pro Black"/>
          <w:color w:val="FFFFFF"/>
          <w:sz w:val="56"/>
          <w:szCs w:val="56"/>
        </w:rPr>
        <w:br/>
      </w:r>
      <w:r w:rsidRPr="00AC687F">
        <w:rPr>
          <w:rFonts w:ascii="Source Sans Pro Black" w:hAnsi="Source Sans Pro Black"/>
          <w:color w:val="FFFFFF"/>
          <w:sz w:val="56"/>
          <w:szCs w:val="56"/>
        </w:rPr>
        <w:t>Beruházási Koncepció</w:t>
      </w:r>
    </w:p>
    <w:p w14:paraId="40837794" w14:textId="48C707C3" w:rsidR="001C71F4" w:rsidRPr="00AC687F" w:rsidRDefault="001C71F4" w:rsidP="001C71F4">
      <w:pPr>
        <w:tabs>
          <w:tab w:val="left" w:pos="284"/>
        </w:tabs>
        <w:rPr>
          <w:rFonts w:ascii="Source Sans Pro" w:hAnsi="Source Sans Pro"/>
          <w:color w:val="4B93BF"/>
          <w:sz w:val="17"/>
          <w:szCs w:val="17"/>
        </w:rPr>
      </w:pPr>
      <w:r w:rsidRPr="00AC687F">
        <w:rPr>
          <w:noProof/>
          <w:lang w:eastAsia="hu-HU"/>
        </w:rPr>
        <w:drawing>
          <wp:anchor distT="0" distB="0" distL="114300" distR="114300" simplePos="0" relativeHeight="251663360" behindDoc="0" locked="0" layoutInCell="1" allowOverlap="1" wp14:anchorId="6AEA21E9" wp14:editId="1423C2B5">
            <wp:simplePos x="0" y="0"/>
            <wp:positionH relativeFrom="column">
              <wp:posOffset>-453346</wp:posOffset>
            </wp:positionH>
            <wp:positionV relativeFrom="page">
              <wp:posOffset>9398355</wp:posOffset>
            </wp:positionV>
            <wp:extent cx="755650" cy="865505"/>
            <wp:effectExtent l="0" t="0" r="6350" b="0"/>
            <wp:wrapNone/>
            <wp:docPr id="5" name="Image 1" descr="Description : Macintosh HD:Users:umberto:Documents:EN_COURS:CLIMATE ALLIANCE:logo_EUCF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Macintosh HD:Users:umberto:Documents:EN_COURS:CLIMATE ALLIANCE:logo_EUCF_Blan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650" cy="865505"/>
                    </a:xfrm>
                    <a:prstGeom prst="rect">
                      <a:avLst/>
                    </a:prstGeom>
                    <a:noFill/>
                    <a:ln>
                      <a:noFill/>
                    </a:ln>
                  </pic:spPr>
                </pic:pic>
              </a:graphicData>
            </a:graphic>
          </wp:anchor>
        </w:drawing>
      </w:r>
      <w:r w:rsidRPr="00AC687F">
        <w:rPr>
          <w:noProof/>
          <w:lang w:eastAsia="hu-HU"/>
        </w:rPr>
        <w:drawing>
          <wp:anchor distT="0" distB="0" distL="114300" distR="114300" simplePos="0" relativeHeight="251661312" behindDoc="1" locked="0" layoutInCell="1" allowOverlap="1" wp14:anchorId="531727C3" wp14:editId="48424281">
            <wp:simplePos x="0" y="0"/>
            <wp:positionH relativeFrom="margin">
              <wp:align>center</wp:align>
            </wp:positionH>
            <wp:positionV relativeFrom="page">
              <wp:posOffset>1698477</wp:posOffset>
            </wp:positionV>
            <wp:extent cx="3600450" cy="3600450"/>
            <wp:effectExtent l="0" t="0" r="0" b="0"/>
            <wp:wrapNone/>
            <wp:docPr id="3" name="Image 2" descr="Description : Macintosh HD:Users:umberto:Documents:EN_COURS:CLIMATE ALLIANCE:logo_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acintosh HD:Users:umberto:Documents:EN_COURS:CLIMATE ALLIANCE:logo_blanc.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anchor>
        </w:drawing>
      </w:r>
      <w:r>
        <w:rPr>
          <w:noProof/>
          <w:lang w:val="de-DE" w:eastAsia="de-DE"/>
        </w:rPr>
        <w:br w:type="page"/>
      </w:r>
    </w:p>
    <w:p w14:paraId="77F2AC2C" w14:textId="30D30A99" w:rsidR="001C71F4" w:rsidRDefault="001C71F4" w:rsidP="004E2881">
      <w:pPr>
        <w:jc w:val="center"/>
      </w:pPr>
    </w:p>
    <w:p w14:paraId="5B1E194F" w14:textId="2CBDC132" w:rsidR="004E2881" w:rsidRDefault="004E2881" w:rsidP="004E2881">
      <w:pPr>
        <w:jc w:val="center"/>
      </w:pPr>
    </w:p>
    <w:p w14:paraId="06A9584F" w14:textId="29AD8A92" w:rsidR="004E2881" w:rsidRDefault="004E2881" w:rsidP="004E2881">
      <w:pPr>
        <w:jc w:val="center"/>
      </w:pPr>
    </w:p>
    <w:p w14:paraId="74A19665" w14:textId="74EB161E" w:rsidR="004E2881" w:rsidRDefault="004E2881" w:rsidP="004E2881">
      <w:pPr>
        <w:jc w:val="center"/>
      </w:pPr>
      <w:r w:rsidRPr="00685C6D">
        <w:rPr>
          <w:rFonts w:ascii="Source Sans Pro" w:hAnsi="Source Sans Pro"/>
          <w:noProof/>
          <w:color w:val="575757"/>
          <w:sz w:val="20"/>
          <w:lang w:eastAsia="hu-HU"/>
        </w:rPr>
        <w:drawing>
          <wp:anchor distT="0" distB="0" distL="114300" distR="114300" simplePos="0" relativeHeight="251665408" behindDoc="1" locked="0" layoutInCell="1" allowOverlap="1" wp14:anchorId="36183EE4" wp14:editId="64859D29">
            <wp:simplePos x="0" y="0"/>
            <wp:positionH relativeFrom="margin">
              <wp:posOffset>461010</wp:posOffset>
            </wp:positionH>
            <wp:positionV relativeFrom="margin">
              <wp:posOffset>1361145</wp:posOffset>
            </wp:positionV>
            <wp:extent cx="4838700" cy="4216400"/>
            <wp:effectExtent l="0" t="0" r="0" b="0"/>
            <wp:wrapNone/>
            <wp:docPr id="14" name="Grafik 14" descr="Macintosh HD:Users:umberto:Documents:EN_COURS:CLIMATE ALLIANCE: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fon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8700" cy="4216400"/>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anchor>
        </w:drawing>
      </w:r>
    </w:p>
    <w:p w14:paraId="6B523474" w14:textId="5C2838E8" w:rsidR="004E2881" w:rsidRDefault="004E2881" w:rsidP="004E2881">
      <w:pPr>
        <w:jc w:val="center"/>
      </w:pPr>
    </w:p>
    <w:p w14:paraId="04CB7EB5" w14:textId="432C2883" w:rsidR="004E2881" w:rsidRDefault="004E2881" w:rsidP="004E2881">
      <w:pPr>
        <w:jc w:val="center"/>
      </w:pPr>
    </w:p>
    <w:p w14:paraId="640739F7" w14:textId="7DFE13B0" w:rsidR="004E2881" w:rsidRDefault="004E2881" w:rsidP="004E2881">
      <w:pPr>
        <w:jc w:val="center"/>
      </w:pPr>
    </w:p>
    <w:p w14:paraId="4BF9583E" w14:textId="37BB10AD" w:rsidR="004E2881" w:rsidRDefault="004E2881" w:rsidP="004E2881">
      <w:pPr>
        <w:jc w:val="center"/>
      </w:pPr>
    </w:p>
    <w:p w14:paraId="1E7B81A2" w14:textId="0328F3F4" w:rsidR="004E2881" w:rsidRDefault="004E2881" w:rsidP="004E2881">
      <w:pPr>
        <w:jc w:val="center"/>
      </w:pPr>
    </w:p>
    <w:p w14:paraId="552391C9" w14:textId="77777777" w:rsidR="004E2881" w:rsidRDefault="004E2881" w:rsidP="004E2881">
      <w:pPr>
        <w:jc w:val="center"/>
      </w:pPr>
    </w:p>
    <w:p w14:paraId="32ADA89F" w14:textId="4B2A9FF2" w:rsidR="004E2881" w:rsidRDefault="004E2881" w:rsidP="004E2881">
      <w:pPr>
        <w:jc w:val="center"/>
      </w:pPr>
    </w:p>
    <w:p w14:paraId="58AA8D02" w14:textId="77777777" w:rsidR="004E2881" w:rsidRPr="00AC687F" w:rsidRDefault="004E2881" w:rsidP="004E2881">
      <w:pPr>
        <w:tabs>
          <w:tab w:val="left" w:pos="284"/>
        </w:tabs>
        <w:spacing w:line="360" w:lineRule="exact"/>
        <w:jc w:val="center"/>
        <w:rPr>
          <w:rFonts w:ascii="Source Sans Pro Black" w:hAnsi="Source Sans Pro Black"/>
          <w:color w:val="575757"/>
          <w:sz w:val="36"/>
          <w:szCs w:val="36"/>
        </w:rPr>
      </w:pPr>
    </w:p>
    <w:p w14:paraId="21F065C9" w14:textId="77777777" w:rsidR="004E2881" w:rsidRPr="00AC687F" w:rsidRDefault="004E2881" w:rsidP="004E2881">
      <w:pPr>
        <w:tabs>
          <w:tab w:val="left" w:pos="284"/>
        </w:tabs>
        <w:spacing w:line="360" w:lineRule="exact"/>
        <w:jc w:val="center"/>
        <w:rPr>
          <w:rFonts w:ascii="Source Sans Pro Black" w:hAnsi="Source Sans Pro Black"/>
          <w:color w:val="575757"/>
          <w:sz w:val="36"/>
          <w:szCs w:val="36"/>
        </w:rPr>
      </w:pPr>
      <w:r w:rsidRPr="00612E76">
        <w:rPr>
          <w:rFonts w:ascii="Source Sans Pro Black" w:hAnsi="Source Sans Pro Black"/>
          <w:color w:val="575757"/>
          <w:sz w:val="36"/>
          <w:szCs w:val="36"/>
        </w:rPr>
        <w:t>Energiahatékony beruházások finanszírozása energiatakarékosságon keresztül</w:t>
      </w:r>
    </w:p>
    <w:p w14:paraId="3D46EBFE" w14:textId="77777777" w:rsidR="004E2881" w:rsidRDefault="004E2881" w:rsidP="004E2881">
      <w:pPr>
        <w:jc w:val="center"/>
      </w:pPr>
    </w:p>
    <w:p w14:paraId="595D1A9C" w14:textId="3336404C" w:rsidR="001C71F4" w:rsidRDefault="001C71F4" w:rsidP="004E2881">
      <w:pPr>
        <w:jc w:val="center"/>
      </w:pPr>
    </w:p>
    <w:p w14:paraId="3C27AC97" w14:textId="5914F5F2" w:rsidR="004E2881" w:rsidRDefault="004E2881" w:rsidP="004E2881">
      <w:pPr>
        <w:jc w:val="center"/>
      </w:pPr>
    </w:p>
    <w:p w14:paraId="142C1DA2" w14:textId="6AC37D31" w:rsidR="004E2881" w:rsidRDefault="004E2881" w:rsidP="004E2881">
      <w:pPr>
        <w:jc w:val="center"/>
      </w:pPr>
    </w:p>
    <w:p w14:paraId="15D05FA6" w14:textId="68A6B9A8" w:rsidR="004E2881" w:rsidRDefault="007501CF" w:rsidP="004E2881">
      <w:pPr>
        <w:jc w:val="center"/>
      </w:pPr>
      <w:r>
        <w:rPr>
          <w:rFonts w:ascii="Source Sans Pro Black" w:hAnsi="Source Sans Pro Black"/>
          <w:noProof/>
          <w:color w:val="575756"/>
          <w:sz w:val="36"/>
          <w:szCs w:val="36"/>
          <w:lang w:eastAsia="hu-HU"/>
        </w:rPr>
        <w:drawing>
          <wp:anchor distT="0" distB="0" distL="114300" distR="114300" simplePos="0" relativeHeight="251667456" behindDoc="0" locked="0" layoutInCell="1" allowOverlap="1" wp14:anchorId="28417E4F" wp14:editId="5F2D61B5">
            <wp:simplePos x="0" y="0"/>
            <wp:positionH relativeFrom="margin">
              <wp:align>center</wp:align>
            </wp:positionH>
            <wp:positionV relativeFrom="paragraph">
              <wp:posOffset>137408</wp:posOffset>
            </wp:positionV>
            <wp:extent cx="2265045" cy="730250"/>
            <wp:effectExtent l="0" t="0" r="1905" b="0"/>
            <wp:wrapNone/>
            <wp:docPr id="4" name="Kép 4"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szöveg látható&#10;&#10;Automatikusan generált leírá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65045" cy="730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77C74B" w14:textId="0525672F" w:rsidR="004E2881" w:rsidRDefault="004E2881" w:rsidP="004E2881">
      <w:pPr>
        <w:jc w:val="center"/>
      </w:pPr>
    </w:p>
    <w:p w14:paraId="06F42EE0" w14:textId="60B6EEB6" w:rsidR="004E2881" w:rsidRDefault="004E2881" w:rsidP="004E2881">
      <w:pPr>
        <w:jc w:val="center"/>
      </w:pPr>
    </w:p>
    <w:p w14:paraId="7E2C2344" w14:textId="77777777" w:rsidR="004E2881" w:rsidRDefault="004E2881" w:rsidP="004E2881">
      <w:pPr>
        <w:tabs>
          <w:tab w:val="left" w:pos="284"/>
        </w:tabs>
        <w:spacing w:line="240" w:lineRule="atLeast"/>
        <w:rPr>
          <w:rFonts w:ascii="Source Sans Pro Black" w:hAnsi="Source Sans Pro Black"/>
          <w:color w:val="0069A9"/>
          <w:sz w:val="28"/>
          <w:szCs w:val="28"/>
        </w:rPr>
      </w:pPr>
    </w:p>
    <w:p w14:paraId="04D414C1" w14:textId="77777777" w:rsidR="007501CF" w:rsidRDefault="007501CF" w:rsidP="004E2881">
      <w:pPr>
        <w:tabs>
          <w:tab w:val="left" w:pos="284"/>
        </w:tabs>
        <w:spacing w:line="240" w:lineRule="atLeast"/>
        <w:rPr>
          <w:rFonts w:ascii="Source Sans Pro Black" w:hAnsi="Source Sans Pro Black"/>
          <w:color w:val="0069A9"/>
          <w:sz w:val="28"/>
          <w:szCs w:val="28"/>
        </w:rPr>
      </w:pPr>
    </w:p>
    <w:p w14:paraId="7EC971BF" w14:textId="0F9A2FFF" w:rsidR="004E2881" w:rsidRPr="00AC687F" w:rsidRDefault="004E2881" w:rsidP="006A5ECE">
      <w:pPr>
        <w:tabs>
          <w:tab w:val="left" w:pos="284"/>
        </w:tabs>
        <w:spacing w:line="240" w:lineRule="atLeast"/>
        <w:jc w:val="center"/>
        <w:rPr>
          <w:rFonts w:ascii="Source Sans Pro Black" w:hAnsi="Source Sans Pro Black"/>
          <w:color w:val="0069A9"/>
          <w:sz w:val="28"/>
          <w:szCs w:val="28"/>
        </w:rPr>
      </w:pPr>
      <w:r w:rsidRPr="00AC687F">
        <w:rPr>
          <w:rFonts w:ascii="Source Sans Pro Black" w:hAnsi="Source Sans Pro Black"/>
          <w:color w:val="0069A9"/>
          <w:sz w:val="28"/>
          <w:szCs w:val="28"/>
        </w:rPr>
        <w:t>Kész</w:t>
      </w:r>
      <w:r>
        <w:rPr>
          <w:rFonts w:ascii="Source Sans Pro Black" w:hAnsi="Source Sans Pro Black"/>
          <w:color w:val="0069A9"/>
          <w:sz w:val="28"/>
          <w:szCs w:val="28"/>
        </w:rPr>
        <w:t>ült</w:t>
      </w:r>
      <w:r w:rsidRPr="00AC687F">
        <w:rPr>
          <w:rFonts w:ascii="Source Sans Pro Black" w:hAnsi="Source Sans Pro Black"/>
          <w:color w:val="0069A9"/>
          <w:sz w:val="28"/>
          <w:szCs w:val="28"/>
        </w:rPr>
        <w:t xml:space="preserve">: </w:t>
      </w:r>
      <w:r>
        <w:rPr>
          <w:rFonts w:ascii="Source Sans Pro Black" w:hAnsi="Source Sans Pro Black"/>
          <w:color w:val="0069A9"/>
          <w:sz w:val="28"/>
          <w:szCs w:val="28"/>
        </w:rPr>
        <w:t>202</w:t>
      </w:r>
      <w:r w:rsidR="006A5ECE">
        <w:rPr>
          <w:rFonts w:ascii="Source Sans Pro Black" w:hAnsi="Source Sans Pro Black"/>
          <w:color w:val="0069A9"/>
          <w:sz w:val="28"/>
          <w:szCs w:val="28"/>
        </w:rPr>
        <w:t>3</w:t>
      </w:r>
      <w:r>
        <w:rPr>
          <w:rFonts w:ascii="Source Sans Pro Black" w:hAnsi="Source Sans Pro Black"/>
          <w:color w:val="0069A9"/>
          <w:sz w:val="28"/>
          <w:szCs w:val="28"/>
        </w:rPr>
        <w:t>.0</w:t>
      </w:r>
      <w:r w:rsidR="006A5ECE">
        <w:rPr>
          <w:rFonts w:ascii="Source Sans Pro Black" w:hAnsi="Source Sans Pro Black"/>
          <w:color w:val="0069A9"/>
          <w:sz w:val="28"/>
          <w:szCs w:val="28"/>
        </w:rPr>
        <w:t>4</w:t>
      </w:r>
      <w:r>
        <w:rPr>
          <w:rFonts w:ascii="Source Sans Pro Black" w:hAnsi="Source Sans Pro Black"/>
          <w:color w:val="0069A9"/>
          <w:sz w:val="28"/>
          <w:szCs w:val="28"/>
        </w:rPr>
        <w:t>.</w:t>
      </w:r>
      <w:r w:rsidR="006A5ECE">
        <w:rPr>
          <w:rFonts w:ascii="Source Sans Pro Black" w:hAnsi="Source Sans Pro Black"/>
          <w:color w:val="0069A9"/>
          <w:sz w:val="28"/>
          <w:szCs w:val="28"/>
        </w:rPr>
        <w:t>27</w:t>
      </w:r>
      <w:r>
        <w:rPr>
          <w:rFonts w:ascii="Source Sans Pro Black" w:hAnsi="Source Sans Pro Black"/>
          <w:color w:val="0069A9"/>
          <w:sz w:val="28"/>
          <w:szCs w:val="28"/>
        </w:rPr>
        <w:t>.</w:t>
      </w:r>
    </w:p>
    <w:p w14:paraId="111DB103" w14:textId="4A4BE61B" w:rsidR="004E2881" w:rsidRDefault="004E2881" w:rsidP="006A5ECE">
      <w:pPr>
        <w:tabs>
          <w:tab w:val="left" w:pos="284"/>
        </w:tabs>
        <w:spacing w:line="240" w:lineRule="atLeast"/>
        <w:jc w:val="center"/>
        <w:rPr>
          <w:rFonts w:ascii="Source Sans Pro Black" w:hAnsi="Source Sans Pro Black"/>
          <w:color w:val="0069A9"/>
          <w:sz w:val="28"/>
          <w:szCs w:val="28"/>
        </w:rPr>
      </w:pPr>
      <w:r w:rsidRPr="00AC687F">
        <w:rPr>
          <w:rFonts w:ascii="Source Sans Pro Black" w:hAnsi="Source Sans Pro Black"/>
          <w:color w:val="0069A9"/>
          <w:sz w:val="28"/>
          <w:szCs w:val="28"/>
        </w:rPr>
        <w:t xml:space="preserve">Minőségbiztosítás: </w:t>
      </w:r>
      <w:r w:rsidR="006A5ECE" w:rsidRPr="006A5ECE">
        <w:rPr>
          <w:rFonts w:ascii="Source Sans Pro Black" w:hAnsi="Source Sans Pro Black"/>
          <w:color w:val="0069A9"/>
          <w:sz w:val="28"/>
          <w:szCs w:val="28"/>
        </w:rPr>
        <w:t>Budapest Főváros VII. kerület Erzsébetváros Önkormányzata</w:t>
      </w:r>
      <w:r w:rsidR="006A5ECE">
        <w:rPr>
          <w:rFonts w:ascii="Source Sans Pro Black" w:hAnsi="Source Sans Pro Black"/>
          <w:color w:val="0069A9"/>
          <w:sz w:val="28"/>
          <w:szCs w:val="28"/>
        </w:rPr>
        <w:t xml:space="preserve">, </w:t>
      </w:r>
      <w:r w:rsidR="006A5ECE" w:rsidRPr="006A5ECE">
        <w:rPr>
          <w:rFonts w:ascii="Source Sans Pro Black" w:hAnsi="Source Sans Pro Black"/>
          <w:color w:val="0069A9"/>
          <w:sz w:val="28"/>
          <w:szCs w:val="28"/>
        </w:rPr>
        <w:t>Klímavédelmi és Fenntarthatósági Kabinet</w:t>
      </w:r>
    </w:p>
    <w:p w14:paraId="6F037DAE" w14:textId="77777777" w:rsidR="004E2881" w:rsidRDefault="004E2881" w:rsidP="004E2881">
      <w:pPr>
        <w:tabs>
          <w:tab w:val="left" w:pos="284"/>
        </w:tabs>
        <w:spacing w:line="240" w:lineRule="atLeast"/>
        <w:rPr>
          <w:rFonts w:ascii="Source Sans Pro Black" w:hAnsi="Source Sans Pro Black"/>
          <w:color w:val="0069A9"/>
          <w:sz w:val="28"/>
          <w:szCs w:val="28"/>
        </w:rPr>
      </w:pPr>
    </w:p>
    <w:tbl>
      <w:tblPr>
        <w:tblStyle w:val="Rcsostblzat"/>
        <w:tblpPr w:leftFromText="141" w:rightFromText="141" w:vertAnchor="text" w:horzAnchor="margin" w:tblpXSpec="center" w:tblpY="3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tblGrid>
      <w:tr w:rsidR="004E2881" w:rsidRPr="00982B2B" w14:paraId="4C98ADE4" w14:textId="77777777" w:rsidTr="000D3804">
        <w:tc>
          <w:tcPr>
            <w:tcW w:w="1526" w:type="dxa"/>
          </w:tcPr>
          <w:p w14:paraId="4A98F107" w14:textId="77777777" w:rsidR="004E2881" w:rsidRPr="00685C6D" w:rsidRDefault="004E2881" w:rsidP="000D3804">
            <w:pPr>
              <w:pStyle w:val="llb"/>
              <w:rPr>
                <w:rFonts w:ascii="Source Sans Pro" w:hAnsi="Source Sans Pro"/>
                <w:color w:val="575757"/>
              </w:rPr>
            </w:pPr>
            <w:r w:rsidRPr="00685C6D">
              <w:rPr>
                <w:rFonts w:ascii="Source Sans Pro" w:hAnsi="Source Sans Pro"/>
                <w:noProof/>
                <w:color w:val="575757"/>
                <w:lang w:eastAsia="hu-HU"/>
              </w:rPr>
              <w:drawing>
                <wp:anchor distT="0" distB="0" distL="114300" distR="114300" simplePos="0" relativeHeight="251669504" behindDoc="0" locked="0" layoutInCell="1" allowOverlap="1" wp14:anchorId="1853E084" wp14:editId="64D8F5E0">
                  <wp:simplePos x="0" y="0"/>
                  <wp:positionH relativeFrom="column">
                    <wp:posOffset>0</wp:posOffset>
                  </wp:positionH>
                  <wp:positionV relativeFrom="paragraph">
                    <wp:posOffset>40758</wp:posOffset>
                  </wp:positionV>
                  <wp:extent cx="785495" cy="523875"/>
                  <wp:effectExtent l="0" t="0" r="0" b="0"/>
                  <wp:wrapNone/>
                  <wp:docPr id="23" name="Grafik 15" descr="C:\Users\csilk\AppData\Local\Microsoft\Windows\INetCache\Content.Word\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ilk\AppData\Local\Microsoft\Windows\INetCache\Content.Word\flag_yellow_high.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549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tcPr>
          <w:p w14:paraId="686382AA" w14:textId="77777777" w:rsidR="004E2881" w:rsidRPr="00E10622" w:rsidRDefault="004E2881" w:rsidP="000D3804">
            <w:pPr>
              <w:ind w:left="-108"/>
              <w:rPr>
                <w:rFonts w:ascii="Source Sans Pro" w:hAnsi="Source Sans Pro"/>
                <w:color w:val="575757"/>
                <w:lang w:val="hu-HU"/>
              </w:rPr>
            </w:pPr>
            <w:r w:rsidRPr="00E10622">
              <w:rPr>
                <w:rFonts w:ascii="Source Sans Pro" w:hAnsi="Source Sans Pro" w:cs="Open Sans"/>
                <w:color w:val="575757"/>
                <w:sz w:val="16"/>
                <w:szCs w:val="18"/>
                <w:lang w:val="hu-HU"/>
              </w:rPr>
              <w:t>A projekt az Európai Unió Horizont 2020 keretprogramja támogatásával jött létre, a 864212. számú támogatási szerződés révén. A dokumentum tartalmáért kizárólag a szerzők felelnek. Sem a Kkv-ügyi Végrehajtó Ügynökség (EASME), sem az Európai Bizottság nem vonható felelősségre az itt feltüntetett információ bárminemű felhasználásának esetleges következményeiért.</w:t>
            </w:r>
          </w:p>
        </w:tc>
      </w:tr>
    </w:tbl>
    <w:p w14:paraId="2A1D5944" w14:textId="77777777" w:rsidR="004E2881" w:rsidRDefault="004E2881">
      <w:pPr>
        <w:rPr>
          <w:rFonts w:ascii="Source Sans Pro Black" w:hAnsi="Source Sans Pro Black"/>
          <w:color w:val="0069A9"/>
          <w:sz w:val="28"/>
          <w:szCs w:val="28"/>
        </w:rPr>
      </w:pPr>
      <w:r>
        <w:rPr>
          <w:rFonts w:ascii="Source Sans Pro Black" w:hAnsi="Source Sans Pro Black"/>
          <w:color w:val="0069A9"/>
          <w:sz w:val="28"/>
          <w:szCs w:val="28"/>
        </w:rPr>
        <w:br w:type="page"/>
      </w:r>
    </w:p>
    <w:bookmarkStart w:id="0" w:name="_Toc133510153" w:displacedByCustomXml="next"/>
    <w:sdt>
      <w:sdtPr>
        <w:rPr>
          <w:rFonts w:eastAsiaTheme="minorHAnsi" w:cstheme="minorBidi"/>
          <w:b w:val="0"/>
          <w:color w:val="auto"/>
          <w:sz w:val="22"/>
          <w:szCs w:val="22"/>
        </w:rPr>
        <w:id w:val="340674066"/>
        <w:docPartObj>
          <w:docPartGallery w:val="Table of Contents"/>
          <w:docPartUnique/>
        </w:docPartObj>
      </w:sdtPr>
      <w:sdtEndPr>
        <w:rPr>
          <w:bCs/>
        </w:rPr>
      </w:sdtEndPr>
      <w:sdtContent>
        <w:p w14:paraId="732142D9" w14:textId="01EA0751" w:rsidR="000D3804" w:rsidRDefault="000D3804" w:rsidP="00CA2CF4">
          <w:pPr>
            <w:pStyle w:val="Cmsor1"/>
            <w:numPr>
              <w:ilvl w:val="0"/>
              <w:numId w:val="0"/>
            </w:numPr>
            <w:ind w:left="357" w:hanging="357"/>
          </w:pPr>
          <w:r>
            <w:t>Tartalom</w:t>
          </w:r>
          <w:bookmarkEnd w:id="0"/>
        </w:p>
        <w:p w14:paraId="738E25E7" w14:textId="72DB5914" w:rsidR="006F5653" w:rsidRDefault="00F77505">
          <w:pPr>
            <w:pStyle w:val="TJ1"/>
            <w:tabs>
              <w:tab w:val="right" w:leader="dot" w:pos="9062"/>
            </w:tabs>
            <w:rPr>
              <w:rFonts w:eastAsiaTheme="minorEastAsia"/>
              <w:noProof/>
              <w:lang w:eastAsia="hu-HU"/>
            </w:rPr>
          </w:pPr>
          <w:r>
            <w:fldChar w:fldCharType="begin"/>
          </w:r>
          <w:r>
            <w:instrText xml:space="preserve"> TOC \o "1-3" \h \z \u </w:instrText>
          </w:r>
          <w:r>
            <w:fldChar w:fldCharType="separate"/>
          </w:r>
          <w:hyperlink w:anchor="_Toc133510153" w:history="1">
            <w:r w:rsidR="006F5653" w:rsidRPr="00A1138D">
              <w:rPr>
                <w:rStyle w:val="Hiperhivatkozs"/>
                <w:noProof/>
              </w:rPr>
              <w:t>Tartalom</w:t>
            </w:r>
            <w:r w:rsidR="006F5653">
              <w:rPr>
                <w:noProof/>
                <w:webHidden/>
              </w:rPr>
              <w:tab/>
            </w:r>
            <w:r w:rsidR="006F5653">
              <w:rPr>
                <w:noProof/>
                <w:webHidden/>
              </w:rPr>
              <w:fldChar w:fldCharType="begin"/>
            </w:r>
            <w:r w:rsidR="006F5653">
              <w:rPr>
                <w:noProof/>
                <w:webHidden/>
              </w:rPr>
              <w:instrText xml:space="preserve"> PAGEREF _Toc133510153 \h </w:instrText>
            </w:r>
            <w:r w:rsidR="006F5653">
              <w:rPr>
                <w:noProof/>
                <w:webHidden/>
              </w:rPr>
            </w:r>
            <w:r w:rsidR="006F5653">
              <w:rPr>
                <w:noProof/>
                <w:webHidden/>
              </w:rPr>
              <w:fldChar w:fldCharType="separate"/>
            </w:r>
            <w:r w:rsidR="006F5653">
              <w:rPr>
                <w:noProof/>
                <w:webHidden/>
              </w:rPr>
              <w:t>3</w:t>
            </w:r>
            <w:r w:rsidR="006F5653">
              <w:rPr>
                <w:noProof/>
                <w:webHidden/>
              </w:rPr>
              <w:fldChar w:fldCharType="end"/>
            </w:r>
          </w:hyperlink>
        </w:p>
        <w:p w14:paraId="2F510DD9" w14:textId="53000AF8" w:rsidR="006F5653" w:rsidRDefault="00D11EB5">
          <w:pPr>
            <w:pStyle w:val="TJ1"/>
            <w:tabs>
              <w:tab w:val="right" w:leader="dot" w:pos="9062"/>
            </w:tabs>
            <w:rPr>
              <w:rFonts w:eastAsiaTheme="minorEastAsia"/>
              <w:noProof/>
              <w:lang w:eastAsia="hu-HU"/>
            </w:rPr>
          </w:pPr>
          <w:hyperlink w:anchor="_Toc133510154" w:history="1">
            <w:r w:rsidR="006F5653" w:rsidRPr="00A1138D">
              <w:rPr>
                <w:rStyle w:val="Hiperhivatkozs"/>
                <w:noProof/>
              </w:rPr>
              <w:t>A. A tervezett beruházás összefoglalója</w:t>
            </w:r>
            <w:r w:rsidR="006F5653">
              <w:rPr>
                <w:noProof/>
                <w:webHidden/>
              </w:rPr>
              <w:tab/>
            </w:r>
            <w:r w:rsidR="006F5653">
              <w:rPr>
                <w:noProof/>
                <w:webHidden/>
              </w:rPr>
              <w:fldChar w:fldCharType="begin"/>
            </w:r>
            <w:r w:rsidR="006F5653">
              <w:rPr>
                <w:noProof/>
                <w:webHidden/>
              </w:rPr>
              <w:instrText xml:space="preserve"> PAGEREF _Toc133510154 \h </w:instrText>
            </w:r>
            <w:r w:rsidR="006F5653">
              <w:rPr>
                <w:noProof/>
                <w:webHidden/>
              </w:rPr>
            </w:r>
            <w:r w:rsidR="006F5653">
              <w:rPr>
                <w:noProof/>
                <w:webHidden/>
              </w:rPr>
              <w:fldChar w:fldCharType="separate"/>
            </w:r>
            <w:r w:rsidR="006F5653">
              <w:rPr>
                <w:noProof/>
                <w:webHidden/>
              </w:rPr>
              <w:t>5</w:t>
            </w:r>
            <w:r w:rsidR="006F5653">
              <w:rPr>
                <w:noProof/>
                <w:webHidden/>
              </w:rPr>
              <w:fldChar w:fldCharType="end"/>
            </w:r>
          </w:hyperlink>
        </w:p>
        <w:p w14:paraId="538D0C48" w14:textId="22152EEF" w:rsidR="006F5653" w:rsidRDefault="00D11EB5">
          <w:pPr>
            <w:pStyle w:val="TJ1"/>
            <w:tabs>
              <w:tab w:val="right" w:leader="dot" w:pos="9062"/>
            </w:tabs>
            <w:rPr>
              <w:rFonts w:eastAsiaTheme="minorEastAsia"/>
              <w:noProof/>
              <w:lang w:eastAsia="hu-HU"/>
            </w:rPr>
          </w:pPr>
          <w:hyperlink w:anchor="_Toc133510155" w:history="1">
            <w:r w:rsidR="006F5653" w:rsidRPr="00A1138D">
              <w:rPr>
                <w:rStyle w:val="Hiperhivatkozs"/>
                <w:noProof/>
              </w:rPr>
              <w:t>B. Kapcsolat</w:t>
            </w:r>
            <w:r w:rsidR="006F5653">
              <w:rPr>
                <w:noProof/>
                <w:webHidden/>
              </w:rPr>
              <w:tab/>
            </w:r>
            <w:r w:rsidR="006F5653">
              <w:rPr>
                <w:noProof/>
                <w:webHidden/>
              </w:rPr>
              <w:fldChar w:fldCharType="begin"/>
            </w:r>
            <w:r w:rsidR="006F5653">
              <w:rPr>
                <w:noProof/>
                <w:webHidden/>
              </w:rPr>
              <w:instrText xml:space="preserve"> PAGEREF _Toc133510155 \h </w:instrText>
            </w:r>
            <w:r w:rsidR="006F5653">
              <w:rPr>
                <w:noProof/>
                <w:webHidden/>
              </w:rPr>
            </w:r>
            <w:r w:rsidR="006F5653">
              <w:rPr>
                <w:noProof/>
                <w:webHidden/>
              </w:rPr>
              <w:fldChar w:fldCharType="separate"/>
            </w:r>
            <w:r w:rsidR="006F5653">
              <w:rPr>
                <w:noProof/>
                <w:webHidden/>
              </w:rPr>
              <w:t>7</w:t>
            </w:r>
            <w:r w:rsidR="006F5653">
              <w:rPr>
                <w:noProof/>
                <w:webHidden/>
              </w:rPr>
              <w:fldChar w:fldCharType="end"/>
            </w:r>
          </w:hyperlink>
        </w:p>
        <w:p w14:paraId="651D06D0" w14:textId="3D565753" w:rsidR="006F5653" w:rsidRDefault="00D11EB5">
          <w:pPr>
            <w:pStyle w:val="TJ1"/>
            <w:tabs>
              <w:tab w:val="left" w:pos="440"/>
              <w:tab w:val="right" w:leader="dot" w:pos="9062"/>
            </w:tabs>
            <w:rPr>
              <w:rFonts w:eastAsiaTheme="minorEastAsia"/>
              <w:noProof/>
              <w:lang w:eastAsia="hu-HU"/>
            </w:rPr>
          </w:pPr>
          <w:hyperlink w:anchor="_Toc133510156" w:history="1">
            <w:r w:rsidR="006F5653" w:rsidRPr="00A1138D">
              <w:rPr>
                <w:rStyle w:val="Hiperhivatkozs"/>
                <w:noProof/>
              </w:rPr>
              <w:t>1.</w:t>
            </w:r>
            <w:r w:rsidR="006F5653">
              <w:rPr>
                <w:rFonts w:eastAsiaTheme="minorEastAsia"/>
                <w:noProof/>
                <w:lang w:eastAsia="hu-HU"/>
              </w:rPr>
              <w:tab/>
            </w:r>
            <w:r w:rsidR="006F5653" w:rsidRPr="00A1138D">
              <w:rPr>
                <w:rStyle w:val="Hiperhivatkozs"/>
                <w:noProof/>
              </w:rPr>
              <w:t>A tervezett beruházási projekt részletes bemutatása</w:t>
            </w:r>
            <w:r w:rsidR="006F5653">
              <w:rPr>
                <w:noProof/>
                <w:webHidden/>
              </w:rPr>
              <w:tab/>
            </w:r>
            <w:r w:rsidR="006F5653">
              <w:rPr>
                <w:noProof/>
                <w:webHidden/>
              </w:rPr>
              <w:fldChar w:fldCharType="begin"/>
            </w:r>
            <w:r w:rsidR="006F5653">
              <w:rPr>
                <w:noProof/>
                <w:webHidden/>
              </w:rPr>
              <w:instrText xml:space="preserve"> PAGEREF _Toc133510156 \h </w:instrText>
            </w:r>
            <w:r w:rsidR="006F5653">
              <w:rPr>
                <w:noProof/>
                <w:webHidden/>
              </w:rPr>
            </w:r>
            <w:r w:rsidR="006F5653">
              <w:rPr>
                <w:noProof/>
                <w:webHidden/>
              </w:rPr>
              <w:fldChar w:fldCharType="separate"/>
            </w:r>
            <w:r w:rsidR="006F5653">
              <w:rPr>
                <w:noProof/>
                <w:webHidden/>
              </w:rPr>
              <w:t>8</w:t>
            </w:r>
            <w:r w:rsidR="006F5653">
              <w:rPr>
                <w:noProof/>
                <w:webHidden/>
              </w:rPr>
              <w:fldChar w:fldCharType="end"/>
            </w:r>
          </w:hyperlink>
        </w:p>
        <w:p w14:paraId="259B3F8B" w14:textId="6DE1082E" w:rsidR="006F5653" w:rsidRDefault="00D11EB5">
          <w:pPr>
            <w:pStyle w:val="TJ2"/>
            <w:tabs>
              <w:tab w:val="right" w:leader="dot" w:pos="9062"/>
            </w:tabs>
            <w:rPr>
              <w:rFonts w:eastAsiaTheme="minorEastAsia"/>
              <w:noProof/>
              <w:lang w:eastAsia="hu-HU"/>
            </w:rPr>
          </w:pPr>
          <w:hyperlink w:anchor="_Toc133510157" w:history="1">
            <w:r w:rsidR="006F5653" w:rsidRPr="00A1138D">
              <w:rPr>
                <w:rStyle w:val="Hiperhivatkozs"/>
                <w:noProof/>
              </w:rPr>
              <w:t>1.1. A beruházási projekt célkitűzései</w:t>
            </w:r>
            <w:r w:rsidR="006F5653">
              <w:rPr>
                <w:noProof/>
                <w:webHidden/>
              </w:rPr>
              <w:tab/>
            </w:r>
            <w:r w:rsidR="006F5653">
              <w:rPr>
                <w:noProof/>
                <w:webHidden/>
              </w:rPr>
              <w:fldChar w:fldCharType="begin"/>
            </w:r>
            <w:r w:rsidR="006F5653">
              <w:rPr>
                <w:noProof/>
                <w:webHidden/>
              </w:rPr>
              <w:instrText xml:space="preserve"> PAGEREF _Toc133510157 \h </w:instrText>
            </w:r>
            <w:r w:rsidR="006F5653">
              <w:rPr>
                <w:noProof/>
                <w:webHidden/>
              </w:rPr>
            </w:r>
            <w:r w:rsidR="006F5653">
              <w:rPr>
                <w:noProof/>
                <w:webHidden/>
              </w:rPr>
              <w:fldChar w:fldCharType="separate"/>
            </w:r>
            <w:r w:rsidR="006F5653">
              <w:rPr>
                <w:noProof/>
                <w:webHidden/>
              </w:rPr>
              <w:t>8</w:t>
            </w:r>
            <w:r w:rsidR="006F5653">
              <w:rPr>
                <w:noProof/>
                <w:webHidden/>
              </w:rPr>
              <w:fldChar w:fldCharType="end"/>
            </w:r>
          </w:hyperlink>
        </w:p>
        <w:p w14:paraId="4FE17323" w14:textId="7C3D1EFC" w:rsidR="006F5653" w:rsidRDefault="00D11EB5">
          <w:pPr>
            <w:pStyle w:val="TJ2"/>
            <w:tabs>
              <w:tab w:val="right" w:leader="dot" w:pos="9062"/>
            </w:tabs>
            <w:rPr>
              <w:rFonts w:eastAsiaTheme="minorEastAsia"/>
              <w:noProof/>
              <w:lang w:eastAsia="hu-HU"/>
            </w:rPr>
          </w:pPr>
          <w:hyperlink w:anchor="_Toc133510158" w:history="1">
            <w:r w:rsidR="006F5653" w:rsidRPr="00A1138D">
              <w:rPr>
                <w:rStyle w:val="Hiperhivatkozs"/>
                <w:noProof/>
              </w:rPr>
              <w:t>1.2. A projekt általános háttere, kerete és indoklása</w:t>
            </w:r>
            <w:r w:rsidR="006F5653">
              <w:rPr>
                <w:noProof/>
                <w:webHidden/>
              </w:rPr>
              <w:tab/>
            </w:r>
            <w:r w:rsidR="006F5653">
              <w:rPr>
                <w:noProof/>
                <w:webHidden/>
              </w:rPr>
              <w:fldChar w:fldCharType="begin"/>
            </w:r>
            <w:r w:rsidR="006F5653">
              <w:rPr>
                <w:noProof/>
                <w:webHidden/>
              </w:rPr>
              <w:instrText xml:space="preserve"> PAGEREF _Toc133510158 \h </w:instrText>
            </w:r>
            <w:r w:rsidR="006F5653">
              <w:rPr>
                <w:noProof/>
                <w:webHidden/>
              </w:rPr>
            </w:r>
            <w:r w:rsidR="006F5653">
              <w:rPr>
                <w:noProof/>
                <w:webHidden/>
              </w:rPr>
              <w:fldChar w:fldCharType="separate"/>
            </w:r>
            <w:r w:rsidR="006F5653">
              <w:rPr>
                <w:noProof/>
                <w:webHidden/>
              </w:rPr>
              <w:t>8</w:t>
            </w:r>
            <w:r w:rsidR="006F5653">
              <w:rPr>
                <w:noProof/>
                <w:webHidden/>
              </w:rPr>
              <w:fldChar w:fldCharType="end"/>
            </w:r>
          </w:hyperlink>
        </w:p>
        <w:p w14:paraId="170AF609" w14:textId="56236CCA" w:rsidR="006F5653" w:rsidRDefault="00D11EB5">
          <w:pPr>
            <w:pStyle w:val="TJ2"/>
            <w:tabs>
              <w:tab w:val="right" w:leader="dot" w:pos="9062"/>
            </w:tabs>
            <w:rPr>
              <w:rFonts w:eastAsiaTheme="minorEastAsia"/>
              <w:noProof/>
              <w:lang w:eastAsia="hu-HU"/>
            </w:rPr>
          </w:pPr>
          <w:hyperlink w:anchor="_Toc133510159" w:history="1">
            <w:r w:rsidR="006F5653" w:rsidRPr="00A1138D">
              <w:rPr>
                <w:rStyle w:val="Hiperhivatkozs"/>
                <w:noProof/>
              </w:rPr>
              <w:t>1.3. A beruházási projekt bemutatása</w:t>
            </w:r>
            <w:r w:rsidR="006F5653">
              <w:rPr>
                <w:noProof/>
                <w:webHidden/>
              </w:rPr>
              <w:tab/>
            </w:r>
            <w:r w:rsidR="006F5653">
              <w:rPr>
                <w:noProof/>
                <w:webHidden/>
              </w:rPr>
              <w:fldChar w:fldCharType="begin"/>
            </w:r>
            <w:r w:rsidR="006F5653">
              <w:rPr>
                <w:noProof/>
                <w:webHidden/>
              </w:rPr>
              <w:instrText xml:space="preserve"> PAGEREF _Toc133510159 \h </w:instrText>
            </w:r>
            <w:r w:rsidR="006F5653">
              <w:rPr>
                <w:noProof/>
                <w:webHidden/>
              </w:rPr>
            </w:r>
            <w:r w:rsidR="006F5653">
              <w:rPr>
                <w:noProof/>
                <w:webHidden/>
              </w:rPr>
              <w:fldChar w:fldCharType="separate"/>
            </w:r>
            <w:r w:rsidR="006F5653">
              <w:rPr>
                <w:noProof/>
                <w:webHidden/>
              </w:rPr>
              <w:t>10</w:t>
            </w:r>
            <w:r w:rsidR="006F5653">
              <w:rPr>
                <w:noProof/>
                <w:webHidden/>
              </w:rPr>
              <w:fldChar w:fldCharType="end"/>
            </w:r>
          </w:hyperlink>
        </w:p>
        <w:p w14:paraId="1A8D7576" w14:textId="79951EB8" w:rsidR="006F5653" w:rsidRDefault="00D11EB5">
          <w:pPr>
            <w:pStyle w:val="TJ2"/>
            <w:tabs>
              <w:tab w:val="right" w:leader="dot" w:pos="9062"/>
            </w:tabs>
            <w:rPr>
              <w:rFonts w:eastAsiaTheme="minorEastAsia"/>
              <w:noProof/>
              <w:lang w:eastAsia="hu-HU"/>
            </w:rPr>
          </w:pPr>
          <w:hyperlink w:anchor="_Toc133510160" w:history="1">
            <w:r w:rsidR="006F5653" w:rsidRPr="00A1138D">
              <w:rPr>
                <w:rStyle w:val="Hiperhivatkozs"/>
                <w:noProof/>
              </w:rPr>
              <w:t>1.4. Piaci elemzés és korlátok</w:t>
            </w:r>
            <w:r w:rsidR="006F5653">
              <w:rPr>
                <w:noProof/>
                <w:webHidden/>
              </w:rPr>
              <w:tab/>
            </w:r>
            <w:r w:rsidR="006F5653">
              <w:rPr>
                <w:noProof/>
                <w:webHidden/>
              </w:rPr>
              <w:fldChar w:fldCharType="begin"/>
            </w:r>
            <w:r w:rsidR="006F5653">
              <w:rPr>
                <w:noProof/>
                <w:webHidden/>
              </w:rPr>
              <w:instrText xml:space="preserve"> PAGEREF _Toc133510160 \h </w:instrText>
            </w:r>
            <w:r w:rsidR="006F5653">
              <w:rPr>
                <w:noProof/>
                <w:webHidden/>
              </w:rPr>
            </w:r>
            <w:r w:rsidR="006F5653">
              <w:rPr>
                <w:noProof/>
                <w:webHidden/>
              </w:rPr>
              <w:fldChar w:fldCharType="separate"/>
            </w:r>
            <w:r w:rsidR="006F5653">
              <w:rPr>
                <w:noProof/>
                <w:webHidden/>
              </w:rPr>
              <w:t>18</w:t>
            </w:r>
            <w:r w:rsidR="006F5653">
              <w:rPr>
                <w:noProof/>
                <w:webHidden/>
              </w:rPr>
              <w:fldChar w:fldCharType="end"/>
            </w:r>
          </w:hyperlink>
        </w:p>
        <w:p w14:paraId="3FE00091" w14:textId="5A306773" w:rsidR="006F5653" w:rsidRDefault="00D11EB5">
          <w:pPr>
            <w:pStyle w:val="TJ3"/>
            <w:tabs>
              <w:tab w:val="right" w:leader="dot" w:pos="9062"/>
            </w:tabs>
            <w:rPr>
              <w:rFonts w:eastAsiaTheme="minorEastAsia"/>
              <w:noProof/>
              <w:lang w:eastAsia="hu-HU"/>
            </w:rPr>
          </w:pPr>
          <w:hyperlink w:anchor="_Toc133510161" w:history="1">
            <w:r w:rsidR="006F5653" w:rsidRPr="00A1138D">
              <w:rPr>
                <w:rStyle w:val="Hiperhivatkozs"/>
                <w:noProof/>
              </w:rPr>
              <w:t>Magyar villamosenergia-piac</w:t>
            </w:r>
            <w:r w:rsidR="006F5653">
              <w:rPr>
                <w:noProof/>
                <w:webHidden/>
              </w:rPr>
              <w:tab/>
            </w:r>
            <w:r w:rsidR="006F5653">
              <w:rPr>
                <w:noProof/>
                <w:webHidden/>
              </w:rPr>
              <w:fldChar w:fldCharType="begin"/>
            </w:r>
            <w:r w:rsidR="006F5653">
              <w:rPr>
                <w:noProof/>
                <w:webHidden/>
              </w:rPr>
              <w:instrText xml:space="preserve"> PAGEREF _Toc133510161 \h </w:instrText>
            </w:r>
            <w:r w:rsidR="006F5653">
              <w:rPr>
                <w:noProof/>
                <w:webHidden/>
              </w:rPr>
            </w:r>
            <w:r w:rsidR="006F5653">
              <w:rPr>
                <w:noProof/>
                <w:webHidden/>
              </w:rPr>
              <w:fldChar w:fldCharType="separate"/>
            </w:r>
            <w:r w:rsidR="006F5653">
              <w:rPr>
                <w:noProof/>
                <w:webHidden/>
              </w:rPr>
              <w:t>18</w:t>
            </w:r>
            <w:r w:rsidR="006F5653">
              <w:rPr>
                <w:noProof/>
                <w:webHidden/>
              </w:rPr>
              <w:fldChar w:fldCharType="end"/>
            </w:r>
          </w:hyperlink>
        </w:p>
        <w:p w14:paraId="0F828635" w14:textId="59EBC3D0" w:rsidR="006F5653" w:rsidRDefault="00D11EB5">
          <w:pPr>
            <w:pStyle w:val="TJ3"/>
            <w:tabs>
              <w:tab w:val="right" w:leader="dot" w:pos="9062"/>
            </w:tabs>
            <w:rPr>
              <w:rFonts w:eastAsiaTheme="minorEastAsia"/>
              <w:noProof/>
              <w:lang w:eastAsia="hu-HU"/>
            </w:rPr>
          </w:pPr>
          <w:hyperlink w:anchor="_Toc133510162" w:history="1">
            <w:r w:rsidR="006F5653" w:rsidRPr="00A1138D">
              <w:rPr>
                <w:rStyle w:val="Hiperhivatkozs"/>
                <w:noProof/>
              </w:rPr>
              <w:t>Magyar földgázpiac</w:t>
            </w:r>
            <w:r w:rsidR="006F5653">
              <w:rPr>
                <w:noProof/>
                <w:webHidden/>
              </w:rPr>
              <w:tab/>
            </w:r>
            <w:r w:rsidR="006F5653">
              <w:rPr>
                <w:noProof/>
                <w:webHidden/>
              </w:rPr>
              <w:fldChar w:fldCharType="begin"/>
            </w:r>
            <w:r w:rsidR="006F5653">
              <w:rPr>
                <w:noProof/>
                <w:webHidden/>
              </w:rPr>
              <w:instrText xml:space="preserve"> PAGEREF _Toc133510162 \h </w:instrText>
            </w:r>
            <w:r w:rsidR="006F5653">
              <w:rPr>
                <w:noProof/>
                <w:webHidden/>
              </w:rPr>
            </w:r>
            <w:r w:rsidR="006F5653">
              <w:rPr>
                <w:noProof/>
                <w:webHidden/>
              </w:rPr>
              <w:fldChar w:fldCharType="separate"/>
            </w:r>
            <w:r w:rsidR="006F5653">
              <w:rPr>
                <w:noProof/>
                <w:webHidden/>
              </w:rPr>
              <w:t>21</w:t>
            </w:r>
            <w:r w:rsidR="006F5653">
              <w:rPr>
                <w:noProof/>
                <w:webHidden/>
              </w:rPr>
              <w:fldChar w:fldCharType="end"/>
            </w:r>
          </w:hyperlink>
        </w:p>
        <w:p w14:paraId="1D635654" w14:textId="27F4E014" w:rsidR="006F5653" w:rsidRDefault="00D11EB5">
          <w:pPr>
            <w:pStyle w:val="TJ3"/>
            <w:tabs>
              <w:tab w:val="right" w:leader="dot" w:pos="9062"/>
            </w:tabs>
            <w:rPr>
              <w:rFonts w:eastAsiaTheme="minorEastAsia"/>
              <w:noProof/>
              <w:lang w:eastAsia="hu-HU"/>
            </w:rPr>
          </w:pPr>
          <w:hyperlink w:anchor="_Toc133510163" w:history="1">
            <w:r w:rsidR="006F5653" w:rsidRPr="00A1138D">
              <w:rPr>
                <w:rStyle w:val="Hiperhivatkozs"/>
                <w:noProof/>
              </w:rPr>
              <w:t>Magyar energiapiac szereplői</w:t>
            </w:r>
            <w:r w:rsidR="006F5653">
              <w:rPr>
                <w:noProof/>
                <w:webHidden/>
              </w:rPr>
              <w:tab/>
            </w:r>
            <w:r w:rsidR="006F5653">
              <w:rPr>
                <w:noProof/>
                <w:webHidden/>
              </w:rPr>
              <w:fldChar w:fldCharType="begin"/>
            </w:r>
            <w:r w:rsidR="006F5653">
              <w:rPr>
                <w:noProof/>
                <w:webHidden/>
              </w:rPr>
              <w:instrText xml:space="preserve"> PAGEREF _Toc133510163 \h </w:instrText>
            </w:r>
            <w:r w:rsidR="006F5653">
              <w:rPr>
                <w:noProof/>
                <w:webHidden/>
              </w:rPr>
            </w:r>
            <w:r w:rsidR="006F5653">
              <w:rPr>
                <w:noProof/>
                <w:webHidden/>
              </w:rPr>
              <w:fldChar w:fldCharType="separate"/>
            </w:r>
            <w:r w:rsidR="006F5653">
              <w:rPr>
                <w:noProof/>
                <w:webHidden/>
              </w:rPr>
              <w:t>22</w:t>
            </w:r>
            <w:r w:rsidR="006F5653">
              <w:rPr>
                <w:noProof/>
                <w:webHidden/>
              </w:rPr>
              <w:fldChar w:fldCharType="end"/>
            </w:r>
          </w:hyperlink>
        </w:p>
        <w:p w14:paraId="06F39B67" w14:textId="11EA95A8" w:rsidR="006F5653" w:rsidRDefault="00D11EB5">
          <w:pPr>
            <w:pStyle w:val="TJ3"/>
            <w:tabs>
              <w:tab w:val="right" w:leader="dot" w:pos="9062"/>
            </w:tabs>
            <w:rPr>
              <w:rFonts w:eastAsiaTheme="minorEastAsia"/>
              <w:noProof/>
              <w:lang w:eastAsia="hu-HU"/>
            </w:rPr>
          </w:pPr>
          <w:hyperlink w:anchor="_Toc133510164" w:history="1">
            <w:r w:rsidR="006F5653" w:rsidRPr="00A1138D">
              <w:rPr>
                <w:rStyle w:val="Hiperhivatkozs"/>
                <w:noProof/>
              </w:rPr>
              <w:t>Rezsicsökkentés</w:t>
            </w:r>
            <w:r w:rsidR="006F5653">
              <w:rPr>
                <w:noProof/>
                <w:webHidden/>
              </w:rPr>
              <w:tab/>
            </w:r>
            <w:r w:rsidR="006F5653">
              <w:rPr>
                <w:noProof/>
                <w:webHidden/>
              </w:rPr>
              <w:fldChar w:fldCharType="begin"/>
            </w:r>
            <w:r w:rsidR="006F5653">
              <w:rPr>
                <w:noProof/>
                <w:webHidden/>
              </w:rPr>
              <w:instrText xml:space="preserve"> PAGEREF _Toc133510164 \h </w:instrText>
            </w:r>
            <w:r w:rsidR="006F5653">
              <w:rPr>
                <w:noProof/>
                <w:webHidden/>
              </w:rPr>
            </w:r>
            <w:r w:rsidR="006F5653">
              <w:rPr>
                <w:noProof/>
                <w:webHidden/>
              </w:rPr>
              <w:fldChar w:fldCharType="separate"/>
            </w:r>
            <w:r w:rsidR="006F5653">
              <w:rPr>
                <w:noProof/>
                <w:webHidden/>
              </w:rPr>
              <w:t>23</w:t>
            </w:r>
            <w:r w:rsidR="006F5653">
              <w:rPr>
                <w:noProof/>
                <w:webHidden/>
              </w:rPr>
              <w:fldChar w:fldCharType="end"/>
            </w:r>
          </w:hyperlink>
        </w:p>
        <w:p w14:paraId="4A9D6B73" w14:textId="56210AF1" w:rsidR="006F5653" w:rsidRDefault="00D11EB5">
          <w:pPr>
            <w:pStyle w:val="TJ2"/>
            <w:tabs>
              <w:tab w:val="right" w:leader="dot" w:pos="9062"/>
            </w:tabs>
            <w:rPr>
              <w:rFonts w:eastAsiaTheme="minorEastAsia"/>
              <w:noProof/>
              <w:lang w:eastAsia="hu-HU"/>
            </w:rPr>
          </w:pPr>
          <w:hyperlink w:anchor="_Toc133510165" w:history="1">
            <w:r w:rsidR="006F5653" w:rsidRPr="00A1138D">
              <w:rPr>
                <w:rStyle w:val="Hiperhivatkozs"/>
                <w:noProof/>
              </w:rPr>
              <w:t>1.5. Várható hatások összegzése</w:t>
            </w:r>
            <w:r w:rsidR="006F5653">
              <w:rPr>
                <w:noProof/>
                <w:webHidden/>
              </w:rPr>
              <w:tab/>
            </w:r>
            <w:r w:rsidR="006F5653">
              <w:rPr>
                <w:noProof/>
                <w:webHidden/>
              </w:rPr>
              <w:fldChar w:fldCharType="begin"/>
            </w:r>
            <w:r w:rsidR="006F5653">
              <w:rPr>
                <w:noProof/>
                <w:webHidden/>
              </w:rPr>
              <w:instrText xml:space="preserve"> PAGEREF _Toc133510165 \h </w:instrText>
            </w:r>
            <w:r w:rsidR="006F5653">
              <w:rPr>
                <w:noProof/>
                <w:webHidden/>
              </w:rPr>
            </w:r>
            <w:r w:rsidR="006F5653">
              <w:rPr>
                <w:noProof/>
                <w:webHidden/>
              </w:rPr>
              <w:fldChar w:fldCharType="separate"/>
            </w:r>
            <w:r w:rsidR="006F5653">
              <w:rPr>
                <w:noProof/>
                <w:webHidden/>
              </w:rPr>
              <w:t>25</w:t>
            </w:r>
            <w:r w:rsidR="006F5653">
              <w:rPr>
                <w:noProof/>
                <w:webHidden/>
              </w:rPr>
              <w:fldChar w:fldCharType="end"/>
            </w:r>
          </w:hyperlink>
        </w:p>
        <w:p w14:paraId="142FFAFD" w14:textId="2914D3CC" w:rsidR="006F5653" w:rsidRDefault="00D11EB5">
          <w:pPr>
            <w:pStyle w:val="TJ2"/>
            <w:tabs>
              <w:tab w:val="right" w:leader="dot" w:pos="9062"/>
            </w:tabs>
            <w:rPr>
              <w:rFonts w:eastAsiaTheme="minorEastAsia"/>
              <w:noProof/>
              <w:lang w:eastAsia="hu-HU"/>
            </w:rPr>
          </w:pPr>
          <w:hyperlink w:anchor="_Toc133510166" w:history="1">
            <w:r w:rsidR="006F5653" w:rsidRPr="00A1138D">
              <w:rPr>
                <w:rStyle w:val="Hiperhivatkozs"/>
                <w:noProof/>
              </w:rPr>
              <w:t>1.6. Megismételhetőség és/vagy továbbfejlesztési lehetőségek</w:t>
            </w:r>
            <w:r w:rsidR="006F5653">
              <w:rPr>
                <w:noProof/>
                <w:webHidden/>
              </w:rPr>
              <w:tab/>
            </w:r>
            <w:r w:rsidR="006F5653">
              <w:rPr>
                <w:noProof/>
                <w:webHidden/>
              </w:rPr>
              <w:fldChar w:fldCharType="begin"/>
            </w:r>
            <w:r w:rsidR="006F5653">
              <w:rPr>
                <w:noProof/>
                <w:webHidden/>
              </w:rPr>
              <w:instrText xml:space="preserve"> PAGEREF _Toc133510166 \h </w:instrText>
            </w:r>
            <w:r w:rsidR="006F5653">
              <w:rPr>
                <w:noProof/>
                <w:webHidden/>
              </w:rPr>
            </w:r>
            <w:r w:rsidR="006F5653">
              <w:rPr>
                <w:noProof/>
                <w:webHidden/>
              </w:rPr>
              <w:fldChar w:fldCharType="separate"/>
            </w:r>
            <w:r w:rsidR="006F5653">
              <w:rPr>
                <w:noProof/>
                <w:webHidden/>
              </w:rPr>
              <w:t>25</w:t>
            </w:r>
            <w:r w:rsidR="006F5653">
              <w:rPr>
                <w:noProof/>
                <w:webHidden/>
              </w:rPr>
              <w:fldChar w:fldCharType="end"/>
            </w:r>
          </w:hyperlink>
        </w:p>
        <w:p w14:paraId="0FBC7815" w14:textId="51B2A88E" w:rsidR="006F5653" w:rsidRDefault="00D11EB5">
          <w:pPr>
            <w:pStyle w:val="TJ2"/>
            <w:tabs>
              <w:tab w:val="left" w:pos="880"/>
              <w:tab w:val="right" w:leader="dot" w:pos="9062"/>
            </w:tabs>
            <w:rPr>
              <w:rFonts w:eastAsiaTheme="minorEastAsia"/>
              <w:noProof/>
              <w:lang w:eastAsia="hu-HU"/>
            </w:rPr>
          </w:pPr>
          <w:hyperlink w:anchor="_Toc133510167" w:history="1">
            <w:r w:rsidR="006F5653" w:rsidRPr="00A1138D">
              <w:rPr>
                <w:rStyle w:val="Hiperhivatkozs"/>
                <w:noProof/>
              </w:rPr>
              <w:t>1.7.</w:t>
            </w:r>
            <w:r w:rsidR="006F5653">
              <w:rPr>
                <w:rFonts w:eastAsiaTheme="minorEastAsia"/>
                <w:noProof/>
                <w:lang w:eastAsia="hu-HU"/>
              </w:rPr>
              <w:tab/>
            </w:r>
            <w:r w:rsidR="006F5653" w:rsidRPr="00A1138D">
              <w:rPr>
                <w:rStyle w:val="Hiperhivatkozs"/>
                <w:noProof/>
              </w:rPr>
              <w:t>A táblázat - A beruházási elemek összegzése</w:t>
            </w:r>
            <w:r w:rsidR="006F5653">
              <w:rPr>
                <w:noProof/>
                <w:webHidden/>
              </w:rPr>
              <w:tab/>
            </w:r>
            <w:r w:rsidR="006F5653">
              <w:rPr>
                <w:noProof/>
                <w:webHidden/>
              </w:rPr>
              <w:fldChar w:fldCharType="begin"/>
            </w:r>
            <w:r w:rsidR="006F5653">
              <w:rPr>
                <w:noProof/>
                <w:webHidden/>
              </w:rPr>
              <w:instrText xml:space="preserve"> PAGEREF _Toc133510167 \h </w:instrText>
            </w:r>
            <w:r w:rsidR="006F5653">
              <w:rPr>
                <w:noProof/>
                <w:webHidden/>
              </w:rPr>
            </w:r>
            <w:r w:rsidR="006F5653">
              <w:rPr>
                <w:noProof/>
                <w:webHidden/>
              </w:rPr>
              <w:fldChar w:fldCharType="separate"/>
            </w:r>
            <w:r w:rsidR="006F5653">
              <w:rPr>
                <w:noProof/>
                <w:webHidden/>
              </w:rPr>
              <w:t>27</w:t>
            </w:r>
            <w:r w:rsidR="006F5653">
              <w:rPr>
                <w:noProof/>
                <w:webHidden/>
              </w:rPr>
              <w:fldChar w:fldCharType="end"/>
            </w:r>
          </w:hyperlink>
        </w:p>
        <w:p w14:paraId="4C576BA2" w14:textId="16C7E4D8" w:rsidR="006F5653" w:rsidRDefault="00D11EB5">
          <w:pPr>
            <w:pStyle w:val="TJ1"/>
            <w:tabs>
              <w:tab w:val="left" w:pos="440"/>
              <w:tab w:val="right" w:leader="dot" w:pos="9062"/>
            </w:tabs>
            <w:rPr>
              <w:rFonts w:eastAsiaTheme="minorEastAsia"/>
              <w:noProof/>
              <w:lang w:eastAsia="hu-HU"/>
            </w:rPr>
          </w:pPr>
          <w:hyperlink w:anchor="_Toc133510168" w:history="1">
            <w:r w:rsidR="006F5653" w:rsidRPr="00A1138D">
              <w:rPr>
                <w:rStyle w:val="Hiperhivatkozs"/>
                <w:noProof/>
              </w:rPr>
              <w:t>2.</w:t>
            </w:r>
            <w:r w:rsidR="006F5653">
              <w:rPr>
                <w:rFonts w:eastAsiaTheme="minorEastAsia"/>
                <w:noProof/>
                <w:lang w:eastAsia="hu-HU"/>
              </w:rPr>
              <w:tab/>
            </w:r>
            <w:r w:rsidR="006F5653" w:rsidRPr="00A1138D">
              <w:rPr>
                <w:rStyle w:val="Hiperhivatkozs"/>
                <w:noProof/>
              </w:rPr>
              <w:t>A projektgazda és a helyi érintettek</w:t>
            </w:r>
            <w:r w:rsidR="006F5653">
              <w:rPr>
                <w:noProof/>
                <w:webHidden/>
              </w:rPr>
              <w:tab/>
            </w:r>
            <w:r w:rsidR="006F5653">
              <w:rPr>
                <w:noProof/>
                <w:webHidden/>
              </w:rPr>
              <w:fldChar w:fldCharType="begin"/>
            </w:r>
            <w:r w:rsidR="006F5653">
              <w:rPr>
                <w:noProof/>
                <w:webHidden/>
              </w:rPr>
              <w:instrText xml:space="preserve"> PAGEREF _Toc133510168 \h </w:instrText>
            </w:r>
            <w:r w:rsidR="006F5653">
              <w:rPr>
                <w:noProof/>
                <w:webHidden/>
              </w:rPr>
            </w:r>
            <w:r w:rsidR="006F5653">
              <w:rPr>
                <w:noProof/>
                <w:webHidden/>
              </w:rPr>
              <w:fldChar w:fldCharType="separate"/>
            </w:r>
            <w:r w:rsidR="006F5653">
              <w:rPr>
                <w:noProof/>
                <w:webHidden/>
              </w:rPr>
              <w:t>30</w:t>
            </w:r>
            <w:r w:rsidR="006F5653">
              <w:rPr>
                <w:noProof/>
                <w:webHidden/>
              </w:rPr>
              <w:fldChar w:fldCharType="end"/>
            </w:r>
          </w:hyperlink>
        </w:p>
        <w:p w14:paraId="50C913EC" w14:textId="61183898" w:rsidR="006F5653" w:rsidRDefault="00D11EB5">
          <w:pPr>
            <w:pStyle w:val="TJ2"/>
            <w:tabs>
              <w:tab w:val="right" w:leader="dot" w:pos="9062"/>
            </w:tabs>
            <w:rPr>
              <w:rFonts w:eastAsiaTheme="minorEastAsia"/>
              <w:noProof/>
              <w:lang w:eastAsia="hu-HU"/>
            </w:rPr>
          </w:pPr>
          <w:hyperlink w:anchor="_Toc133510169" w:history="1">
            <w:r w:rsidR="006F5653" w:rsidRPr="00A1138D">
              <w:rPr>
                <w:rStyle w:val="Hiperhivatkozs"/>
                <w:noProof/>
              </w:rPr>
              <w:t>2.1. A projektgazda/projektgazdák áttekintése</w:t>
            </w:r>
            <w:r w:rsidR="006F5653">
              <w:rPr>
                <w:noProof/>
                <w:webHidden/>
              </w:rPr>
              <w:tab/>
            </w:r>
            <w:r w:rsidR="006F5653">
              <w:rPr>
                <w:noProof/>
                <w:webHidden/>
              </w:rPr>
              <w:fldChar w:fldCharType="begin"/>
            </w:r>
            <w:r w:rsidR="006F5653">
              <w:rPr>
                <w:noProof/>
                <w:webHidden/>
              </w:rPr>
              <w:instrText xml:space="preserve"> PAGEREF _Toc133510169 \h </w:instrText>
            </w:r>
            <w:r w:rsidR="006F5653">
              <w:rPr>
                <w:noProof/>
                <w:webHidden/>
              </w:rPr>
            </w:r>
            <w:r w:rsidR="006F5653">
              <w:rPr>
                <w:noProof/>
                <w:webHidden/>
              </w:rPr>
              <w:fldChar w:fldCharType="separate"/>
            </w:r>
            <w:r w:rsidR="006F5653">
              <w:rPr>
                <w:noProof/>
                <w:webHidden/>
              </w:rPr>
              <w:t>30</w:t>
            </w:r>
            <w:r w:rsidR="006F5653">
              <w:rPr>
                <w:noProof/>
                <w:webHidden/>
              </w:rPr>
              <w:fldChar w:fldCharType="end"/>
            </w:r>
          </w:hyperlink>
        </w:p>
        <w:p w14:paraId="4D0E180E" w14:textId="235EF14A" w:rsidR="006F5653" w:rsidRDefault="00D11EB5">
          <w:pPr>
            <w:pStyle w:val="TJ2"/>
            <w:tabs>
              <w:tab w:val="right" w:leader="dot" w:pos="9062"/>
            </w:tabs>
            <w:rPr>
              <w:rFonts w:eastAsiaTheme="minorEastAsia"/>
              <w:noProof/>
              <w:lang w:eastAsia="hu-HU"/>
            </w:rPr>
          </w:pPr>
          <w:hyperlink w:anchor="_Toc133510170" w:history="1">
            <w:r w:rsidR="006F5653" w:rsidRPr="00A1138D">
              <w:rPr>
                <w:rStyle w:val="Hiperhivatkozs"/>
                <w:noProof/>
              </w:rPr>
              <w:t>2.2. Az eszközök tulajdonjoga, a menedzsment struktúrája</w:t>
            </w:r>
            <w:r w:rsidR="006F5653">
              <w:rPr>
                <w:noProof/>
                <w:webHidden/>
              </w:rPr>
              <w:tab/>
            </w:r>
            <w:r w:rsidR="006F5653">
              <w:rPr>
                <w:noProof/>
                <w:webHidden/>
              </w:rPr>
              <w:fldChar w:fldCharType="begin"/>
            </w:r>
            <w:r w:rsidR="006F5653">
              <w:rPr>
                <w:noProof/>
                <w:webHidden/>
              </w:rPr>
              <w:instrText xml:space="preserve"> PAGEREF _Toc133510170 \h </w:instrText>
            </w:r>
            <w:r w:rsidR="006F5653">
              <w:rPr>
                <w:noProof/>
                <w:webHidden/>
              </w:rPr>
            </w:r>
            <w:r w:rsidR="006F5653">
              <w:rPr>
                <w:noProof/>
                <w:webHidden/>
              </w:rPr>
              <w:fldChar w:fldCharType="separate"/>
            </w:r>
            <w:r w:rsidR="006F5653">
              <w:rPr>
                <w:noProof/>
                <w:webHidden/>
              </w:rPr>
              <w:t>31</w:t>
            </w:r>
            <w:r w:rsidR="006F5653">
              <w:rPr>
                <w:noProof/>
                <w:webHidden/>
              </w:rPr>
              <w:fldChar w:fldCharType="end"/>
            </w:r>
          </w:hyperlink>
        </w:p>
        <w:p w14:paraId="30BDAA54" w14:textId="625FE9A2" w:rsidR="006F5653" w:rsidRDefault="00D11EB5">
          <w:pPr>
            <w:pStyle w:val="TJ2"/>
            <w:tabs>
              <w:tab w:val="right" w:leader="dot" w:pos="9062"/>
            </w:tabs>
            <w:rPr>
              <w:rFonts w:eastAsiaTheme="minorEastAsia"/>
              <w:noProof/>
              <w:lang w:eastAsia="hu-HU"/>
            </w:rPr>
          </w:pPr>
          <w:hyperlink w:anchor="_Toc133510171" w:history="1">
            <w:r w:rsidR="006F5653" w:rsidRPr="00A1138D">
              <w:rPr>
                <w:rStyle w:val="Hiperhivatkozs"/>
                <w:noProof/>
              </w:rPr>
              <w:t>2.3. A pénzügyileg felelős jogi személy(ek) kockázati profilja</w:t>
            </w:r>
            <w:r w:rsidR="006F5653">
              <w:rPr>
                <w:noProof/>
                <w:webHidden/>
              </w:rPr>
              <w:tab/>
            </w:r>
            <w:r w:rsidR="006F5653">
              <w:rPr>
                <w:noProof/>
                <w:webHidden/>
              </w:rPr>
              <w:fldChar w:fldCharType="begin"/>
            </w:r>
            <w:r w:rsidR="006F5653">
              <w:rPr>
                <w:noProof/>
                <w:webHidden/>
              </w:rPr>
              <w:instrText xml:space="preserve"> PAGEREF _Toc133510171 \h </w:instrText>
            </w:r>
            <w:r w:rsidR="006F5653">
              <w:rPr>
                <w:noProof/>
                <w:webHidden/>
              </w:rPr>
            </w:r>
            <w:r w:rsidR="006F5653">
              <w:rPr>
                <w:noProof/>
                <w:webHidden/>
              </w:rPr>
              <w:fldChar w:fldCharType="separate"/>
            </w:r>
            <w:r w:rsidR="006F5653">
              <w:rPr>
                <w:noProof/>
                <w:webHidden/>
              </w:rPr>
              <w:t>31</w:t>
            </w:r>
            <w:r w:rsidR="006F5653">
              <w:rPr>
                <w:noProof/>
                <w:webHidden/>
              </w:rPr>
              <w:fldChar w:fldCharType="end"/>
            </w:r>
          </w:hyperlink>
        </w:p>
        <w:p w14:paraId="773C18CD" w14:textId="1D3F0464" w:rsidR="006F5653" w:rsidRDefault="00D11EB5">
          <w:pPr>
            <w:pStyle w:val="TJ2"/>
            <w:tabs>
              <w:tab w:val="right" w:leader="dot" w:pos="9062"/>
            </w:tabs>
            <w:rPr>
              <w:rFonts w:eastAsiaTheme="minorEastAsia"/>
              <w:noProof/>
              <w:lang w:eastAsia="hu-HU"/>
            </w:rPr>
          </w:pPr>
          <w:hyperlink w:anchor="_Toc133510172" w:history="1">
            <w:r w:rsidR="006F5653" w:rsidRPr="00A1138D">
              <w:rPr>
                <w:rStyle w:val="Hiperhivatkozs"/>
                <w:noProof/>
              </w:rPr>
              <w:t>2.4. (Helyi) érintett felek elemzése</w:t>
            </w:r>
            <w:r w:rsidR="006F5653">
              <w:rPr>
                <w:noProof/>
                <w:webHidden/>
              </w:rPr>
              <w:tab/>
            </w:r>
            <w:r w:rsidR="006F5653">
              <w:rPr>
                <w:noProof/>
                <w:webHidden/>
              </w:rPr>
              <w:fldChar w:fldCharType="begin"/>
            </w:r>
            <w:r w:rsidR="006F5653">
              <w:rPr>
                <w:noProof/>
                <w:webHidden/>
              </w:rPr>
              <w:instrText xml:space="preserve"> PAGEREF _Toc133510172 \h </w:instrText>
            </w:r>
            <w:r w:rsidR="006F5653">
              <w:rPr>
                <w:noProof/>
                <w:webHidden/>
              </w:rPr>
            </w:r>
            <w:r w:rsidR="006F5653">
              <w:rPr>
                <w:noProof/>
                <w:webHidden/>
              </w:rPr>
              <w:fldChar w:fldCharType="separate"/>
            </w:r>
            <w:r w:rsidR="006F5653">
              <w:rPr>
                <w:noProof/>
                <w:webHidden/>
              </w:rPr>
              <w:t>34</w:t>
            </w:r>
            <w:r w:rsidR="006F5653">
              <w:rPr>
                <w:noProof/>
                <w:webHidden/>
              </w:rPr>
              <w:fldChar w:fldCharType="end"/>
            </w:r>
          </w:hyperlink>
        </w:p>
        <w:p w14:paraId="57906AD4" w14:textId="0BF4EF3E" w:rsidR="006F5653" w:rsidRDefault="00D11EB5">
          <w:pPr>
            <w:pStyle w:val="TJ1"/>
            <w:tabs>
              <w:tab w:val="left" w:pos="440"/>
              <w:tab w:val="right" w:leader="dot" w:pos="9062"/>
            </w:tabs>
            <w:rPr>
              <w:rFonts w:eastAsiaTheme="minorEastAsia"/>
              <w:noProof/>
              <w:lang w:eastAsia="hu-HU"/>
            </w:rPr>
          </w:pPr>
          <w:hyperlink w:anchor="_Toc133510173" w:history="1">
            <w:r w:rsidR="006F5653" w:rsidRPr="00A1138D">
              <w:rPr>
                <w:rStyle w:val="Hiperhivatkozs"/>
                <w:noProof/>
              </w:rPr>
              <w:t>3.</w:t>
            </w:r>
            <w:r w:rsidR="006F5653">
              <w:rPr>
                <w:rFonts w:eastAsiaTheme="minorEastAsia"/>
                <w:noProof/>
                <w:lang w:eastAsia="hu-HU"/>
              </w:rPr>
              <w:tab/>
            </w:r>
            <w:r w:rsidR="006F5653" w:rsidRPr="00A1138D">
              <w:rPr>
                <w:rStyle w:val="Hiperhivatkozs"/>
                <w:noProof/>
              </w:rPr>
              <w:t>Jogi elemzés – a tervezett beruházás jogi megvalósíthatósága</w:t>
            </w:r>
            <w:r w:rsidR="006F5653">
              <w:rPr>
                <w:noProof/>
                <w:webHidden/>
              </w:rPr>
              <w:tab/>
            </w:r>
            <w:r w:rsidR="006F5653">
              <w:rPr>
                <w:noProof/>
                <w:webHidden/>
              </w:rPr>
              <w:fldChar w:fldCharType="begin"/>
            </w:r>
            <w:r w:rsidR="006F5653">
              <w:rPr>
                <w:noProof/>
                <w:webHidden/>
              </w:rPr>
              <w:instrText xml:space="preserve"> PAGEREF _Toc133510173 \h </w:instrText>
            </w:r>
            <w:r w:rsidR="006F5653">
              <w:rPr>
                <w:noProof/>
                <w:webHidden/>
              </w:rPr>
            </w:r>
            <w:r w:rsidR="006F5653">
              <w:rPr>
                <w:noProof/>
                <w:webHidden/>
              </w:rPr>
              <w:fldChar w:fldCharType="separate"/>
            </w:r>
            <w:r w:rsidR="006F5653">
              <w:rPr>
                <w:noProof/>
                <w:webHidden/>
              </w:rPr>
              <w:t>36</w:t>
            </w:r>
            <w:r w:rsidR="006F5653">
              <w:rPr>
                <w:noProof/>
                <w:webHidden/>
              </w:rPr>
              <w:fldChar w:fldCharType="end"/>
            </w:r>
          </w:hyperlink>
        </w:p>
        <w:p w14:paraId="5A5F38AE" w14:textId="7DBA1EDF" w:rsidR="006F5653" w:rsidRDefault="00D11EB5">
          <w:pPr>
            <w:pStyle w:val="TJ2"/>
            <w:tabs>
              <w:tab w:val="right" w:leader="dot" w:pos="9062"/>
            </w:tabs>
            <w:rPr>
              <w:rFonts w:eastAsiaTheme="minorEastAsia"/>
              <w:noProof/>
              <w:lang w:eastAsia="hu-HU"/>
            </w:rPr>
          </w:pPr>
          <w:hyperlink w:anchor="_Toc133510174" w:history="1">
            <w:r w:rsidR="006F5653" w:rsidRPr="00A1138D">
              <w:rPr>
                <w:rStyle w:val="Hiperhivatkozs"/>
                <w:noProof/>
              </w:rPr>
              <w:t>3.1 Technológiai jogi környezet</w:t>
            </w:r>
            <w:r w:rsidR="006F5653">
              <w:rPr>
                <w:noProof/>
                <w:webHidden/>
              </w:rPr>
              <w:tab/>
            </w:r>
            <w:r w:rsidR="006F5653">
              <w:rPr>
                <w:noProof/>
                <w:webHidden/>
              </w:rPr>
              <w:fldChar w:fldCharType="begin"/>
            </w:r>
            <w:r w:rsidR="006F5653">
              <w:rPr>
                <w:noProof/>
                <w:webHidden/>
              </w:rPr>
              <w:instrText xml:space="preserve"> PAGEREF _Toc133510174 \h </w:instrText>
            </w:r>
            <w:r w:rsidR="006F5653">
              <w:rPr>
                <w:noProof/>
                <w:webHidden/>
              </w:rPr>
            </w:r>
            <w:r w:rsidR="006F5653">
              <w:rPr>
                <w:noProof/>
                <w:webHidden/>
              </w:rPr>
              <w:fldChar w:fldCharType="separate"/>
            </w:r>
            <w:r w:rsidR="006F5653">
              <w:rPr>
                <w:noProof/>
                <w:webHidden/>
              </w:rPr>
              <w:t>36</w:t>
            </w:r>
            <w:r w:rsidR="006F5653">
              <w:rPr>
                <w:noProof/>
                <w:webHidden/>
              </w:rPr>
              <w:fldChar w:fldCharType="end"/>
            </w:r>
          </w:hyperlink>
        </w:p>
        <w:p w14:paraId="120E5A1C" w14:textId="2CEC2C05" w:rsidR="006F5653" w:rsidRDefault="00D11EB5">
          <w:pPr>
            <w:pStyle w:val="TJ2"/>
            <w:tabs>
              <w:tab w:val="right" w:leader="dot" w:pos="9062"/>
            </w:tabs>
            <w:rPr>
              <w:rFonts w:eastAsiaTheme="minorEastAsia"/>
              <w:noProof/>
              <w:lang w:eastAsia="hu-HU"/>
            </w:rPr>
          </w:pPr>
          <w:hyperlink w:anchor="_Toc133510175" w:history="1">
            <w:r w:rsidR="006F5653" w:rsidRPr="00A1138D">
              <w:rPr>
                <w:rStyle w:val="Hiperhivatkozs"/>
                <w:noProof/>
              </w:rPr>
              <w:t>3.2 Kiserőmű</w:t>
            </w:r>
            <w:r w:rsidR="006F5653">
              <w:rPr>
                <w:noProof/>
                <w:webHidden/>
              </w:rPr>
              <w:tab/>
            </w:r>
            <w:r w:rsidR="006F5653">
              <w:rPr>
                <w:noProof/>
                <w:webHidden/>
              </w:rPr>
              <w:fldChar w:fldCharType="begin"/>
            </w:r>
            <w:r w:rsidR="006F5653">
              <w:rPr>
                <w:noProof/>
                <w:webHidden/>
              </w:rPr>
              <w:instrText xml:space="preserve"> PAGEREF _Toc133510175 \h </w:instrText>
            </w:r>
            <w:r w:rsidR="006F5653">
              <w:rPr>
                <w:noProof/>
                <w:webHidden/>
              </w:rPr>
            </w:r>
            <w:r w:rsidR="006F5653">
              <w:rPr>
                <w:noProof/>
                <w:webHidden/>
              </w:rPr>
              <w:fldChar w:fldCharType="separate"/>
            </w:r>
            <w:r w:rsidR="006F5653">
              <w:rPr>
                <w:noProof/>
                <w:webHidden/>
              </w:rPr>
              <w:t>40</w:t>
            </w:r>
            <w:r w:rsidR="006F5653">
              <w:rPr>
                <w:noProof/>
                <w:webHidden/>
              </w:rPr>
              <w:fldChar w:fldCharType="end"/>
            </w:r>
          </w:hyperlink>
        </w:p>
        <w:p w14:paraId="4BA3910E" w14:textId="33E9A87D" w:rsidR="006F5653" w:rsidRDefault="00D11EB5">
          <w:pPr>
            <w:pStyle w:val="TJ2"/>
            <w:tabs>
              <w:tab w:val="right" w:leader="dot" w:pos="9062"/>
            </w:tabs>
            <w:rPr>
              <w:rFonts w:eastAsiaTheme="minorEastAsia"/>
              <w:noProof/>
              <w:lang w:eastAsia="hu-HU"/>
            </w:rPr>
          </w:pPr>
          <w:hyperlink w:anchor="_Toc133510176" w:history="1">
            <w:r w:rsidR="006F5653" w:rsidRPr="00A1138D">
              <w:rPr>
                <w:rStyle w:val="Hiperhivatkozs"/>
                <w:noProof/>
              </w:rPr>
              <w:t>3.3 Társasházak</w:t>
            </w:r>
            <w:r w:rsidR="006F5653">
              <w:rPr>
                <w:noProof/>
                <w:webHidden/>
              </w:rPr>
              <w:tab/>
            </w:r>
            <w:r w:rsidR="006F5653">
              <w:rPr>
                <w:noProof/>
                <w:webHidden/>
              </w:rPr>
              <w:fldChar w:fldCharType="begin"/>
            </w:r>
            <w:r w:rsidR="006F5653">
              <w:rPr>
                <w:noProof/>
                <w:webHidden/>
              </w:rPr>
              <w:instrText xml:space="preserve"> PAGEREF _Toc133510176 \h </w:instrText>
            </w:r>
            <w:r w:rsidR="006F5653">
              <w:rPr>
                <w:noProof/>
                <w:webHidden/>
              </w:rPr>
            </w:r>
            <w:r w:rsidR="006F5653">
              <w:rPr>
                <w:noProof/>
                <w:webHidden/>
              </w:rPr>
              <w:fldChar w:fldCharType="separate"/>
            </w:r>
            <w:r w:rsidR="006F5653">
              <w:rPr>
                <w:noProof/>
                <w:webHidden/>
              </w:rPr>
              <w:t>41</w:t>
            </w:r>
            <w:r w:rsidR="006F5653">
              <w:rPr>
                <w:noProof/>
                <w:webHidden/>
              </w:rPr>
              <w:fldChar w:fldCharType="end"/>
            </w:r>
          </w:hyperlink>
        </w:p>
        <w:p w14:paraId="5D00985B" w14:textId="03625CA9" w:rsidR="006F5653" w:rsidRDefault="00D11EB5">
          <w:pPr>
            <w:pStyle w:val="TJ2"/>
            <w:tabs>
              <w:tab w:val="right" w:leader="dot" w:pos="9062"/>
            </w:tabs>
            <w:rPr>
              <w:rFonts w:eastAsiaTheme="minorEastAsia"/>
              <w:noProof/>
              <w:lang w:eastAsia="hu-HU"/>
            </w:rPr>
          </w:pPr>
          <w:hyperlink w:anchor="_Toc133510177" w:history="1">
            <w:r w:rsidR="006F5653" w:rsidRPr="00A1138D">
              <w:rPr>
                <w:rStyle w:val="Hiperhivatkozs"/>
                <w:noProof/>
              </w:rPr>
              <w:t>3.4 Energiaközösségek</w:t>
            </w:r>
            <w:r w:rsidR="006F5653">
              <w:rPr>
                <w:noProof/>
                <w:webHidden/>
              </w:rPr>
              <w:tab/>
            </w:r>
            <w:r w:rsidR="006F5653">
              <w:rPr>
                <w:noProof/>
                <w:webHidden/>
              </w:rPr>
              <w:fldChar w:fldCharType="begin"/>
            </w:r>
            <w:r w:rsidR="006F5653">
              <w:rPr>
                <w:noProof/>
                <w:webHidden/>
              </w:rPr>
              <w:instrText xml:space="preserve"> PAGEREF _Toc133510177 \h </w:instrText>
            </w:r>
            <w:r w:rsidR="006F5653">
              <w:rPr>
                <w:noProof/>
                <w:webHidden/>
              </w:rPr>
            </w:r>
            <w:r w:rsidR="006F5653">
              <w:rPr>
                <w:noProof/>
                <w:webHidden/>
              </w:rPr>
              <w:fldChar w:fldCharType="separate"/>
            </w:r>
            <w:r w:rsidR="006F5653">
              <w:rPr>
                <w:noProof/>
                <w:webHidden/>
              </w:rPr>
              <w:t>43</w:t>
            </w:r>
            <w:r w:rsidR="006F5653">
              <w:rPr>
                <w:noProof/>
                <w:webHidden/>
              </w:rPr>
              <w:fldChar w:fldCharType="end"/>
            </w:r>
          </w:hyperlink>
        </w:p>
        <w:p w14:paraId="7AE1C5D4" w14:textId="0BA1DECD" w:rsidR="006F5653" w:rsidRDefault="00D11EB5">
          <w:pPr>
            <w:pStyle w:val="TJ2"/>
            <w:tabs>
              <w:tab w:val="right" w:leader="dot" w:pos="9062"/>
            </w:tabs>
            <w:rPr>
              <w:rFonts w:eastAsiaTheme="minorEastAsia"/>
              <w:noProof/>
              <w:lang w:eastAsia="hu-HU"/>
            </w:rPr>
          </w:pPr>
          <w:hyperlink w:anchor="_Toc133510178" w:history="1">
            <w:r w:rsidR="006F5653" w:rsidRPr="00A1138D">
              <w:rPr>
                <w:rStyle w:val="Hiperhivatkozs"/>
                <w:noProof/>
              </w:rPr>
              <w:t>3.5 Közbeszerzések</w:t>
            </w:r>
            <w:r w:rsidR="006F5653">
              <w:rPr>
                <w:noProof/>
                <w:webHidden/>
              </w:rPr>
              <w:tab/>
            </w:r>
            <w:r w:rsidR="006F5653">
              <w:rPr>
                <w:noProof/>
                <w:webHidden/>
              </w:rPr>
              <w:fldChar w:fldCharType="begin"/>
            </w:r>
            <w:r w:rsidR="006F5653">
              <w:rPr>
                <w:noProof/>
                <w:webHidden/>
              </w:rPr>
              <w:instrText xml:space="preserve"> PAGEREF _Toc133510178 \h </w:instrText>
            </w:r>
            <w:r w:rsidR="006F5653">
              <w:rPr>
                <w:noProof/>
                <w:webHidden/>
              </w:rPr>
            </w:r>
            <w:r w:rsidR="006F5653">
              <w:rPr>
                <w:noProof/>
                <w:webHidden/>
              </w:rPr>
              <w:fldChar w:fldCharType="separate"/>
            </w:r>
            <w:r w:rsidR="006F5653">
              <w:rPr>
                <w:noProof/>
                <w:webHidden/>
              </w:rPr>
              <w:t>45</w:t>
            </w:r>
            <w:r w:rsidR="006F5653">
              <w:rPr>
                <w:noProof/>
                <w:webHidden/>
              </w:rPr>
              <w:fldChar w:fldCharType="end"/>
            </w:r>
          </w:hyperlink>
        </w:p>
        <w:p w14:paraId="426F5000" w14:textId="145C1ABA" w:rsidR="006F5653" w:rsidRDefault="00D11EB5">
          <w:pPr>
            <w:pStyle w:val="TJ2"/>
            <w:tabs>
              <w:tab w:val="right" w:leader="dot" w:pos="9062"/>
            </w:tabs>
            <w:rPr>
              <w:rFonts w:eastAsiaTheme="minorEastAsia"/>
              <w:noProof/>
              <w:lang w:eastAsia="hu-HU"/>
            </w:rPr>
          </w:pPr>
          <w:hyperlink w:anchor="_Toc133510179" w:history="1">
            <w:r w:rsidR="006F5653" w:rsidRPr="00A1138D">
              <w:rPr>
                <w:rStyle w:val="Hiperhivatkozs"/>
                <w:noProof/>
              </w:rPr>
              <w:t>3.6 Helyi szintű jogszabályi környezet</w:t>
            </w:r>
            <w:r w:rsidR="006F5653">
              <w:rPr>
                <w:noProof/>
                <w:webHidden/>
              </w:rPr>
              <w:tab/>
            </w:r>
            <w:r w:rsidR="006F5653">
              <w:rPr>
                <w:noProof/>
                <w:webHidden/>
              </w:rPr>
              <w:fldChar w:fldCharType="begin"/>
            </w:r>
            <w:r w:rsidR="006F5653">
              <w:rPr>
                <w:noProof/>
                <w:webHidden/>
              </w:rPr>
              <w:instrText xml:space="preserve"> PAGEREF _Toc133510179 \h </w:instrText>
            </w:r>
            <w:r w:rsidR="006F5653">
              <w:rPr>
                <w:noProof/>
                <w:webHidden/>
              </w:rPr>
            </w:r>
            <w:r w:rsidR="006F5653">
              <w:rPr>
                <w:noProof/>
                <w:webHidden/>
              </w:rPr>
              <w:fldChar w:fldCharType="separate"/>
            </w:r>
            <w:r w:rsidR="006F5653">
              <w:rPr>
                <w:noProof/>
                <w:webHidden/>
              </w:rPr>
              <w:t>46</w:t>
            </w:r>
            <w:r w:rsidR="006F5653">
              <w:rPr>
                <w:noProof/>
                <w:webHidden/>
              </w:rPr>
              <w:fldChar w:fldCharType="end"/>
            </w:r>
          </w:hyperlink>
        </w:p>
        <w:p w14:paraId="435CDEC0" w14:textId="0039FD7F" w:rsidR="006F5653" w:rsidRDefault="00D11EB5">
          <w:pPr>
            <w:pStyle w:val="TJ2"/>
            <w:tabs>
              <w:tab w:val="right" w:leader="dot" w:pos="9062"/>
            </w:tabs>
            <w:rPr>
              <w:rFonts w:eastAsiaTheme="minorEastAsia"/>
              <w:noProof/>
              <w:lang w:eastAsia="hu-HU"/>
            </w:rPr>
          </w:pPr>
          <w:hyperlink w:anchor="_Toc133510180" w:history="1">
            <w:r w:rsidR="006F5653" w:rsidRPr="00A1138D">
              <w:rPr>
                <w:rStyle w:val="Hiperhivatkozs"/>
                <w:noProof/>
              </w:rPr>
              <w:t>3.7 Megvizsgált jogszabályok</w:t>
            </w:r>
            <w:r w:rsidR="006F5653">
              <w:rPr>
                <w:noProof/>
                <w:webHidden/>
              </w:rPr>
              <w:tab/>
            </w:r>
            <w:r w:rsidR="006F5653">
              <w:rPr>
                <w:noProof/>
                <w:webHidden/>
              </w:rPr>
              <w:fldChar w:fldCharType="begin"/>
            </w:r>
            <w:r w:rsidR="006F5653">
              <w:rPr>
                <w:noProof/>
                <w:webHidden/>
              </w:rPr>
              <w:instrText xml:space="preserve"> PAGEREF _Toc133510180 \h </w:instrText>
            </w:r>
            <w:r w:rsidR="006F5653">
              <w:rPr>
                <w:noProof/>
                <w:webHidden/>
              </w:rPr>
            </w:r>
            <w:r w:rsidR="006F5653">
              <w:rPr>
                <w:noProof/>
                <w:webHidden/>
              </w:rPr>
              <w:fldChar w:fldCharType="separate"/>
            </w:r>
            <w:r w:rsidR="006F5653">
              <w:rPr>
                <w:noProof/>
                <w:webHidden/>
              </w:rPr>
              <w:t>46</w:t>
            </w:r>
            <w:r w:rsidR="006F5653">
              <w:rPr>
                <w:noProof/>
                <w:webHidden/>
              </w:rPr>
              <w:fldChar w:fldCharType="end"/>
            </w:r>
          </w:hyperlink>
        </w:p>
        <w:p w14:paraId="5CDA41EB" w14:textId="5E752D6B" w:rsidR="006F5653" w:rsidRDefault="00D11EB5">
          <w:pPr>
            <w:pStyle w:val="TJ1"/>
            <w:tabs>
              <w:tab w:val="left" w:pos="440"/>
              <w:tab w:val="right" w:leader="dot" w:pos="9062"/>
            </w:tabs>
            <w:rPr>
              <w:rFonts w:eastAsiaTheme="minorEastAsia"/>
              <w:noProof/>
              <w:lang w:eastAsia="hu-HU"/>
            </w:rPr>
          </w:pPr>
          <w:hyperlink w:anchor="_Toc133510181" w:history="1">
            <w:r w:rsidR="006F5653" w:rsidRPr="00A1138D">
              <w:rPr>
                <w:rStyle w:val="Hiperhivatkozs"/>
                <w:noProof/>
              </w:rPr>
              <w:t>4.</w:t>
            </w:r>
            <w:r w:rsidR="006F5653">
              <w:rPr>
                <w:rFonts w:eastAsiaTheme="minorEastAsia"/>
                <w:noProof/>
                <w:lang w:eastAsia="hu-HU"/>
              </w:rPr>
              <w:tab/>
            </w:r>
            <w:r w:rsidR="006F5653" w:rsidRPr="00A1138D">
              <w:rPr>
                <w:rStyle w:val="Hiperhivatkozs"/>
                <w:noProof/>
              </w:rPr>
              <w:t>Gazdasági és pénzügyi elemzés</w:t>
            </w:r>
            <w:r w:rsidR="006F5653">
              <w:rPr>
                <w:noProof/>
                <w:webHidden/>
              </w:rPr>
              <w:tab/>
            </w:r>
            <w:r w:rsidR="006F5653">
              <w:rPr>
                <w:noProof/>
                <w:webHidden/>
              </w:rPr>
              <w:fldChar w:fldCharType="begin"/>
            </w:r>
            <w:r w:rsidR="006F5653">
              <w:rPr>
                <w:noProof/>
                <w:webHidden/>
              </w:rPr>
              <w:instrText xml:space="preserve"> PAGEREF _Toc133510181 \h </w:instrText>
            </w:r>
            <w:r w:rsidR="006F5653">
              <w:rPr>
                <w:noProof/>
                <w:webHidden/>
              </w:rPr>
            </w:r>
            <w:r w:rsidR="006F5653">
              <w:rPr>
                <w:noProof/>
                <w:webHidden/>
              </w:rPr>
              <w:fldChar w:fldCharType="separate"/>
            </w:r>
            <w:r w:rsidR="006F5653">
              <w:rPr>
                <w:noProof/>
                <w:webHidden/>
              </w:rPr>
              <w:t>47</w:t>
            </w:r>
            <w:r w:rsidR="006F5653">
              <w:rPr>
                <w:noProof/>
                <w:webHidden/>
              </w:rPr>
              <w:fldChar w:fldCharType="end"/>
            </w:r>
          </w:hyperlink>
        </w:p>
        <w:p w14:paraId="3C1FA9DD" w14:textId="5BA2E3F8" w:rsidR="006F5653" w:rsidRDefault="00D11EB5">
          <w:pPr>
            <w:pStyle w:val="TJ2"/>
            <w:tabs>
              <w:tab w:val="right" w:leader="dot" w:pos="9062"/>
            </w:tabs>
            <w:rPr>
              <w:rFonts w:eastAsiaTheme="minorEastAsia"/>
              <w:noProof/>
              <w:lang w:eastAsia="hu-HU"/>
            </w:rPr>
          </w:pPr>
          <w:hyperlink w:anchor="_Toc133510182" w:history="1">
            <w:r w:rsidR="006F5653" w:rsidRPr="00A1138D">
              <w:rPr>
                <w:rStyle w:val="Hiperhivatkozs"/>
                <w:noProof/>
              </w:rPr>
              <w:t>4.1. Becsült kiadások és bevételek</w:t>
            </w:r>
            <w:r w:rsidR="006F5653">
              <w:rPr>
                <w:noProof/>
                <w:webHidden/>
              </w:rPr>
              <w:tab/>
            </w:r>
            <w:r w:rsidR="006F5653">
              <w:rPr>
                <w:noProof/>
                <w:webHidden/>
              </w:rPr>
              <w:fldChar w:fldCharType="begin"/>
            </w:r>
            <w:r w:rsidR="006F5653">
              <w:rPr>
                <w:noProof/>
                <w:webHidden/>
              </w:rPr>
              <w:instrText xml:space="preserve"> PAGEREF _Toc133510182 \h </w:instrText>
            </w:r>
            <w:r w:rsidR="006F5653">
              <w:rPr>
                <w:noProof/>
                <w:webHidden/>
              </w:rPr>
            </w:r>
            <w:r w:rsidR="006F5653">
              <w:rPr>
                <w:noProof/>
                <w:webHidden/>
              </w:rPr>
              <w:fldChar w:fldCharType="separate"/>
            </w:r>
            <w:r w:rsidR="006F5653">
              <w:rPr>
                <w:noProof/>
                <w:webHidden/>
              </w:rPr>
              <w:t>47</w:t>
            </w:r>
            <w:r w:rsidR="006F5653">
              <w:rPr>
                <w:noProof/>
                <w:webHidden/>
              </w:rPr>
              <w:fldChar w:fldCharType="end"/>
            </w:r>
          </w:hyperlink>
        </w:p>
        <w:p w14:paraId="25C466CB" w14:textId="23DB18A5" w:rsidR="006F5653" w:rsidRDefault="00D11EB5">
          <w:pPr>
            <w:pStyle w:val="TJ2"/>
            <w:tabs>
              <w:tab w:val="right" w:leader="dot" w:pos="9062"/>
            </w:tabs>
            <w:rPr>
              <w:rFonts w:eastAsiaTheme="minorEastAsia"/>
              <w:noProof/>
              <w:lang w:eastAsia="hu-HU"/>
            </w:rPr>
          </w:pPr>
          <w:hyperlink w:anchor="_Toc133510183" w:history="1">
            <w:r w:rsidR="006F5653" w:rsidRPr="00A1138D">
              <w:rPr>
                <w:rStyle w:val="Hiperhivatkozs"/>
                <w:noProof/>
              </w:rPr>
              <w:t>4.2. Gazdasági életképesség</w:t>
            </w:r>
            <w:r w:rsidR="006F5653">
              <w:rPr>
                <w:noProof/>
                <w:webHidden/>
              </w:rPr>
              <w:tab/>
            </w:r>
            <w:r w:rsidR="006F5653">
              <w:rPr>
                <w:noProof/>
                <w:webHidden/>
              </w:rPr>
              <w:fldChar w:fldCharType="begin"/>
            </w:r>
            <w:r w:rsidR="006F5653">
              <w:rPr>
                <w:noProof/>
                <w:webHidden/>
              </w:rPr>
              <w:instrText xml:space="preserve"> PAGEREF _Toc133510183 \h </w:instrText>
            </w:r>
            <w:r w:rsidR="006F5653">
              <w:rPr>
                <w:noProof/>
                <w:webHidden/>
              </w:rPr>
            </w:r>
            <w:r w:rsidR="006F5653">
              <w:rPr>
                <w:noProof/>
                <w:webHidden/>
              </w:rPr>
              <w:fldChar w:fldCharType="separate"/>
            </w:r>
            <w:r w:rsidR="006F5653">
              <w:rPr>
                <w:noProof/>
                <w:webHidden/>
              </w:rPr>
              <w:t>48</w:t>
            </w:r>
            <w:r w:rsidR="006F5653">
              <w:rPr>
                <w:noProof/>
                <w:webHidden/>
              </w:rPr>
              <w:fldChar w:fldCharType="end"/>
            </w:r>
          </w:hyperlink>
        </w:p>
        <w:p w14:paraId="7AA8359C" w14:textId="07F84E96" w:rsidR="006F5653" w:rsidRDefault="00D11EB5">
          <w:pPr>
            <w:pStyle w:val="TJ2"/>
            <w:tabs>
              <w:tab w:val="right" w:leader="dot" w:pos="9062"/>
            </w:tabs>
            <w:rPr>
              <w:rFonts w:eastAsiaTheme="minorEastAsia"/>
              <w:noProof/>
              <w:lang w:eastAsia="hu-HU"/>
            </w:rPr>
          </w:pPr>
          <w:hyperlink w:anchor="_Toc133510184" w:history="1">
            <w:r w:rsidR="006F5653" w:rsidRPr="00A1138D">
              <w:rPr>
                <w:rStyle w:val="Hiperhivatkozs"/>
                <w:noProof/>
              </w:rPr>
              <w:t>4.3. Kockázatok és kockázatcsökkentő intézkedések</w:t>
            </w:r>
            <w:r w:rsidR="006F5653">
              <w:rPr>
                <w:noProof/>
                <w:webHidden/>
              </w:rPr>
              <w:tab/>
            </w:r>
            <w:r w:rsidR="006F5653">
              <w:rPr>
                <w:noProof/>
                <w:webHidden/>
              </w:rPr>
              <w:fldChar w:fldCharType="begin"/>
            </w:r>
            <w:r w:rsidR="006F5653">
              <w:rPr>
                <w:noProof/>
                <w:webHidden/>
              </w:rPr>
              <w:instrText xml:space="preserve"> PAGEREF _Toc133510184 \h </w:instrText>
            </w:r>
            <w:r w:rsidR="006F5653">
              <w:rPr>
                <w:noProof/>
                <w:webHidden/>
              </w:rPr>
            </w:r>
            <w:r w:rsidR="006F5653">
              <w:rPr>
                <w:noProof/>
                <w:webHidden/>
              </w:rPr>
              <w:fldChar w:fldCharType="separate"/>
            </w:r>
            <w:r w:rsidR="006F5653">
              <w:rPr>
                <w:noProof/>
                <w:webHidden/>
              </w:rPr>
              <w:t>48</w:t>
            </w:r>
            <w:r w:rsidR="006F5653">
              <w:rPr>
                <w:noProof/>
                <w:webHidden/>
              </w:rPr>
              <w:fldChar w:fldCharType="end"/>
            </w:r>
          </w:hyperlink>
        </w:p>
        <w:p w14:paraId="221DA6E6" w14:textId="32797DFA" w:rsidR="006F5653" w:rsidRDefault="00D11EB5">
          <w:pPr>
            <w:pStyle w:val="TJ2"/>
            <w:tabs>
              <w:tab w:val="right" w:leader="dot" w:pos="9062"/>
            </w:tabs>
            <w:rPr>
              <w:rFonts w:eastAsiaTheme="minorEastAsia"/>
              <w:noProof/>
              <w:lang w:eastAsia="hu-HU"/>
            </w:rPr>
          </w:pPr>
          <w:hyperlink w:anchor="_Toc133510185" w:history="1">
            <w:r w:rsidR="006F5653" w:rsidRPr="00A1138D">
              <w:rPr>
                <w:rStyle w:val="Hiperhivatkozs"/>
                <w:noProof/>
              </w:rPr>
              <w:t>4.4. Finanszírozási mód és pénzügyi források</w:t>
            </w:r>
            <w:r w:rsidR="006F5653">
              <w:rPr>
                <w:noProof/>
                <w:webHidden/>
              </w:rPr>
              <w:tab/>
            </w:r>
            <w:r w:rsidR="006F5653">
              <w:rPr>
                <w:noProof/>
                <w:webHidden/>
              </w:rPr>
              <w:fldChar w:fldCharType="begin"/>
            </w:r>
            <w:r w:rsidR="006F5653">
              <w:rPr>
                <w:noProof/>
                <w:webHidden/>
              </w:rPr>
              <w:instrText xml:space="preserve"> PAGEREF _Toc133510185 \h </w:instrText>
            </w:r>
            <w:r w:rsidR="006F5653">
              <w:rPr>
                <w:noProof/>
                <w:webHidden/>
              </w:rPr>
            </w:r>
            <w:r w:rsidR="006F5653">
              <w:rPr>
                <w:noProof/>
                <w:webHidden/>
              </w:rPr>
              <w:fldChar w:fldCharType="separate"/>
            </w:r>
            <w:r w:rsidR="006F5653">
              <w:rPr>
                <w:noProof/>
                <w:webHidden/>
              </w:rPr>
              <w:t>51</w:t>
            </w:r>
            <w:r w:rsidR="006F5653">
              <w:rPr>
                <w:noProof/>
                <w:webHidden/>
              </w:rPr>
              <w:fldChar w:fldCharType="end"/>
            </w:r>
          </w:hyperlink>
        </w:p>
        <w:p w14:paraId="66987788" w14:textId="7AE88767" w:rsidR="006F5653" w:rsidRDefault="00D11EB5">
          <w:pPr>
            <w:pStyle w:val="TJ1"/>
            <w:tabs>
              <w:tab w:val="left" w:pos="440"/>
              <w:tab w:val="right" w:leader="dot" w:pos="9062"/>
            </w:tabs>
            <w:rPr>
              <w:rFonts w:eastAsiaTheme="minorEastAsia"/>
              <w:noProof/>
              <w:lang w:eastAsia="hu-HU"/>
            </w:rPr>
          </w:pPr>
          <w:hyperlink w:anchor="_Toc133510186" w:history="1">
            <w:r w:rsidR="006F5653" w:rsidRPr="00A1138D">
              <w:rPr>
                <w:rStyle w:val="Hiperhivatkozs"/>
                <w:noProof/>
              </w:rPr>
              <w:t>5.</w:t>
            </w:r>
            <w:r w:rsidR="006F5653">
              <w:rPr>
                <w:rFonts w:eastAsiaTheme="minorEastAsia"/>
                <w:noProof/>
                <w:lang w:eastAsia="hu-HU"/>
              </w:rPr>
              <w:tab/>
            </w:r>
            <w:r w:rsidR="006F5653" w:rsidRPr="00A1138D">
              <w:rPr>
                <w:rStyle w:val="Hiperhivatkozs"/>
                <w:noProof/>
              </w:rPr>
              <w:t>Beruházási ütemterv</w:t>
            </w:r>
            <w:r w:rsidR="006F5653">
              <w:rPr>
                <w:noProof/>
                <w:webHidden/>
              </w:rPr>
              <w:tab/>
            </w:r>
            <w:r w:rsidR="006F5653">
              <w:rPr>
                <w:noProof/>
                <w:webHidden/>
              </w:rPr>
              <w:fldChar w:fldCharType="begin"/>
            </w:r>
            <w:r w:rsidR="006F5653">
              <w:rPr>
                <w:noProof/>
                <w:webHidden/>
              </w:rPr>
              <w:instrText xml:space="preserve"> PAGEREF _Toc133510186 \h </w:instrText>
            </w:r>
            <w:r w:rsidR="006F5653">
              <w:rPr>
                <w:noProof/>
                <w:webHidden/>
              </w:rPr>
            </w:r>
            <w:r w:rsidR="006F5653">
              <w:rPr>
                <w:noProof/>
                <w:webHidden/>
              </w:rPr>
              <w:fldChar w:fldCharType="separate"/>
            </w:r>
            <w:r w:rsidR="006F5653">
              <w:rPr>
                <w:noProof/>
                <w:webHidden/>
              </w:rPr>
              <w:t>62</w:t>
            </w:r>
            <w:r w:rsidR="006F5653">
              <w:rPr>
                <w:noProof/>
                <w:webHidden/>
              </w:rPr>
              <w:fldChar w:fldCharType="end"/>
            </w:r>
          </w:hyperlink>
        </w:p>
        <w:p w14:paraId="022E7C2B" w14:textId="53722F7F" w:rsidR="006F5653" w:rsidRDefault="00D11EB5">
          <w:pPr>
            <w:pStyle w:val="TJ2"/>
            <w:tabs>
              <w:tab w:val="right" w:leader="dot" w:pos="9062"/>
            </w:tabs>
            <w:rPr>
              <w:rFonts w:eastAsiaTheme="minorEastAsia"/>
              <w:noProof/>
              <w:lang w:eastAsia="hu-HU"/>
            </w:rPr>
          </w:pPr>
          <w:hyperlink w:anchor="_Toc133510187" w:history="1">
            <w:r w:rsidR="006F5653" w:rsidRPr="00A1138D">
              <w:rPr>
                <w:rStyle w:val="Hiperhivatkozs"/>
                <w:noProof/>
              </w:rPr>
              <w:t>5.1. Technikai segítségnyújtással kapcsolatos tevékenységek</w:t>
            </w:r>
            <w:r w:rsidR="006F5653">
              <w:rPr>
                <w:noProof/>
                <w:webHidden/>
              </w:rPr>
              <w:tab/>
            </w:r>
            <w:r w:rsidR="006F5653">
              <w:rPr>
                <w:noProof/>
                <w:webHidden/>
              </w:rPr>
              <w:fldChar w:fldCharType="begin"/>
            </w:r>
            <w:r w:rsidR="006F5653">
              <w:rPr>
                <w:noProof/>
                <w:webHidden/>
              </w:rPr>
              <w:instrText xml:space="preserve"> PAGEREF _Toc133510187 \h </w:instrText>
            </w:r>
            <w:r w:rsidR="006F5653">
              <w:rPr>
                <w:noProof/>
                <w:webHidden/>
              </w:rPr>
            </w:r>
            <w:r w:rsidR="006F5653">
              <w:rPr>
                <w:noProof/>
                <w:webHidden/>
              </w:rPr>
              <w:fldChar w:fldCharType="separate"/>
            </w:r>
            <w:r w:rsidR="006F5653">
              <w:rPr>
                <w:noProof/>
                <w:webHidden/>
              </w:rPr>
              <w:t>62</w:t>
            </w:r>
            <w:r w:rsidR="006F5653">
              <w:rPr>
                <w:noProof/>
                <w:webHidden/>
              </w:rPr>
              <w:fldChar w:fldCharType="end"/>
            </w:r>
          </w:hyperlink>
        </w:p>
        <w:p w14:paraId="4C5E3657" w14:textId="24088765" w:rsidR="006F5653" w:rsidRDefault="00D11EB5">
          <w:pPr>
            <w:pStyle w:val="TJ2"/>
            <w:tabs>
              <w:tab w:val="right" w:leader="dot" w:pos="9062"/>
            </w:tabs>
            <w:rPr>
              <w:rFonts w:eastAsiaTheme="minorEastAsia"/>
              <w:noProof/>
              <w:lang w:eastAsia="hu-HU"/>
            </w:rPr>
          </w:pPr>
          <w:hyperlink w:anchor="_Toc133510188" w:history="1">
            <w:r w:rsidR="006F5653" w:rsidRPr="00A1138D">
              <w:rPr>
                <w:rStyle w:val="Hiperhivatkozs"/>
                <w:noProof/>
              </w:rPr>
              <w:t>5.2. Munkaterv</w:t>
            </w:r>
            <w:r w:rsidR="006F5653">
              <w:rPr>
                <w:noProof/>
                <w:webHidden/>
              </w:rPr>
              <w:tab/>
            </w:r>
            <w:r w:rsidR="006F5653">
              <w:rPr>
                <w:noProof/>
                <w:webHidden/>
              </w:rPr>
              <w:fldChar w:fldCharType="begin"/>
            </w:r>
            <w:r w:rsidR="006F5653">
              <w:rPr>
                <w:noProof/>
                <w:webHidden/>
              </w:rPr>
              <w:instrText xml:space="preserve"> PAGEREF _Toc133510188 \h </w:instrText>
            </w:r>
            <w:r w:rsidR="006F5653">
              <w:rPr>
                <w:noProof/>
                <w:webHidden/>
              </w:rPr>
            </w:r>
            <w:r w:rsidR="006F5653">
              <w:rPr>
                <w:noProof/>
                <w:webHidden/>
              </w:rPr>
              <w:fldChar w:fldCharType="separate"/>
            </w:r>
            <w:r w:rsidR="006F5653">
              <w:rPr>
                <w:noProof/>
                <w:webHidden/>
              </w:rPr>
              <w:t>63</w:t>
            </w:r>
            <w:r w:rsidR="006F5653">
              <w:rPr>
                <w:noProof/>
                <w:webHidden/>
              </w:rPr>
              <w:fldChar w:fldCharType="end"/>
            </w:r>
          </w:hyperlink>
        </w:p>
        <w:p w14:paraId="555794B4" w14:textId="228CBAC3" w:rsidR="006F5653" w:rsidRDefault="00D11EB5">
          <w:pPr>
            <w:pStyle w:val="TJ1"/>
            <w:tabs>
              <w:tab w:val="left" w:pos="440"/>
              <w:tab w:val="right" w:leader="dot" w:pos="9062"/>
            </w:tabs>
            <w:rPr>
              <w:rFonts w:eastAsiaTheme="minorEastAsia"/>
              <w:noProof/>
              <w:lang w:eastAsia="hu-HU"/>
            </w:rPr>
          </w:pPr>
          <w:hyperlink w:anchor="_Toc133510189" w:history="1">
            <w:r w:rsidR="006F5653" w:rsidRPr="00A1138D">
              <w:rPr>
                <w:rStyle w:val="Hiperhivatkozs"/>
                <w:noProof/>
              </w:rPr>
              <w:t>6.</w:t>
            </w:r>
            <w:r w:rsidR="006F5653">
              <w:rPr>
                <w:rFonts w:eastAsiaTheme="minorEastAsia"/>
                <w:noProof/>
                <w:lang w:eastAsia="hu-HU"/>
              </w:rPr>
              <w:tab/>
            </w:r>
            <w:r w:rsidR="006F5653" w:rsidRPr="00A1138D">
              <w:rPr>
                <w:rStyle w:val="Hiperhivatkozs"/>
                <w:noProof/>
              </w:rPr>
              <w:t>Mellékletek</w:t>
            </w:r>
            <w:r w:rsidR="006F5653">
              <w:rPr>
                <w:noProof/>
                <w:webHidden/>
              </w:rPr>
              <w:tab/>
            </w:r>
            <w:r w:rsidR="006F5653">
              <w:rPr>
                <w:noProof/>
                <w:webHidden/>
              </w:rPr>
              <w:fldChar w:fldCharType="begin"/>
            </w:r>
            <w:r w:rsidR="006F5653">
              <w:rPr>
                <w:noProof/>
                <w:webHidden/>
              </w:rPr>
              <w:instrText xml:space="preserve"> PAGEREF _Toc133510189 \h </w:instrText>
            </w:r>
            <w:r w:rsidR="006F5653">
              <w:rPr>
                <w:noProof/>
                <w:webHidden/>
              </w:rPr>
            </w:r>
            <w:r w:rsidR="006F5653">
              <w:rPr>
                <w:noProof/>
                <w:webHidden/>
              </w:rPr>
              <w:fldChar w:fldCharType="separate"/>
            </w:r>
            <w:r w:rsidR="006F5653">
              <w:rPr>
                <w:noProof/>
                <w:webHidden/>
              </w:rPr>
              <w:t>70</w:t>
            </w:r>
            <w:r w:rsidR="006F5653">
              <w:rPr>
                <w:noProof/>
                <w:webHidden/>
              </w:rPr>
              <w:fldChar w:fldCharType="end"/>
            </w:r>
          </w:hyperlink>
        </w:p>
        <w:p w14:paraId="5E0E6269" w14:textId="1BF099DB" w:rsidR="000D3804" w:rsidRDefault="00F77505">
          <w:r>
            <w:rPr>
              <w:b/>
              <w:bCs/>
              <w:noProof/>
            </w:rPr>
            <w:fldChar w:fldCharType="end"/>
          </w:r>
        </w:p>
      </w:sdtContent>
    </w:sdt>
    <w:p w14:paraId="012840F4" w14:textId="77777777" w:rsidR="004E2881" w:rsidRPr="00AC687F" w:rsidRDefault="004E2881" w:rsidP="000D3804"/>
    <w:p w14:paraId="64F0A3D1" w14:textId="77777777" w:rsidR="004E2881" w:rsidRDefault="004E2881" w:rsidP="004E2881">
      <w:pPr>
        <w:jc w:val="center"/>
      </w:pPr>
    </w:p>
    <w:p w14:paraId="28CE5A1C" w14:textId="039BCF9D" w:rsidR="004509D2" w:rsidRDefault="000D3804">
      <w:r>
        <w:br w:type="page"/>
      </w:r>
    </w:p>
    <w:p w14:paraId="5F6881A4" w14:textId="7A3C0C1D" w:rsidR="000D3804" w:rsidRDefault="00800034" w:rsidP="00800034">
      <w:pPr>
        <w:pStyle w:val="Cmsor1"/>
        <w:numPr>
          <w:ilvl w:val="0"/>
          <w:numId w:val="0"/>
        </w:numPr>
      </w:pPr>
      <w:bookmarkStart w:id="1" w:name="_Toc133510154"/>
      <w:r>
        <w:lastRenderedPageBreak/>
        <w:t xml:space="preserve">A. </w:t>
      </w:r>
      <w:r w:rsidR="004509D2" w:rsidRPr="004509D2">
        <w:t>A tervezett beruházás összefoglalója</w:t>
      </w:r>
      <w:bookmarkEnd w:id="1"/>
    </w:p>
    <w:tbl>
      <w:tblPr>
        <w:tblStyle w:val="Rcsostblzat"/>
        <w:tblW w:w="0" w:type="auto"/>
        <w:tblLook w:val="04A0" w:firstRow="1" w:lastRow="0" w:firstColumn="1" w:lastColumn="0" w:noHBand="0" w:noVBand="1"/>
      </w:tblPr>
      <w:tblGrid>
        <w:gridCol w:w="2472"/>
        <w:gridCol w:w="2485"/>
        <w:gridCol w:w="585"/>
        <w:gridCol w:w="277"/>
        <w:gridCol w:w="129"/>
        <w:gridCol w:w="52"/>
        <w:gridCol w:w="1083"/>
        <w:gridCol w:w="567"/>
        <w:gridCol w:w="1006"/>
        <w:gridCol w:w="406"/>
      </w:tblGrid>
      <w:tr w:rsidR="004509D2" w14:paraId="57D2E8A0" w14:textId="77777777" w:rsidTr="00A4524C">
        <w:tc>
          <w:tcPr>
            <w:tcW w:w="2472" w:type="dxa"/>
            <w:shd w:val="clear" w:color="auto" w:fill="F2F2F2" w:themeFill="background1" w:themeFillShade="F2"/>
            <w:vAlign w:val="center"/>
          </w:tcPr>
          <w:p w14:paraId="1278B405" w14:textId="239F3B1E" w:rsidR="004509D2" w:rsidRPr="004509D2" w:rsidRDefault="004509D2" w:rsidP="00563583">
            <w:pPr>
              <w:jc w:val="left"/>
              <w:rPr>
                <w:b/>
                <w:bCs/>
              </w:rPr>
            </w:pPr>
            <w:r w:rsidRPr="004509D2">
              <w:rPr>
                <w:b/>
                <w:bCs/>
                <w:lang w:val="hu-HU"/>
              </w:rPr>
              <w:t>Tervezett teljes beruházási érték</w:t>
            </w:r>
          </w:p>
        </w:tc>
        <w:tc>
          <w:tcPr>
            <w:tcW w:w="6590" w:type="dxa"/>
            <w:gridSpan w:val="9"/>
            <w:vAlign w:val="center"/>
          </w:tcPr>
          <w:p w14:paraId="3B9ED80B" w14:textId="00919920" w:rsidR="004509D2" w:rsidRDefault="00463B7E" w:rsidP="004509D2">
            <w:r w:rsidRPr="00463B7E">
              <w:t>94</w:t>
            </w:r>
            <w:r>
              <w:t>.</w:t>
            </w:r>
            <w:r w:rsidRPr="00463B7E">
              <w:t>068</w:t>
            </w:r>
            <w:r>
              <w:t>.</w:t>
            </w:r>
            <w:r w:rsidRPr="00463B7E">
              <w:t>213</w:t>
            </w:r>
            <w:r w:rsidR="008C5125">
              <w:t xml:space="preserve"> </w:t>
            </w:r>
            <w:r w:rsidR="00F2252D">
              <w:t>EU</w:t>
            </w:r>
            <w:r w:rsidR="007C1441">
              <w:t>R</w:t>
            </w:r>
            <w:r w:rsidR="005C6CEF">
              <w:rPr>
                <w:rStyle w:val="Lbjegyzet-hivatkozs"/>
              </w:rPr>
              <w:footnoteReference w:id="1"/>
            </w:r>
            <w:r w:rsidR="008C5125">
              <w:t xml:space="preserve"> </w:t>
            </w:r>
          </w:p>
        </w:tc>
      </w:tr>
      <w:tr w:rsidR="00F2252D" w14:paraId="0EC9A99F" w14:textId="77777777" w:rsidTr="00A4524C">
        <w:tc>
          <w:tcPr>
            <w:tcW w:w="2472" w:type="dxa"/>
            <w:vMerge w:val="restart"/>
            <w:shd w:val="clear" w:color="auto" w:fill="F2F2F2" w:themeFill="background1" w:themeFillShade="F2"/>
            <w:vAlign w:val="center"/>
          </w:tcPr>
          <w:p w14:paraId="513318AB" w14:textId="2EABA1FA" w:rsidR="00F2252D" w:rsidRPr="004509D2" w:rsidRDefault="00F2252D" w:rsidP="00F2252D">
            <w:pPr>
              <w:jc w:val="left"/>
              <w:rPr>
                <w:b/>
                <w:bCs/>
              </w:rPr>
            </w:pPr>
            <w:r w:rsidRPr="004509D2">
              <w:rPr>
                <w:b/>
                <w:bCs/>
                <w:lang w:val="hu-HU"/>
              </w:rPr>
              <w:t>Finanszírozási források</w:t>
            </w:r>
          </w:p>
        </w:tc>
        <w:tc>
          <w:tcPr>
            <w:tcW w:w="3528" w:type="dxa"/>
            <w:gridSpan w:val="5"/>
            <w:shd w:val="clear" w:color="auto" w:fill="DEEAF6" w:themeFill="accent5" w:themeFillTint="33"/>
          </w:tcPr>
          <w:p w14:paraId="1BD08E4D" w14:textId="548E23ED" w:rsidR="00F2252D" w:rsidRDefault="00F2252D" w:rsidP="00F2252D">
            <w:r w:rsidRPr="00FB478A">
              <w:t>Igényelt támogatás</w:t>
            </w:r>
          </w:p>
        </w:tc>
        <w:tc>
          <w:tcPr>
            <w:tcW w:w="3062" w:type="dxa"/>
            <w:gridSpan w:val="4"/>
          </w:tcPr>
          <w:p w14:paraId="30462A18" w14:textId="308C51A2" w:rsidR="00F2252D" w:rsidRDefault="00530545" w:rsidP="00F2252D">
            <w:r w:rsidRPr="00530545">
              <w:t>87</w:t>
            </w:r>
            <w:r>
              <w:t>.</w:t>
            </w:r>
            <w:r w:rsidRPr="00530545">
              <w:t>184</w:t>
            </w:r>
            <w:r>
              <w:t>.</w:t>
            </w:r>
            <w:r w:rsidRPr="00530545">
              <w:t>313</w:t>
            </w:r>
            <w:r>
              <w:t xml:space="preserve"> </w:t>
            </w:r>
            <w:r w:rsidR="00A46AB1" w:rsidRPr="0003387C">
              <w:t>EUR/9</w:t>
            </w:r>
            <w:r w:rsidR="00463B7E">
              <w:t>2</w:t>
            </w:r>
            <w:r w:rsidR="00A46AB1" w:rsidRPr="0003387C">
              <w:t>,</w:t>
            </w:r>
            <w:r w:rsidR="00463B7E">
              <w:t>7</w:t>
            </w:r>
            <w:r w:rsidR="00A46AB1" w:rsidRPr="0003387C">
              <w:t>%</w:t>
            </w:r>
          </w:p>
        </w:tc>
      </w:tr>
      <w:tr w:rsidR="00F2252D" w14:paraId="5984BCCA" w14:textId="77777777" w:rsidTr="00A4524C">
        <w:tc>
          <w:tcPr>
            <w:tcW w:w="2472" w:type="dxa"/>
            <w:vMerge/>
            <w:shd w:val="clear" w:color="auto" w:fill="F2F2F2" w:themeFill="background1" w:themeFillShade="F2"/>
            <w:vAlign w:val="center"/>
          </w:tcPr>
          <w:p w14:paraId="697CF680" w14:textId="77777777" w:rsidR="00F2252D" w:rsidRPr="004509D2" w:rsidRDefault="00F2252D" w:rsidP="00F2252D">
            <w:pPr>
              <w:jc w:val="left"/>
              <w:rPr>
                <w:b/>
                <w:bCs/>
              </w:rPr>
            </w:pPr>
          </w:p>
        </w:tc>
        <w:tc>
          <w:tcPr>
            <w:tcW w:w="3528" w:type="dxa"/>
            <w:gridSpan w:val="5"/>
            <w:shd w:val="clear" w:color="auto" w:fill="DEEAF6" w:themeFill="accent5" w:themeFillTint="33"/>
          </w:tcPr>
          <w:p w14:paraId="5B0E7018" w14:textId="69A2F20A" w:rsidR="00F2252D" w:rsidRDefault="00F2252D" w:rsidP="00F2252D">
            <w:r w:rsidRPr="00FB478A">
              <w:t>Saját forrás</w:t>
            </w:r>
            <w:r w:rsidR="008E58EE">
              <w:rPr>
                <w:rStyle w:val="Lbjegyzet-hivatkozs"/>
              </w:rPr>
              <w:footnoteReference w:id="2"/>
            </w:r>
          </w:p>
        </w:tc>
        <w:tc>
          <w:tcPr>
            <w:tcW w:w="3062" w:type="dxa"/>
            <w:gridSpan w:val="4"/>
          </w:tcPr>
          <w:p w14:paraId="7A09801C" w14:textId="4570ED39" w:rsidR="00F2252D" w:rsidRDefault="00A46AB1" w:rsidP="00F2252D">
            <w:r w:rsidRPr="0003387C">
              <w:t>6.883.900 EUR/</w:t>
            </w:r>
            <w:r w:rsidR="00463B7E">
              <w:t>7</w:t>
            </w:r>
            <w:r w:rsidRPr="0003387C">
              <w:t>,</w:t>
            </w:r>
            <w:r w:rsidR="00463B7E">
              <w:t>3</w:t>
            </w:r>
            <w:r w:rsidRPr="0003387C">
              <w:t>%</w:t>
            </w:r>
          </w:p>
        </w:tc>
      </w:tr>
      <w:tr w:rsidR="004509D2" w14:paraId="39F098AA" w14:textId="77777777" w:rsidTr="00A4524C">
        <w:tc>
          <w:tcPr>
            <w:tcW w:w="2472" w:type="dxa"/>
            <w:shd w:val="clear" w:color="auto" w:fill="F2F2F2" w:themeFill="background1" w:themeFillShade="F2"/>
            <w:vAlign w:val="center"/>
          </w:tcPr>
          <w:p w14:paraId="355C1FD8" w14:textId="0971B084" w:rsidR="004509D2" w:rsidRPr="004509D2" w:rsidRDefault="004509D2" w:rsidP="00563583">
            <w:pPr>
              <w:jc w:val="left"/>
              <w:rPr>
                <w:b/>
                <w:bCs/>
              </w:rPr>
            </w:pPr>
            <w:r w:rsidRPr="004509D2">
              <w:rPr>
                <w:b/>
                <w:bCs/>
                <w:lang w:val="hu-HU"/>
              </w:rPr>
              <w:t>A tervezett beruházás helyszíne</w:t>
            </w:r>
          </w:p>
        </w:tc>
        <w:tc>
          <w:tcPr>
            <w:tcW w:w="6590" w:type="dxa"/>
            <w:gridSpan w:val="9"/>
            <w:vAlign w:val="center"/>
          </w:tcPr>
          <w:p w14:paraId="2A3E7A8F" w14:textId="0B131344" w:rsidR="004509D2" w:rsidRDefault="00152EE0" w:rsidP="004509D2">
            <w:r>
              <w:t>Magyarország, Budapest V</w:t>
            </w:r>
            <w:r w:rsidR="00FD20B9">
              <w:t>I</w:t>
            </w:r>
            <w:r>
              <w:t>I. kerület</w:t>
            </w:r>
          </w:p>
        </w:tc>
      </w:tr>
      <w:tr w:rsidR="004509D2" w14:paraId="780B5980" w14:textId="77777777" w:rsidTr="00A4524C">
        <w:tc>
          <w:tcPr>
            <w:tcW w:w="2472" w:type="dxa"/>
            <w:shd w:val="clear" w:color="auto" w:fill="F2F2F2" w:themeFill="background1" w:themeFillShade="F2"/>
            <w:vAlign w:val="center"/>
          </w:tcPr>
          <w:p w14:paraId="5E1D8DFE" w14:textId="010F05B8" w:rsidR="004509D2" w:rsidRPr="004509D2" w:rsidRDefault="00800034" w:rsidP="00563583">
            <w:pPr>
              <w:jc w:val="left"/>
              <w:rPr>
                <w:b/>
                <w:bCs/>
              </w:rPr>
            </w:pPr>
            <w:r w:rsidRPr="00800034">
              <w:rPr>
                <w:b/>
                <w:bCs/>
                <w:lang w:val="hu-HU"/>
              </w:rPr>
              <w:t>A település/önkormányzat</w:t>
            </w:r>
          </w:p>
        </w:tc>
        <w:tc>
          <w:tcPr>
            <w:tcW w:w="6590" w:type="dxa"/>
            <w:gridSpan w:val="9"/>
            <w:vAlign w:val="center"/>
          </w:tcPr>
          <w:p w14:paraId="2EDD3A1E" w14:textId="5EF16B8F" w:rsidR="004509D2" w:rsidRDefault="00545181" w:rsidP="004509D2">
            <w:r w:rsidRPr="00545181">
              <w:t>Budapest Főváros VII. kerület Erzsébetváros Önkormányzata</w:t>
            </w:r>
          </w:p>
        </w:tc>
      </w:tr>
      <w:tr w:rsidR="00F2252D" w14:paraId="7900EAA7" w14:textId="77777777" w:rsidTr="00A4524C">
        <w:trPr>
          <w:trHeight w:val="276"/>
        </w:trPr>
        <w:tc>
          <w:tcPr>
            <w:tcW w:w="2472" w:type="dxa"/>
            <w:vMerge w:val="restart"/>
            <w:shd w:val="clear" w:color="auto" w:fill="F2F2F2" w:themeFill="background1" w:themeFillShade="F2"/>
            <w:vAlign w:val="center"/>
          </w:tcPr>
          <w:p w14:paraId="66758413" w14:textId="721CE418" w:rsidR="00F2252D" w:rsidRPr="004509D2" w:rsidRDefault="00F2252D" w:rsidP="00F2252D">
            <w:pPr>
              <w:jc w:val="left"/>
              <w:rPr>
                <w:b/>
                <w:bCs/>
              </w:rPr>
            </w:pPr>
            <w:r w:rsidRPr="004509D2">
              <w:rPr>
                <w:b/>
                <w:bCs/>
                <w:lang w:val="hu-HU"/>
              </w:rPr>
              <w:t xml:space="preserve">A megcélzott </w:t>
            </w:r>
            <w:proofErr w:type="gramStart"/>
            <w:r w:rsidRPr="004509D2">
              <w:rPr>
                <w:b/>
                <w:bCs/>
                <w:lang w:val="hu-HU"/>
              </w:rPr>
              <w:t>ágazat(</w:t>
            </w:r>
            <w:proofErr w:type="gramEnd"/>
            <w:r w:rsidRPr="004509D2">
              <w:rPr>
                <w:b/>
                <w:bCs/>
                <w:lang w:val="hu-HU"/>
              </w:rPr>
              <w:t>ok)</w:t>
            </w:r>
          </w:p>
        </w:tc>
        <w:tc>
          <w:tcPr>
            <w:tcW w:w="3070" w:type="dxa"/>
            <w:gridSpan w:val="2"/>
          </w:tcPr>
          <w:p w14:paraId="3AA0B7CE" w14:textId="22B7BFFB" w:rsidR="00F2252D" w:rsidRDefault="00F2252D" w:rsidP="00943D97">
            <w:pPr>
              <w:jc w:val="left"/>
            </w:pPr>
            <w:r w:rsidRPr="0089708E">
              <w:t>Középületek</w:t>
            </w:r>
          </w:p>
        </w:tc>
        <w:tc>
          <w:tcPr>
            <w:tcW w:w="406" w:type="dxa"/>
            <w:gridSpan w:val="2"/>
          </w:tcPr>
          <w:p w14:paraId="42B81CF9" w14:textId="7E4CC32A" w:rsidR="00F2252D" w:rsidRDefault="00F2252D" w:rsidP="00943D97">
            <w:pPr>
              <w:jc w:val="left"/>
            </w:pPr>
            <w:r w:rsidRPr="0089708E">
              <w:rPr>
                <w:rFonts w:ascii="Segoe UI Symbol" w:hAnsi="Segoe UI Symbol" w:cs="Segoe UI Symbol"/>
              </w:rPr>
              <w:t>☐</w:t>
            </w:r>
          </w:p>
        </w:tc>
        <w:tc>
          <w:tcPr>
            <w:tcW w:w="2708" w:type="dxa"/>
            <w:gridSpan w:val="4"/>
          </w:tcPr>
          <w:p w14:paraId="2C3C4CB5" w14:textId="61E8314B" w:rsidR="00F2252D" w:rsidRDefault="00F2252D" w:rsidP="00943D97">
            <w:pPr>
              <w:jc w:val="left"/>
            </w:pPr>
            <w:r w:rsidRPr="0089708E">
              <w:rPr>
                <w:rFonts w:ascii="Calibri" w:hAnsi="Calibri" w:cs="Calibri"/>
              </w:rPr>
              <w:t>É</w:t>
            </w:r>
            <w:r w:rsidRPr="0089708E">
              <w:t>p</w:t>
            </w:r>
            <w:r w:rsidRPr="0089708E">
              <w:rPr>
                <w:rFonts w:ascii="Calibri" w:hAnsi="Calibri" w:cs="Calibri"/>
              </w:rPr>
              <w:t>ü</w:t>
            </w:r>
            <w:r w:rsidRPr="0089708E">
              <w:t>letbe integr</w:t>
            </w:r>
            <w:r w:rsidRPr="0089708E">
              <w:rPr>
                <w:rFonts w:ascii="Calibri" w:hAnsi="Calibri" w:cs="Calibri"/>
              </w:rPr>
              <w:t>á</w:t>
            </w:r>
            <w:r w:rsidRPr="0089708E">
              <w:t>lt meg</w:t>
            </w:r>
            <w:r w:rsidRPr="0089708E">
              <w:rPr>
                <w:rFonts w:ascii="Calibri" w:hAnsi="Calibri" w:cs="Calibri"/>
              </w:rPr>
              <w:t>ú</w:t>
            </w:r>
            <w:r w:rsidRPr="0089708E">
              <w:t>jul</w:t>
            </w:r>
            <w:r w:rsidRPr="0089708E">
              <w:rPr>
                <w:rFonts w:ascii="Calibri" w:hAnsi="Calibri" w:cs="Calibri"/>
              </w:rPr>
              <w:t>ó</w:t>
            </w:r>
            <w:r w:rsidRPr="0089708E">
              <w:t xml:space="preserve">k </w:t>
            </w:r>
          </w:p>
        </w:tc>
        <w:tc>
          <w:tcPr>
            <w:tcW w:w="406" w:type="dxa"/>
          </w:tcPr>
          <w:p w14:paraId="4558C16A" w14:textId="7730C486" w:rsidR="00F2252D" w:rsidRDefault="00943D97" w:rsidP="00943D97">
            <w:pPr>
              <w:jc w:val="left"/>
            </w:pPr>
            <w:r>
              <w:rPr>
                <w:rFonts w:eastAsia="MS Gothic" w:cs="MS Gothic"/>
                <w:bCs/>
                <w:szCs w:val="18"/>
                <w:lang w:val="hu-HU"/>
              </w:rPr>
              <w:t>☑</w:t>
            </w:r>
          </w:p>
        </w:tc>
      </w:tr>
      <w:tr w:rsidR="00F2252D" w14:paraId="0E0EAB1D" w14:textId="77777777" w:rsidTr="00A4524C">
        <w:trPr>
          <w:trHeight w:val="276"/>
        </w:trPr>
        <w:tc>
          <w:tcPr>
            <w:tcW w:w="2472" w:type="dxa"/>
            <w:vMerge/>
            <w:shd w:val="clear" w:color="auto" w:fill="F2F2F2" w:themeFill="background1" w:themeFillShade="F2"/>
            <w:vAlign w:val="center"/>
          </w:tcPr>
          <w:p w14:paraId="63533C59" w14:textId="77777777" w:rsidR="00F2252D" w:rsidRPr="004509D2" w:rsidRDefault="00F2252D" w:rsidP="00F2252D">
            <w:pPr>
              <w:jc w:val="left"/>
              <w:rPr>
                <w:b/>
                <w:bCs/>
              </w:rPr>
            </w:pPr>
          </w:p>
        </w:tc>
        <w:tc>
          <w:tcPr>
            <w:tcW w:w="3070" w:type="dxa"/>
            <w:gridSpan w:val="2"/>
          </w:tcPr>
          <w:p w14:paraId="0B08C493" w14:textId="650B7FBE" w:rsidR="00F2252D" w:rsidRDefault="00F2252D" w:rsidP="00943D97">
            <w:pPr>
              <w:jc w:val="left"/>
            </w:pPr>
            <w:r w:rsidRPr="0089708E">
              <w:t>Lakóépületek</w:t>
            </w:r>
          </w:p>
        </w:tc>
        <w:tc>
          <w:tcPr>
            <w:tcW w:w="406" w:type="dxa"/>
            <w:gridSpan w:val="2"/>
          </w:tcPr>
          <w:p w14:paraId="6A69F279" w14:textId="654A6064" w:rsidR="00F2252D" w:rsidRDefault="00943D97" w:rsidP="00943D97">
            <w:pPr>
              <w:jc w:val="left"/>
            </w:pPr>
            <w:r>
              <w:rPr>
                <w:rFonts w:eastAsia="MS Gothic" w:cs="MS Gothic"/>
                <w:bCs/>
                <w:szCs w:val="18"/>
                <w:lang w:val="hu-HU"/>
              </w:rPr>
              <w:t>☑</w:t>
            </w:r>
          </w:p>
        </w:tc>
        <w:tc>
          <w:tcPr>
            <w:tcW w:w="2708" w:type="dxa"/>
            <w:gridSpan w:val="4"/>
          </w:tcPr>
          <w:p w14:paraId="7D87F933" w14:textId="3228CE4D" w:rsidR="00F2252D" w:rsidRDefault="00F2252D" w:rsidP="00943D97">
            <w:pPr>
              <w:jc w:val="left"/>
            </w:pPr>
            <w:r w:rsidRPr="0089708E">
              <w:t>T</w:t>
            </w:r>
            <w:r w:rsidRPr="0089708E">
              <w:rPr>
                <w:rFonts w:ascii="Calibri" w:hAnsi="Calibri" w:cs="Calibri"/>
              </w:rPr>
              <w:t>á</w:t>
            </w:r>
            <w:r w:rsidRPr="0089708E">
              <w:t>vf</w:t>
            </w:r>
            <w:r w:rsidRPr="0089708E">
              <w:rPr>
                <w:rFonts w:ascii="Calibri" w:hAnsi="Calibri" w:cs="Calibri"/>
              </w:rPr>
              <w:t>ű</w:t>
            </w:r>
            <w:r w:rsidRPr="0089708E">
              <w:t>t</w:t>
            </w:r>
            <w:r w:rsidRPr="0089708E">
              <w:rPr>
                <w:rFonts w:ascii="Calibri" w:hAnsi="Calibri" w:cs="Calibri"/>
              </w:rPr>
              <w:t>é</w:t>
            </w:r>
            <w:r w:rsidRPr="0089708E">
              <w:t>s</w:t>
            </w:r>
          </w:p>
        </w:tc>
        <w:tc>
          <w:tcPr>
            <w:tcW w:w="406" w:type="dxa"/>
          </w:tcPr>
          <w:p w14:paraId="0B3F14D3" w14:textId="627F1B17" w:rsidR="00F2252D" w:rsidRDefault="00F2252D" w:rsidP="00943D97">
            <w:pPr>
              <w:jc w:val="left"/>
            </w:pPr>
            <w:r w:rsidRPr="0089708E">
              <w:rPr>
                <w:rFonts w:ascii="Segoe UI Symbol" w:hAnsi="Segoe UI Symbol" w:cs="Segoe UI Symbol"/>
              </w:rPr>
              <w:t>☐</w:t>
            </w:r>
          </w:p>
        </w:tc>
      </w:tr>
      <w:tr w:rsidR="00F2252D" w14:paraId="666AAB04" w14:textId="77777777" w:rsidTr="00A4524C">
        <w:trPr>
          <w:trHeight w:val="276"/>
        </w:trPr>
        <w:tc>
          <w:tcPr>
            <w:tcW w:w="2472" w:type="dxa"/>
            <w:vMerge/>
            <w:shd w:val="clear" w:color="auto" w:fill="F2F2F2" w:themeFill="background1" w:themeFillShade="F2"/>
            <w:vAlign w:val="center"/>
          </w:tcPr>
          <w:p w14:paraId="63C71D72" w14:textId="77777777" w:rsidR="00F2252D" w:rsidRPr="004509D2" w:rsidRDefault="00F2252D" w:rsidP="00F2252D">
            <w:pPr>
              <w:jc w:val="left"/>
              <w:rPr>
                <w:b/>
                <w:bCs/>
              </w:rPr>
            </w:pPr>
          </w:p>
        </w:tc>
        <w:tc>
          <w:tcPr>
            <w:tcW w:w="3070" w:type="dxa"/>
            <w:gridSpan w:val="2"/>
          </w:tcPr>
          <w:p w14:paraId="07692123" w14:textId="413F2742" w:rsidR="00F2252D" w:rsidRDefault="00F2252D" w:rsidP="00943D97">
            <w:pPr>
              <w:jc w:val="left"/>
            </w:pPr>
            <w:r w:rsidRPr="0089708E">
              <w:t>Intelligens hálózatok</w:t>
            </w:r>
          </w:p>
        </w:tc>
        <w:tc>
          <w:tcPr>
            <w:tcW w:w="406" w:type="dxa"/>
            <w:gridSpan w:val="2"/>
          </w:tcPr>
          <w:p w14:paraId="6728DF4E" w14:textId="5D4C6BE4" w:rsidR="00F2252D" w:rsidRDefault="00943D97" w:rsidP="00943D97">
            <w:pPr>
              <w:jc w:val="left"/>
            </w:pPr>
            <w:r>
              <w:rPr>
                <w:rFonts w:eastAsia="MS Gothic" w:cs="MS Gothic"/>
                <w:bCs/>
                <w:szCs w:val="18"/>
                <w:lang w:val="hu-HU"/>
              </w:rPr>
              <w:t>☑</w:t>
            </w:r>
          </w:p>
        </w:tc>
        <w:tc>
          <w:tcPr>
            <w:tcW w:w="2708" w:type="dxa"/>
            <w:gridSpan w:val="4"/>
          </w:tcPr>
          <w:p w14:paraId="260B97E4" w14:textId="460B6987" w:rsidR="00F2252D" w:rsidRDefault="00F2252D" w:rsidP="00943D97">
            <w:pPr>
              <w:jc w:val="left"/>
            </w:pPr>
            <w:r w:rsidRPr="0089708E">
              <w:t>Fenntarthat</w:t>
            </w:r>
            <w:r w:rsidRPr="0089708E">
              <w:rPr>
                <w:rFonts w:ascii="Calibri" w:hAnsi="Calibri" w:cs="Calibri"/>
              </w:rPr>
              <w:t>ó</w:t>
            </w:r>
            <w:r w:rsidRPr="0089708E">
              <w:t xml:space="preserve"> v</w:t>
            </w:r>
            <w:r w:rsidRPr="0089708E">
              <w:rPr>
                <w:rFonts w:ascii="Calibri" w:hAnsi="Calibri" w:cs="Calibri"/>
              </w:rPr>
              <w:t>á</w:t>
            </w:r>
            <w:r w:rsidRPr="0089708E">
              <w:t>rosi mobilit</w:t>
            </w:r>
            <w:r w:rsidRPr="0089708E">
              <w:rPr>
                <w:rFonts w:ascii="Calibri" w:hAnsi="Calibri" w:cs="Calibri"/>
              </w:rPr>
              <w:t>á</w:t>
            </w:r>
            <w:r w:rsidRPr="0089708E">
              <w:t>s</w:t>
            </w:r>
          </w:p>
        </w:tc>
        <w:tc>
          <w:tcPr>
            <w:tcW w:w="406" w:type="dxa"/>
          </w:tcPr>
          <w:p w14:paraId="68C19B2B" w14:textId="3EDC4439" w:rsidR="00F2252D" w:rsidRDefault="00F2252D" w:rsidP="00943D97">
            <w:pPr>
              <w:jc w:val="left"/>
            </w:pPr>
            <w:r w:rsidRPr="0089708E">
              <w:rPr>
                <w:rFonts w:ascii="Segoe UI Symbol" w:hAnsi="Segoe UI Symbol" w:cs="Segoe UI Symbol"/>
              </w:rPr>
              <w:t>☐</w:t>
            </w:r>
          </w:p>
        </w:tc>
      </w:tr>
      <w:tr w:rsidR="00F2252D" w14:paraId="4F11ACB7" w14:textId="77777777" w:rsidTr="00A4524C">
        <w:trPr>
          <w:trHeight w:val="276"/>
        </w:trPr>
        <w:tc>
          <w:tcPr>
            <w:tcW w:w="2472" w:type="dxa"/>
            <w:vMerge/>
            <w:shd w:val="clear" w:color="auto" w:fill="F2F2F2" w:themeFill="background1" w:themeFillShade="F2"/>
            <w:vAlign w:val="center"/>
          </w:tcPr>
          <w:p w14:paraId="252FB5F6" w14:textId="77777777" w:rsidR="00F2252D" w:rsidRPr="004509D2" w:rsidRDefault="00F2252D" w:rsidP="00F2252D">
            <w:pPr>
              <w:jc w:val="left"/>
              <w:rPr>
                <w:b/>
                <w:bCs/>
              </w:rPr>
            </w:pPr>
          </w:p>
        </w:tc>
        <w:tc>
          <w:tcPr>
            <w:tcW w:w="3070" w:type="dxa"/>
            <w:gridSpan w:val="2"/>
          </w:tcPr>
          <w:p w14:paraId="4650B977" w14:textId="233212EE" w:rsidR="00F2252D" w:rsidRDefault="00F2252D" w:rsidP="00943D97">
            <w:pPr>
              <w:jc w:val="left"/>
            </w:pPr>
            <w:r w:rsidRPr="0089708E">
              <w:t>Innovatív energetikai infrastruktúra</w:t>
            </w:r>
          </w:p>
        </w:tc>
        <w:tc>
          <w:tcPr>
            <w:tcW w:w="406" w:type="dxa"/>
            <w:gridSpan w:val="2"/>
          </w:tcPr>
          <w:p w14:paraId="21E7D8AF" w14:textId="530CEE3B" w:rsidR="00F2252D" w:rsidRDefault="00F2252D" w:rsidP="00943D97">
            <w:pPr>
              <w:jc w:val="left"/>
            </w:pPr>
            <w:r w:rsidRPr="0089708E">
              <w:rPr>
                <w:rFonts w:ascii="Segoe UI Symbol" w:hAnsi="Segoe UI Symbol" w:cs="Segoe UI Symbol"/>
              </w:rPr>
              <w:t>☐</w:t>
            </w:r>
          </w:p>
        </w:tc>
        <w:tc>
          <w:tcPr>
            <w:tcW w:w="2708" w:type="dxa"/>
            <w:gridSpan w:val="4"/>
          </w:tcPr>
          <w:p w14:paraId="56706BDE" w14:textId="321C28FF" w:rsidR="00F2252D" w:rsidRDefault="00F2252D" w:rsidP="00943D97">
            <w:pPr>
              <w:jc w:val="left"/>
            </w:pPr>
            <w:r w:rsidRPr="0089708E">
              <w:t>Egy</w:t>
            </w:r>
            <w:r w:rsidRPr="0089708E">
              <w:rPr>
                <w:rFonts w:ascii="Calibri" w:hAnsi="Calibri" w:cs="Calibri"/>
              </w:rPr>
              <w:t>é</w:t>
            </w:r>
            <w:r w:rsidRPr="0089708E">
              <w:t>b</w:t>
            </w:r>
          </w:p>
        </w:tc>
        <w:tc>
          <w:tcPr>
            <w:tcW w:w="406" w:type="dxa"/>
          </w:tcPr>
          <w:p w14:paraId="32645B5C" w14:textId="7D5D9720" w:rsidR="00F2252D" w:rsidRDefault="00F2252D" w:rsidP="00943D97">
            <w:pPr>
              <w:jc w:val="left"/>
            </w:pPr>
            <w:r w:rsidRPr="0089708E">
              <w:rPr>
                <w:rFonts w:ascii="Segoe UI Symbol" w:hAnsi="Segoe UI Symbol" w:cs="Segoe UI Symbol"/>
              </w:rPr>
              <w:t>☐</w:t>
            </w:r>
          </w:p>
        </w:tc>
      </w:tr>
      <w:tr w:rsidR="004509D2" w14:paraId="2739410D" w14:textId="77777777" w:rsidTr="00A4524C">
        <w:tc>
          <w:tcPr>
            <w:tcW w:w="2472" w:type="dxa"/>
            <w:shd w:val="clear" w:color="auto" w:fill="F2F2F2" w:themeFill="background1" w:themeFillShade="F2"/>
            <w:vAlign w:val="center"/>
          </w:tcPr>
          <w:p w14:paraId="3336FF21" w14:textId="59676906" w:rsidR="004509D2" w:rsidRPr="004509D2" w:rsidRDefault="004509D2" w:rsidP="00563583">
            <w:pPr>
              <w:jc w:val="left"/>
              <w:rPr>
                <w:b/>
                <w:bCs/>
              </w:rPr>
            </w:pPr>
            <w:r w:rsidRPr="004509D2">
              <w:rPr>
                <w:b/>
                <w:bCs/>
                <w:lang w:val="hu-HU"/>
              </w:rPr>
              <w:t>A tervezett beruházás áttekintése és céljai</w:t>
            </w:r>
          </w:p>
        </w:tc>
        <w:tc>
          <w:tcPr>
            <w:tcW w:w="6590" w:type="dxa"/>
            <w:gridSpan w:val="9"/>
            <w:vAlign w:val="center"/>
          </w:tcPr>
          <w:p w14:paraId="361BA0C0" w14:textId="2EA95C38" w:rsidR="004509D2" w:rsidRDefault="00656AF4" w:rsidP="004509D2">
            <w:r w:rsidRPr="00656AF4">
              <w:t xml:space="preserve">A kerületi energiacélok megvalósulásának előfeltétele a túlnyomó részben soklakásos társasházból álló, 90%-ban 1945 előtt épült, magántulajdonban lévő </w:t>
            </w:r>
            <w:r>
              <w:t>épület</w:t>
            </w:r>
            <w:r w:rsidRPr="00656AF4">
              <w:t>állomány megújulása. Ezen szinte kizá</w:t>
            </w:r>
            <w:r w:rsidR="00222EA4">
              <w:t>r</w:t>
            </w:r>
            <w:r w:rsidRPr="00656AF4">
              <w:t xml:space="preserve">ólag gázzal fűtött épületek energetikai jellemzői nagyon rosszak. A változás élére állva az Önkormányzat a tulajdonában </w:t>
            </w:r>
            <w:r w:rsidRPr="00300C43">
              <w:t xml:space="preserve">álló </w:t>
            </w:r>
            <w:r w:rsidR="00EE56E0">
              <w:t>29</w:t>
            </w:r>
            <w:r w:rsidRPr="00300C43">
              <w:t xml:space="preserve"> épületet</w:t>
            </w:r>
            <w:r w:rsidRPr="00656AF4">
              <w:t xml:space="preserve"> fel kívánja újítani. A tervezett intézkedések hőszigetelést, nyílászárócserét, </w:t>
            </w:r>
            <w:r w:rsidR="00F226B0">
              <w:t xml:space="preserve">valamint </w:t>
            </w:r>
            <w:r>
              <w:t>tetőre szerelt napelemes rendszerek kialakítását</w:t>
            </w:r>
            <w:r w:rsidR="00F226B0">
              <w:t xml:space="preserve"> </w:t>
            </w:r>
            <w:r w:rsidRPr="00656AF4">
              <w:t>foglal</w:t>
            </w:r>
            <w:r>
              <w:t>ja</w:t>
            </w:r>
            <w:r w:rsidRPr="00656AF4">
              <w:t xml:space="preserve"> magában. </w:t>
            </w:r>
            <w:r>
              <w:t xml:space="preserve">Az önkormányzati épületeken felül tervben van </w:t>
            </w:r>
            <w:r w:rsidRPr="00656AF4">
              <w:t xml:space="preserve">mintegy </w:t>
            </w:r>
            <w:r w:rsidR="00EE56E0" w:rsidRPr="00EE56E0">
              <w:t>120</w:t>
            </w:r>
            <w:r w:rsidR="00AE6CFC">
              <w:t xml:space="preserve"> </w:t>
            </w:r>
            <w:r w:rsidRPr="00656AF4">
              <w:t>magántulajdonban lévő épület</w:t>
            </w:r>
            <w:r>
              <w:t xml:space="preserve"> energetikai felújítása is</w:t>
            </w:r>
            <w:r w:rsidRPr="00656AF4">
              <w:t xml:space="preserve">. </w:t>
            </w:r>
            <w:r>
              <w:t>Ezek felújítását egy önkormányzati</w:t>
            </w:r>
            <w:r w:rsidRPr="00656AF4">
              <w:t xml:space="preserve"> újratölthető épületfelújítási alap </w:t>
            </w:r>
            <w:r>
              <w:t>finanszírozza elő. Ennek köszönhetően</w:t>
            </w:r>
            <w:r w:rsidRPr="00656AF4">
              <w:t xml:space="preserve"> felgyors</w:t>
            </w:r>
            <w:r>
              <w:t>ul</w:t>
            </w:r>
            <w:r w:rsidRPr="00656AF4">
              <w:t xml:space="preserve"> az ingatlanok energetikai célú megújítás</w:t>
            </w:r>
            <w:r>
              <w:t>a.</w:t>
            </w:r>
            <w:r w:rsidR="00984817">
              <w:t xml:space="preserve"> Az előfinanszírozás és annak törlesztésének részletes metódusai a 4.4-es mellékletben (</w:t>
            </w:r>
            <w:r w:rsidR="00984817" w:rsidRPr="00984817">
              <w:t>Energiahatékonysági és Klímavédelmi Alap Koncepció</w:t>
            </w:r>
            <w:r w:rsidR="00984817">
              <w:t>) kerülnek bemutatásra.</w:t>
            </w:r>
          </w:p>
          <w:p w14:paraId="5FE67592" w14:textId="149428EC" w:rsidR="00D63935" w:rsidRDefault="00D63935" w:rsidP="004509D2">
            <w:r w:rsidRPr="00D63935">
              <w:t>Jelen Koncepcióban szereplő projektelemek nem kötelező érvényűek és a konkrét beruházásoknál több alternatívát lehet és kell is vizsgálni.</w:t>
            </w:r>
          </w:p>
        </w:tc>
      </w:tr>
      <w:tr w:rsidR="00A82444" w14:paraId="38E92FA8" w14:textId="77777777" w:rsidTr="00A4524C">
        <w:trPr>
          <w:trHeight w:val="275"/>
        </w:trPr>
        <w:tc>
          <w:tcPr>
            <w:tcW w:w="2472" w:type="dxa"/>
            <w:vMerge w:val="restart"/>
            <w:shd w:val="clear" w:color="auto" w:fill="F2F2F2" w:themeFill="background1" w:themeFillShade="F2"/>
            <w:vAlign w:val="center"/>
          </w:tcPr>
          <w:p w14:paraId="7B94DBB4" w14:textId="64D60650" w:rsidR="00A82444" w:rsidRPr="004509D2" w:rsidRDefault="00A82444" w:rsidP="00800034">
            <w:pPr>
              <w:jc w:val="left"/>
              <w:rPr>
                <w:b/>
                <w:bCs/>
              </w:rPr>
            </w:pPr>
            <w:r w:rsidRPr="004509D2">
              <w:rPr>
                <w:b/>
                <w:bCs/>
                <w:lang w:val="hu-HU"/>
              </w:rPr>
              <w:t>Becsült kiadások és bevételek</w:t>
            </w:r>
          </w:p>
        </w:tc>
        <w:tc>
          <w:tcPr>
            <w:tcW w:w="3347" w:type="dxa"/>
            <w:gridSpan w:val="3"/>
            <w:shd w:val="clear" w:color="auto" w:fill="DEEAF6" w:themeFill="accent5" w:themeFillTint="33"/>
          </w:tcPr>
          <w:p w14:paraId="3B569D47" w14:textId="1F229E10" w:rsidR="00A82444" w:rsidRDefault="00A82444" w:rsidP="00800034">
            <w:r w:rsidRPr="00AD5937">
              <w:t>Újonnan jelentkező karbantartási költség (év</w:t>
            </w:r>
            <w:r>
              <w:t>ente</w:t>
            </w:r>
            <w:r w:rsidRPr="00AD5937">
              <w:t>)</w:t>
            </w:r>
          </w:p>
        </w:tc>
        <w:tc>
          <w:tcPr>
            <w:tcW w:w="3243" w:type="dxa"/>
            <w:gridSpan w:val="6"/>
            <w:vAlign w:val="center"/>
          </w:tcPr>
          <w:p w14:paraId="18BD8021" w14:textId="7137175E" w:rsidR="00A82444" w:rsidRDefault="006309A8" w:rsidP="00AB1AE2">
            <w:pPr>
              <w:jc w:val="left"/>
            </w:pPr>
            <w:r w:rsidRPr="006309A8">
              <w:t>25</w:t>
            </w:r>
            <w:r>
              <w:t>.</w:t>
            </w:r>
            <w:r w:rsidRPr="006309A8">
              <w:t>221</w:t>
            </w:r>
            <w:r>
              <w:t xml:space="preserve"> </w:t>
            </w:r>
            <w:r w:rsidR="00A82444" w:rsidRPr="00D319AD">
              <w:t>EUR</w:t>
            </w:r>
            <w:r w:rsidR="00A82444">
              <w:t>/év</w:t>
            </w:r>
            <w:r>
              <w:t xml:space="preserve"> </w:t>
            </w:r>
          </w:p>
        </w:tc>
      </w:tr>
      <w:tr w:rsidR="00A82444" w14:paraId="2E1D5901" w14:textId="77777777" w:rsidTr="00CA72BE">
        <w:trPr>
          <w:trHeight w:val="275"/>
        </w:trPr>
        <w:tc>
          <w:tcPr>
            <w:tcW w:w="2472" w:type="dxa"/>
            <w:vMerge/>
            <w:shd w:val="clear" w:color="auto" w:fill="F2F2F2" w:themeFill="background1" w:themeFillShade="F2"/>
            <w:vAlign w:val="center"/>
          </w:tcPr>
          <w:p w14:paraId="4C1B3DDD" w14:textId="77777777" w:rsidR="00A82444" w:rsidRPr="004509D2" w:rsidRDefault="00A82444" w:rsidP="00800034">
            <w:pPr>
              <w:jc w:val="left"/>
              <w:rPr>
                <w:b/>
                <w:bCs/>
              </w:rPr>
            </w:pPr>
          </w:p>
        </w:tc>
        <w:tc>
          <w:tcPr>
            <w:tcW w:w="3347" w:type="dxa"/>
            <w:gridSpan w:val="3"/>
            <w:shd w:val="clear" w:color="auto" w:fill="DEEAF6" w:themeFill="accent5" w:themeFillTint="33"/>
          </w:tcPr>
          <w:p w14:paraId="3AD6140A" w14:textId="735AC94F" w:rsidR="00A82444" w:rsidRDefault="00A82444" w:rsidP="00800034">
            <w:r w:rsidRPr="00AB1AE2">
              <w:t>Teljes energiamegtakarítás (év</w:t>
            </w:r>
            <w:r>
              <w:t>ente – rezsicsökkentett árakon</w:t>
            </w:r>
            <w:r w:rsidRPr="00AB1AE2">
              <w:t>)</w:t>
            </w:r>
          </w:p>
        </w:tc>
        <w:tc>
          <w:tcPr>
            <w:tcW w:w="3243" w:type="dxa"/>
            <w:gridSpan w:val="6"/>
            <w:vAlign w:val="center"/>
          </w:tcPr>
          <w:p w14:paraId="4C2121DF" w14:textId="3A4C6547" w:rsidR="00A82444" w:rsidRDefault="00F90199" w:rsidP="00CA72BE">
            <w:pPr>
              <w:jc w:val="left"/>
            </w:pPr>
            <w:r w:rsidRPr="00F90199">
              <w:t>1</w:t>
            </w:r>
            <w:r>
              <w:t>.</w:t>
            </w:r>
            <w:r w:rsidR="00771996">
              <w:t>963</w:t>
            </w:r>
            <w:r>
              <w:t>.</w:t>
            </w:r>
            <w:r w:rsidR="00771996">
              <w:t>122</w:t>
            </w:r>
            <w:r w:rsidR="004804B8">
              <w:t xml:space="preserve"> </w:t>
            </w:r>
            <w:r w:rsidR="00A82444" w:rsidRPr="00D319AD">
              <w:t>EUR</w:t>
            </w:r>
            <w:r w:rsidR="004804B8">
              <w:t>/év</w:t>
            </w:r>
            <w:r>
              <w:t xml:space="preserve"> </w:t>
            </w:r>
          </w:p>
        </w:tc>
      </w:tr>
      <w:tr w:rsidR="00A82444" w14:paraId="5C8AAE98" w14:textId="77777777" w:rsidTr="00CA72BE">
        <w:trPr>
          <w:trHeight w:val="275"/>
        </w:trPr>
        <w:tc>
          <w:tcPr>
            <w:tcW w:w="2472" w:type="dxa"/>
            <w:vMerge/>
            <w:shd w:val="clear" w:color="auto" w:fill="F2F2F2" w:themeFill="background1" w:themeFillShade="F2"/>
            <w:vAlign w:val="center"/>
          </w:tcPr>
          <w:p w14:paraId="413D39B0" w14:textId="77777777" w:rsidR="00A82444" w:rsidRPr="004509D2" w:rsidRDefault="00A82444" w:rsidP="00800034">
            <w:pPr>
              <w:jc w:val="left"/>
              <w:rPr>
                <w:b/>
                <w:bCs/>
              </w:rPr>
            </w:pPr>
          </w:p>
        </w:tc>
        <w:tc>
          <w:tcPr>
            <w:tcW w:w="3347" w:type="dxa"/>
            <w:gridSpan w:val="3"/>
            <w:shd w:val="clear" w:color="auto" w:fill="DEEAF6" w:themeFill="accent5" w:themeFillTint="33"/>
          </w:tcPr>
          <w:p w14:paraId="64DAF96A" w14:textId="5E6564BE" w:rsidR="00A82444" w:rsidRPr="00AB1AE2" w:rsidRDefault="00A82444" w:rsidP="00800034">
            <w:r w:rsidRPr="00AB1AE2">
              <w:t>Teljes energiamegtakarítás (év</w:t>
            </w:r>
            <w:r>
              <w:t>ente – piaci árakon</w:t>
            </w:r>
            <w:r w:rsidRPr="00AB1AE2">
              <w:t>)</w:t>
            </w:r>
          </w:p>
        </w:tc>
        <w:tc>
          <w:tcPr>
            <w:tcW w:w="3243" w:type="dxa"/>
            <w:gridSpan w:val="6"/>
            <w:vAlign w:val="center"/>
          </w:tcPr>
          <w:p w14:paraId="3F9F479A" w14:textId="30F5F683" w:rsidR="00A82444" w:rsidRPr="00D319AD" w:rsidRDefault="00771996" w:rsidP="00CA72BE">
            <w:pPr>
              <w:jc w:val="left"/>
            </w:pPr>
            <w:r>
              <w:t>4</w:t>
            </w:r>
            <w:r w:rsidR="00F90199">
              <w:t>.</w:t>
            </w:r>
            <w:r>
              <w:t>480</w:t>
            </w:r>
            <w:r w:rsidR="00F90199">
              <w:t>.</w:t>
            </w:r>
            <w:r>
              <w:t>673</w:t>
            </w:r>
            <w:r w:rsidR="00F90199">
              <w:t xml:space="preserve"> </w:t>
            </w:r>
            <w:r w:rsidR="00A82444">
              <w:t>EUR</w:t>
            </w:r>
            <w:r w:rsidR="004804B8">
              <w:t>/év</w:t>
            </w:r>
            <w:r w:rsidR="00F90199">
              <w:t xml:space="preserve"> </w:t>
            </w:r>
          </w:p>
        </w:tc>
      </w:tr>
      <w:tr w:rsidR="00800034" w14:paraId="23598806" w14:textId="77777777" w:rsidTr="00A4524C">
        <w:trPr>
          <w:trHeight w:val="275"/>
        </w:trPr>
        <w:tc>
          <w:tcPr>
            <w:tcW w:w="2472" w:type="dxa"/>
            <w:vMerge w:val="restart"/>
            <w:shd w:val="clear" w:color="auto" w:fill="F2F2F2" w:themeFill="background1" w:themeFillShade="F2"/>
            <w:vAlign w:val="center"/>
          </w:tcPr>
          <w:p w14:paraId="1D847EED" w14:textId="3CC42552" w:rsidR="00800034" w:rsidRPr="004509D2" w:rsidRDefault="00800034" w:rsidP="00800034">
            <w:pPr>
              <w:jc w:val="left"/>
              <w:rPr>
                <w:b/>
                <w:bCs/>
              </w:rPr>
            </w:pPr>
            <w:r w:rsidRPr="004509D2">
              <w:rPr>
                <w:b/>
                <w:bCs/>
                <w:lang w:val="hu-HU"/>
              </w:rPr>
              <w:t>Gazdasági életképesség</w:t>
            </w:r>
          </w:p>
        </w:tc>
        <w:tc>
          <w:tcPr>
            <w:tcW w:w="2485" w:type="dxa"/>
            <w:shd w:val="clear" w:color="auto" w:fill="DEEAF6" w:themeFill="accent5" w:themeFillTint="33"/>
            <w:vAlign w:val="center"/>
          </w:tcPr>
          <w:p w14:paraId="722DED86" w14:textId="46B242DA" w:rsidR="00800034" w:rsidRDefault="00800034" w:rsidP="00800034">
            <w:pPr>
              <w:jc w:val="center"/>
            </w:pPr>
            <w:r w:rsidRPr="00431F79">
              <w:t>Egyszerű megtérülési idő</w:t>
            </w:r>
          </w:p>
        </w:tc>
        <w:tc>
          <w:tcPr>
            <w:tcW w:w="2126" w:type="dxa"/>
            <w:gridSpan w:val="5"/>
            <w:shd w:val="clear" w:color="auto" w:fill="DEEAF6" w:themeFill="accent5" w:themeFillTint="33"/>
            <w:vAlign w:val="center"/>
          </w:tcPr>
          <w:p w14:paraId="66FE1FDE" w14:textId="0C7E4AB9" w:rsidR="00800034" w:rsidRDefault="00800034" w:rsidP="00800034">
            <w:pPr>
              <w:jc w:val="center"/>
            </w:pPr>
            <w:r w:rsidRPr="00431F79">
              <w:t>Nettó jelenérték</w:t>
            </w:r>
          </w:p>
        </w:tc>
        <w:tc>
          <w:tcPr>
            <w:tcW w:w="1979" w:type="dxa"/>
            <w:gridSpan w:val="3"/>
            <w:shd w:val="clear" w:color="auto" w:fill="DEEAF6" w:themeFill="accent5" w:themeFillTint="33"/>
            <w:vAlign w:val="center"/>
          </w:tcPr>
          <w:p w14:paraId="7F05FA20" w14:textId="165315F6" w:rsidR="00800034" w:rsidRDefault="00800034" w:rsidP="00800034">
            <w:pPr>
              <w:jc w:val="center"/>
            </w:pPr>
            <w:r w:rsidRPr="00431F79">
              <w:t>Belső megtérülési ráta</w:t>
            </w:r>
          </w:p>
        </w:tc>
      </w:tr>
      <w:tr w:rsidR="00800034" w14:paraId="36AF64A0" w14:textId="77777777" w:rsidTr="00A4524C">
        <w:trPr>
          <w:trHeight w:val="275"/>
        </w:trPr>
        <w:tc>
          <w:tcPr>
            <w:tcW w:w="2472" w:type="dxa"/>
            <w:vMerge/>
            <w:shd w:val="clear" w:color="auto" w:fill="F2F2F2" w:themeFill="background1" w:themeFillShade="F2"/>
            <w:vAlign w:val="center"/>
          </w:tcPr>
          <w:p w14:paraId="31FED4D7" w14:textId="77777777" w:rsidR="00800034" w:rsidRPr="004509D2" w:rsidRDefault="00800034" w:rsidP="00563583">
            <w:pPr>
              <w:jc w:val="left"/>
              <w:rPr>
                <w:b/>
                <w:bCs/>
              </w:rPr>
            </w:pPr>
          </w:p>
        </w:tc>
        <w:tc>
          <w:tcPr>
            <w:tcW w:w="2485" w:type="dxa"/>
            <w:vAlign w:val="center"/>
          </w:tcPr>
          <w:p w14:paraId="4BE30FAB" w14:textId="5F167AD7" w:rsidR="00800034" w:rsidRDefault="000A1DC8" w:rsidP="00AC0967">
            <w:pPr>
              <w:jc w:val="center"/>
            </w:pPr>
            <w:r w:rsidRPr="000A1DC8">
              <w:t>48,</w:t>
            </w:r>
            <w:r w:rsidR="008C7CCE">
              <w:t>5</w:t>
            </w:r>
            <w:r w:rsidR="00C45B3F">
              <w:t xml:space="preserve"> év</w:t>
            </w:r>
            <w:r w:rsidR="008C7CCE">
              <w:rPr>
                <w:rStyle w:val="Lbjegyzet-hivatkozs"/>
              </w:rPr>
              <w:footnoteReference w:id="3"/>
            </w:r>
          </w:p>
        </w:tc>
        <w:tc>
          <w:tcPr>
            <w:tcW w:w="2126" w:type="dxa"/>
            <w:gridSpan w:val="5"/>
            <w:vAlign w:val="center"/>
          </w:tcPr>
          <w:p w14:paraId="23580EB5" w14:textId="77777777" w:rsidR="004A1853" w:rsidRPr="004A1853" w:rsidRDefault="004A1853" w:rsidP="004A1853">
            <w:pPr>
              <w:spacing w:after="0"/>
              <w:jc w:val="center"/>
            </w:pPr>
            <w:r w:rsidRPr="004A1853">
              <w:t>- 79 989 659,68 EUR</w:t>
            </w:r>
          </w:p>
          <w:p w14:paraId="60DCF427" w14:textId="3197C6FE" w:rsidR="00800034" w:rsidRDefault="004A1853" w:rsidP="004A1853">
            <w:pPr>
              <w:spacing w:before="40"/>
              <w:jc w:val="center"/>
            </w:pPr>
            <w:r w:rsidRPr="004A1853">
              <w:rPr>
                <w:sz w:val="18"/>
                <w:szCs w:val="18"/>
              </w:rPr>
              <w:t>Diszkont kamatláb: 16,1%</w:t>
            </w:r>
          </w:p>
        </w:tc>
        <w:tc>
          <w:tcPr>
            <w:tcW w:w="1979" w:type="dxa"/>
            <w:gridSpan w:val="3"/>
            <w:vAlign w:val="center"/>
          </w:tcPr>
          <w:p w14:paraId="1837FB46" w14:textId="3B9F0302" w:rsidR="00800034" w:rsidRDefault="000A1DC8" w:rsidP="00AC0967">
            <w:pPr>
              <w:jc w:val="center"/>
            </w:pPr>
            <w:r w:rsidRPr="000A1DC8">
              <w:t>0,0</w:t>
            </w:r>
            <w:r w:rsidR="004A1853">
              <w:t>9</w:t>
            </w:r>
            <w:r w:rsidRPr="000A1DC8">
              <w:t>4%</w:t>
            </w:r>
          </w:p>
        </w:tc>
      </w:tr>
      <w:tr w:rsidR="00800034" w14:paraId="3F66A9C3" w14:textId="77777777" w:rsidTr="00603FA9">
        <w:trPr>
          <w:trHeight w:val="275"/>
        </w:trPr>
        <w:tc>
          <w:tcPr>
            <w:tcW w:w="2472" w:type="dxa"/>
            <w:vMerge w:val="restart"/>
            <w:shd w:val="clear" w:color="auto" w:fill="F2F2F2" w:themeFill="background1" w:themeFillShade="F2"/>
            <w:vAlign w:val="center"/>
          </w:tcPr>
          <w:p w14:paraId="3EDBB6CB" w14:textId="6FAB52D1" w:rsidR="00800034" w:rsidRPr="00A438DB" w:rsidRDefault="00800034" w:rsidP="00800034">
            <w:pPr>
              <w:jc w:val="left"/>
              <w:rPr>
                <w:b/>
                <w:bCs/>
                <w:lang w:val="hu-HU"/>
              </w:rPr>
            </w:pPr>
            <w:r w:rsidRPr="004509D2">
              <w:rPr>
                <w:b/>
                <w:bCs/>
                <w:lang w:val="hu-HU"/>
              </w:rPr>
              <w:t>Várható hatások</w:t>
            </w:r>
          </w:p>
        </w:tc>
        <w:tc>
          <w:tcPr>
            <w:tcW w:w="3347" w:type="dxa"/>
            <w:gridSpan w:val="3"/>
            <w:shd w:val="clear" w:color="auto" w:fill="DEEAF6" w:themeFill="accent5" w:themeFillTint="33"/>
          </w:tcPr>
          <w:p w14:paraId="02D82364" w14:textId="5096B51D" w:rsidR="00800034" w:rsidRDefault="00800034" w:rsidP="00C60377">
            <w:pPr>
              <w:jc w:val="left"/>
            </w:pPr>
            <w:r w:rsidRPr="00BA5ACF">
              <w:t>Energiamegtakarítás</w:t>
            </w:r>
            <w:r w:rsidR="00C60377">
              <w:t xml:space="preserve"> (fűtési hőigény megtakarítás)</w:t>
            </w:r>
          </w:p>
        </w:tc>
        <w:tc>
          <w:tcPr>
            <w:tcW w:w="1831" w:type="dxa"/>
            <w:gridSpan w:val="4"/>
            <w:vAlign w:val="center"/>
          </w:tcPr>
          <w:p w14:paraId="38D25559" w14:textId="47D35607" w:rsidR="00800034" w:rsidRDefault="00603FA9" w:rsidP="00603FA9">
            <w:pPr>
              <w:jc w:val="center"/>
            </w:pPr>
            <w:r>
              <w:t>33,1</w:t>
            </w:r>
          </w:p>
        </w:tc>
        <w:tc>
          <w:tcPr>
            <w:tcW w:w="1412" w:type="dxa"/>
            <w:gridSpan w:val="2"/>
            <w:vAlign w:val="center"/>
          </w:tcPr>
          <w:p w14:paraId="0E005FC4" w14:textId="44D524B3" w:rsidR="00800034" w:rsidRDefault="00800034" w:rsidP="00603FA9">
            <w:pPr>
              <w:jc w:val="center"/>
            </w:pPr>
            <w:r w:rsidRPr="00BA5ACF">
              <w:t>GWh/év</w:t>
            </w:r>
          </w:p>
        </w:tc>
      </w:tr>
      <w:tr w:rsidR="00800034" w14:paraId="012097C0" w14:textId="77777777" w:rsidTr="00B445FA">
        <w:trPr>
          <w:trHeight w:val="275"/>
        </w:trPr>
        <w:tc>
          <w:tcPr>
            <w:tcW w:w="2472" w:type="dxa"/>
            <w:vMerge/>
            <w:shd w:val="clear" w:color="auto" w:fill="F2F2F2" w:themeFill="background1" w:themeFillShade="F2"/>
            <w:vAlign w:val="center"/>
          </w:tcPr>
          <w:p w14:paraId="0D7F39FB" w14:textId="77777777" w:rsidR="00800034" w:rsidRPr="004509D2" w:rsidRDefault="00800034" w:rsidP="00800034">
            <w:pPr>
              <w:jc w:val="left"/>
              <w:rPr>
                <w:b/>
                <w:bCs/>
              </w:rPr>
            </w:pPr>
          </w:p>
        </w:tc>
        <w:tc>
          <w:tcPr>
            <w:tcW w:w="3347" w:type="dxa"/>
            <w:gridSpan w:val="3"/>
            <w:shd w:val="clear" w:color="auto" w:fill="DEEAF6" w:themeFill="accent5" w:themeFillTint="33"/>
          </w:tcPr>
          <w:p w14:paraId="6BA2D44E" w14:textId="018786C4" w:rsidR="00800034" w:rsidRDefault="00DC43B6" w:rsidP="00800034">
            <w:r>
              <w:t>M</w:t>
            </w:r>
            <w:r w:rsidR="00800034" w:rsidRPr="00BA5ACF">
              <w:t>egújuló energia</w:t>
            </w:r>
          </w:p>
        </w:tc>
        <w:tc>
          <w:tcPr>
            <w:tcW w:w="1831" w:type="dxa"/>
            <w:gridSpan w:val="4"/>
            <w:vAlign w:val="center"/>
          </w:tcPr>
          <w:p w14:paraId="60B79D3C" w14:textId="528FA8D2" w:rsidR="00800034" w:rsidRDefault="00DC43B6" w:rsidP="00B445FA">
            <w:pPr>
              <w:jc w:val="center"/>
            </w:pPr>
            <w:r>
              <w:t>23</w:t>
            </w:r>
            <w:r w:rsidR="00B445FA" w:rsidRPr="00B445FA">
              <w:t>,</w:t>
            </w:r>
            <w:r>
              <w:t>2</w:t>
            </w:r>
          </w:p>
        </w:tc>
        <w:tc>
          <w:tcPr>
            <w:tcW w:w="1412" w:type="dxa"/>
            <w:gridSpan w:val="2"/>
          </w:tcPr>
          <w:p w14:paraId="64E004AF" w14:textId="4F1208CA" w:rsidR="00800034" w:rsidRDefault="00800034" w:rsidP="00800034">
            <w:pPr>
              <w:jc w:val="center"/>
            </w:pPr>
            <w:r w:rsidRPr="00BA5ACF">
              <w:t>GWh/év</w:t>
            </w:r>
          </w:p>
        </w:tc>
      </w:tr>
      <w:tr w:rsidR="00800034" w14:paraId="28F50857" w14:textId="77777777" w:rsidTr="00A4524C">
        <w:trPr>
          <w:trHeight w:val="275"/>
        </w:trPr>
        <w:tc>
          <w:tcPr>
            <w:tcW w:w="2472" w:type="dxa"/>
            <w:vMerge/>
            <w:shd w:val="clear" w:color="auto" w:fill="F2F2F2" w:themeFill="background1" w:themeFillShade="F2"/>
            <w:vAlign w:val="center"/>
          </w:tcPr>
          <w:p w14:paraId="5A6A62FC" w14:textId="77777777" w:rsidR="00800034" w:rsidRPr="004509D2" w:rsidRDefault="00800034" w:rsidP="00800034">
            <w:pPr>
              <w:jc w:val="left"/>
              <w:rPr>
                <w:b/>
                <w:bCs/>
              </w:rPr>
            </w:pPr>
          </w:p>
        </w:tc>
        <w:tc>
          <w:tcPr>
            <w:tcW w:w="3347" w:type="dxa"/>
            <w:gridSpan w:val="3"/>
            <w:shd w:val="clear" w:color="auto" w:fill="DEEAF6" w:themeFill="accent5" w:themeFillTint="33"/>
          </w:tcPr>
          <w:p w14:paraId="07E21DE2" w14:textId="351EA00D" w:rsidR="00800034" w:rsidRDefault="00800034" w:rsidP="00800034">
            <w:r w:rsidRPr="00BA5ACF">
              <w:t>Elkerült CO</w:t>
            </w:r>
            <w:r w:rsidRPr="00800034">
              <w:rPr>
                <w:vertAlign w:val="subscript"/>
              </w:rPr>
              <w:t>2</w:t>
            </w:r>
            <w:r w:rsidRPr="00BA5ACF">
              <w:t xml:space="preserve"> kibocsátás</w:t>
            </w:r>
          </w:p>
        </w:tc>
        <w:tc>
          <w:tcPr>
            <w:tcW w:w="1831" w:type="dxa"/>
            <w:gridSpan w:val="4"/>
          </w:tcPr>
          <w:p w14:paraId="08A1102A" w14:textId="728A26CD" w:rsidR="00800034" w:rsidRDefault="00DC43B6" w:rsidP="003A30A6">
            <w:pPr>
              <w:jc w:val="center"/>
            </w:pPr>
            <w:r>
              <w:t>14</w:t>
            </w:r>
            <w:r w:rsidR="005E07C6">
              <w:t>.</w:t>
            </w:r>
            <w:r>
              <w:t>682</w:t>
            </w:r>
          </w:p>
        </w:tc>
        <w:tc>
          <w:tcPr>
            <w:tcW w:w="1412" w:type="dxa"/>
            <w:gridSpan w:val="2"/>
          </w:tcPr>
          <w:p w14:paraId="3E644D44" w14:textId="72EED45B" w:rsidR="00800034" w:rsidRDefault="00800034" w:rsidP="00800034">
            <w:pPr>
              <w:jc w:val="center"/>
            </w:pPr>
            <w:r w:rsidRPr="00BA5ACF">
              <w:t>tCO</w:t>
            </w:r>
            <w:r w:rsidRPr="00800034">
              <w:rPr>
                <w:vertAlign w:val="subscript"/>
              </w:rPr>
              <w:t>2</w:t>
            </w:r>
            <w:r w:rsidRPr="00CA2CF4">
              <w:rPr>
                <w:vertAlign w:val="subscript"/>
              </w:rPr>
              <w:t>eq</w:t>
            </w:r>
            <w:r w:rsidRPr="00BA5ACF">
              <w:t>/év</w:t>
            </w:r>
          </w:p>
        </w:tc>
      </w:tr>
      <w:tr w:rsidR="00F22FC0" w14:paraId="505FF24B" w14:textId="77777777" w:rsidTr="00A4524C">
        <w:trPr>
          <w:trHeight w:val="275"/>
        </w:trPr>
        <w:tc>
          <w:tcPr>
            <w:tcW w:w="2472" w:type="dxa"/>
            <w:vMerge/>
            <w:shd w:val="clear" w:color="auto" w:fill="F2F2F2" w:themeFill="background1" w:themeFillShade="F2"/>
            <w:vAlign w:val="center"/>
          </w:tcPr>
          <w:p w14:paraId="5B4DB4E4" w14:textId="77777777" w:rsidR="00F22FC0" w:rsidRPr="004509D2" w:rsidRDefault="00F22FC0" w:rsidP="00800034">
            <w:pPr>
              <w:jc w:val="left"/>
              <w:rPr>
                <w:b/>
                <w:bCs/>
              </w:rPr>
            </w:pPr>
          </w:p>
        </w:tc>
        <w:tc>
          <w:tcPr>
            <w:tcW w:w="3347" w:type="dxa"/>
            <w:gridSpan w:val="3"/>
            <w:shd w:val="clear" w:color="auto" w:fill="DEEAF6" w:themeFill="accent5" w:themeFillTint="33"/>
          </w:tcPr>
          <w:p w14:paraId="4B538219" w14:textId="4F55ABC2" w:rsidR="00F22FC0" w:rsidRDefault="00F22FC0" w:rsidP="00800034">
            <w:r w:rsidRPr="00BA5ACF">
              <w:t>Egyéb hatások</w:t>
            </w:r>
          </w:p>
        </w:tc>
        <w:tc>
          <w:tcPr>
            <w:tcW w:w="3243" w:type="dxa"/>
            <w:gridSpan w:val="6"/>
          </w:tcPr>
          <w:p w14:paraId="10155A80" w14:textId="77777777" w:rsidR="00F22FC0" w:rsidRPr="00F22FC0" w:rsidRDefault="00F22FC0" w:rsidP="006477B3">
            <w:pPr>
              <w:jc w:val="left"/>
            </w:pPr>
            <w:r w:rsidRPr="00F22FC0">
              <w:t>A megtakarított energiamennyiség hozzájárul egy fenntarthatóbb környezet, valamint egy modernebb energiaellátási rendszer kialakulásához.</w:t>
            </w:r>
          </w:p>
          <w:p w14:paraId="1E3D97A6" w14:textId="77777777" w:rsidR="00F22FC0" w:rsidRPr="00F22FC0" w:rsidRDefault="00F22FC0" w:rsidP="006477B3">
            <w:pPr>
              <w:jc w:val="left"/>
            </w:pPr>
            <w:r w:rsidRPr="00F22FC0">
              <w:t>A projektben tervezett megoldások által egyre szélesebb társadalmi rétegek találkozhatnak a klímaváltozás, az energiahatékonyság és a megújuló energiaforrások témaköreivel, ismereteik jelentősen bővülhetnek ezeken a területeken, a klímaváltozással és légszennyezéssel kapcsolatos felelősségtudatuk felerősödhet, illetve a projekt katalizátora lehet további kezdeményezések elindításának.</w:t>
            </w:r>
          </w:p>
          <w:p w14:paraId="3BEF8928" w14:textId="11E7FC12" w:rsidR="00F22FC0" w:rsidRPr="00F22FC0" w:rsidRDefault="00F22FC0" w:rsidP="006477B3">
            <w:pPr>
              <w:jc w:val="left"/>
            </w:pPr>
            <w:r w:rsidRPr="00F22FC0">
              <w:t xml:space="preserve">A fosszilis tüzelőanyagok kiváltása és használatuk csökkentése javítja a </w:t>
            </w:r>
            <w:r w:rsidR="00F226B0">
              <w:t xml:space="preserve">kerület </w:t>
            </w:r>
            <w:r w:rsidRPr="00F22FC0">
              <w:t xml:space="preserve">levegőminőségét. A légszennyezés visszafogása támogatja az épített és a természeti környezet megóvását, minőségi javítását, illetve általánosságban az egészséges </w:t>
            </w:r>
            <w:r w:rsidRPr="00F22FC0">
              <w:lastRenderedPageBreak/>
              <w:t>környezet felé történő elmozdulást.</w:t>
            </w:r>
          </w:p>
          <w:p w14:paraId="6F6D92CE" w14:textId="77777777" w:rsidR="00F22FC0" w:rsidRPr="00F22FC0" w:rsidRDefault="00F22FC0" w:rsidP="006477B3">
            <w:pPr>
              <w:jc w:val="left"/>
            </w:pPr>
            <w:r w:rsidRPr="00F22FC0">
              <w:t>Az ÜHG kibocsátás csökkentésével a projekt a klímaváltozás lassításában is szerepet vállal.</w:t>
            </w:r>
          </w:p>
          <w:p w14:paraId="4F216D03" w14:textId="59A5C96B" w:rsidR="00F22FC0" w:rsidRDefault="00F22FC0" w:rsidP="006477B3">
            <w:pPr>
              <w:jc w:val="left"/>
            </w:pPr>
            <w:r w:rsidRPr="00F22FC0">
              <w:t>A projekt hozzájárul a helyi lakosság megélhetési költségeinek mérsékléséhez, az energiaszegénység csökkentéséhez.</w:t>
            </w:r>
          </w:p>
        </w:tc>
      </w:tr>
    </w:tbl>
    <w:p w14:paraId="3BEE2D10" w14:textId="30C2B8C3" w:rsidR="00800034" w:rsidRDefault="00800034"/>
    <w:p w14:paraId="3936CDFB" w14:textId="4AF4B17B" w:rsidR="00800034" w:rsidRDefault="00800034">
      <w:pPr>
        <w:jc w:val="left"/>
      </w:pPr>
    </w:p>
    <w:p w14:paraId="0FE02B23" w14:textId="75773BBF" w:rsidR="00800034" w:rsidRDefault="00800034" w:rsidP="00800034">
      <w:pPr>
        <w:pStyle w:val="Cmsor1"/>
        <w:numPr>
          <w:ilvl w:val="0"/>
          <w:numId w:val="0"/>
        </w:numPr>
      </w:pPr>
      <w:bookmarkStart w:id="2" w:name="_Toc133510155"/>
      <w:r>
        <w:t>B. Kapcsolat</w:t>
      </w:r>
      <w:bookmarkEnd w:id="2"/>
    </w:p>
    <w:tbl>
      <w:tblPr>
        <w:tblStyle w:val="Rcsostblzat"/>
        <w:tblW w:w="0" w:type="auto"/>
        <w:tblLook w:val="04A0" w:firstRow="1" w:lastRow="0" w:firstColumn="1" w:lastColumn="0" w:noHBand="0" w:noVBand="1"/>
      </w:tblPr>
      <w:tblGrid>
        <w:gridCol w:w="2263"/>
        <w:gridCol w:w="6799"/>
      </w:tblGrid>
      <w:tr w:rsidR="00800034" w14:paraId="5F3AC8D3" w14:textId="77777777" w:rsidTr="00A438DB">
        <w:tc>
          <w:tcPr>
            <w:tcW w:w="2263" w:type="dxa"/>
            <w:shd w:val="clear" w:color="auto" w:fill="F2F2F2" w:themeFill="background1" w:themeFillShade="F2"/>
          </w:tcPr>
          <w:p w14:paraId="5AFBB8DD" w14:textId="35D7101D" w:rsidR="00800034" w:rsidRPr="00CA2CF4" w:rsidRDefault="00800034" w:rsidP="00800034">
            <w:pPr>
              <w:rPr>
                <w:b/>
                <w:bCs/>
              </w:rPr>
            </w:pPr>
            <w:r w:rsidRPr="00CA2CF4">
              <w:rPr>
                <w:b/>
                <w:bCs/>
              </w:rPr>
              <w:t>Kapcsolattartó</w:t>
            </w:r>
          </w:p>
        </w:tc>
        <w:tc>
          <w:tcPr>
            <w:tcW w:w="6799" w:type="dxa"/>
          </w:tcPr>
          <w:p w14:paraId="05EFE542" w14:textId="5A37B10B" w:rsidR="00800034" w:rsidRDefault="003E7D3A" w:rsidP="00800034">
            <w:r>
              <w:t>Tóth Csaba</w:t>
            </w:r>
          </w:p>
        </w:tc>
      </w:tr>
      <w:tr w:rsidR="00800034" w14:paraId="57075707" w14:textId="77777777" w:rsidTr="00A438DB">
        <w:tc>
          <w:tcPr>
            <w:tcW w:w="2263" w:type="dxa"/>
            <w:shd w:val="clear" w:color="auto" w:fill="F2F2F2" w:themeFill="background1" w:themeFillShade="F2"/>
          </w:tcPr>
          <w:p w14:paraId="6D373B2A" w14:textId="169201A1" w:rsidR="00800034" w:rsidRPr="00CA2CF4" w:rsidRDefault="00800034" w:rsidP="00800034">
            <w:pPr>
              <w:rPr>
                <w:b/>
                <w:bCs/>
              </w:rPr>
            </w:pPr>
            <w:r w:rsidRPr="00CA2CF4">
              <w:rPr>
                <w:b/>
                <w:bCs/>
              </w:rPr>
              <w:t>Szervezet</w:t>
            </w:r>
          </w:p>
        </w:tc>
        <w:tc>
          <w:tcPr>
            <w:tcW w:w="6799" w:type="dxa"/>
          </w:tcPr>
          <w:p w14:paraId="7AE5A567" w14:textId="7AB74ADE" w:rsidR="00800034" w:rsidRDefault="00AF729F" w:rsidP="00800034">
            <w:r w:rsidRPr="00AF729F">
              <w:t>Budapest Főváros VII. kerület Erzsébetváros Önkormányzata, adószáma: 15735708-2-42</w:t>
            </w:r>
          </w:p>
        </w:tc>
      </w:tr>
      <w:tr w:rsidR="00800034" w14:paraId="2BF9A6A5" w14:textId="77777777" w:rsidTr="00A438DB">
        <w:tc>
          <w:tcPr>
            <w:tcW w:w="2263" w:type="dxa"/>
            <w:shd w:val="clear" w:color="auto" w:fill="F2F2F2" w:themeFill="background1" w:themeFillShade="F2"/>
          </w:tcPr>
          <w:p w14:paraId="4FA29610" w14:textId="31192758" w:rsidR="00800034" w:rsidRPr="00CA2CF4" w:rsidRDefault="00800034" w:rsidP="00800034">
            <w:pPr>
              <w:rPr>
                <w:b/>
                <w:bCs/>
              </w:rPr>
            </w:pPr>
            <w:r w:rsidRPr="00CA2CF4">
              <w:rPr>
                <w:b/>
                <w:bCs/>
              </w:rPr>
              <w:t>Részleg</w:t>
            </w:r>
          </w:p>
        </w:tc>
        <w:tc>
          <w:tcPr>
            <w:tcW w:w="6799" w:type="dxa"/>
          </w:tcPr>
          <w:p w14:paraId="2B63BA95" w14:textId="6189DBA2" w:rsidR="00800034" w:rsidRDefault="00AF729F" w:rsidP="00800034">
            <w:r w:rsidRPr="00AF729F">
              <w:t>Klímavédelmi és Fenntarthatósági Kabinet</w:t>
            </w:r>
          </w:p>
        </w:tc>
      </w:tr>
      <w:tr w:rsidR="00800034" w14:paraId="4EADD6E9" w14:textId="77777777" w:rsidTr="00A438DB">
        <w:tc>
          <w:tcPr>
            <w:tcW w:w="2263" w:type="dxa"/>
            <w:shd w:val="clear" w:color="auto" w:fill="F2F2F2" w:themeFill="background1" w:themeFillShade="F2"/>
          </w:tcPr>
          <w:p w14:paraId="237ACA7B" w14:textId="2D072586" w:rsidR="00800034" w:rsidRPr="00CA2CF4" w:rsidRDefault="00800034" w:rsidP="00800034">
            <w:pPr>
              <w:rPr>
                <w:b/>
                <w:bCs/>
              </w:rPr>
            </w:pPr>
            <w:r w:rsidRPr="00CA2CF4">
              <w:rPr>
                <w:b/>
                <w:bCs/>
              </w:rPr>
              <w:t>Utca, házszám</w:t>
            </w:r>
          </w:p>
        </w:tc>
        <w:tc>
          <w:tcPr>
            <w:tcW w:w="6799" w:type="dxa"/>
          </w:tcPr>
          <w:p w14:paraId="38B68F8D" w14:textId="2D7A7502" w:rsidR="00800034" w:rsidRDefault="00AF729F" w:rsidP="00800034">
            <w:r w:rsidRPr="00AF729F">
              <w:t>Erzsébet krt. 6.</w:t>
            </w:r>
          </w:p>
        </w:tc>
      </w:tr>
      <w:tr w:rsidR="00800034" w14:paraId="3DA29342" w14:textId="77777777" w:rsidTr="003C1E79">
        <w:tc>
          <w:tcPr>
            <w:tcW w:w="2263" w:type="dxa"/>
            <w:shd w:val="clear" w:color="auto" w:fill="F2F2F2" w:themeFill="background1" w:themeFillShade="F2"/>
          </w:tcPr>
          <w:p w14:paraId="7E1A7571" w14:textId="06375542" w:rsidR="00800034" w:rsidRPr="00CA2CF4" w:rsidRDefault="00800034" w:rsidP="00800034">
            <w:pPr>
              <w:rPr>
                <w:b/>
                <w:bCs/>
              </w:rPr>
            </w:pPr>
            <w:r w:rsidRPr="00CA2CF4">
              <w:rPr>
                <w:b/>
                <w:bCs/>
              </w:rPr>
              <w:t>Irányítószám, település</w:t>
            </w:r>
          </w:p>
        </w:tc>
        <w:tc>
          <w:tcPr>
            <w:tcW w:w="6799" w:type="dxa"/>
            <w:vAlign w:val="center"/>
          </w:tcPr>
          <w:p w14:paraId="58187738" w14:textId="5D748DD4" w:rsidR="00800034" w:rsidRDefault="00AF729F" w:rsidP="003C1E79">
            <w:pPr>
              <w:jc w:val="left"/>
            </w:pPr>
            <w:r w:rsidRPr="00AF729F">
              <w:t>1073 Budapest</w:t>
            </w:r>
          </w:p>
        </w:tc>
      </w:tr>
      <w:tr w:rsidR="00800034" w14:paraId="0A805816" w14:textId="77777777" w:rsidTr="00A438DB">
        <w:tc>
          <w:tcPr>
            <w:tcW w:w="2263" w:type="dxa"/>
            <w:shd w:val="clear" w:color="auto" w:fill="F2F2F2" w:themeFill="background1" w:themeFillShade="F2"/>
          </w:tcPr>
          <w:p w14:paraId="20F824BE" w14:textId="13CE74B5" w:rsidR="00800034" w:rsidRPr="00CA2CF4" w:rsidRDefault="00800034" w:rsidP="00800034">
            <w:pPr>
              <w:rPr>
                <w:b/>
                <w:bCs/>
              </w:rPr>
            </w:pPr>
            <w:r w:rsidRPr="00CA2CF4">
              <w:rPr>
                <w:b/>
                <w:bCs/>
              </w:rPr>
              <w:t>Ország</w:t>
            </w:r>
          </w:p>
        </w:tc>
        <w:tc>
          <w:tcPr>
            <w:tcW w:w="6799" w:type="dxa"/>
          </w:tcPr>
          <w:p w14:paraId="6AA657BA" w14:textId="164F309D" w:rsidR="00800034" w:rsidRDefault="00AF729F" w:rsidP="00800034">
            <w:r w:rsidRPr="00AF729F">
              <w:t>Magyarország</w:t>
            </w:r>
          </w:p>
        </w:tc>
      </w:tr>
      <w:tr w:rsidR="00800034" w14:paraId="6CC743BC" w14:textId="77777777" w:rsidTr="00A438DB">
        <w:tc>
          <w:tcPr>
            <w:tcW w:w="2263" w:type="dxa"/>
            <w:shd w:val="clear" w:color="auto" w:fill="F2F2F2" w:themeFill="background1" w:themeFillShade="F2"/>
          </w:tcPr>
          <w:p w14:paraId="78BFEB7A" w14:textId="72601247" w:rsidR="00800034" w:rsidRPr="00CA2CF4" w:rsidRDefault="00800034" w:rsidP="00800034">
            <w:pPr>
              <w:rPr>
                <w:b/>
                <w:bCs/>
              </w:rPr>
            </w:pPr>
            <w:r w:rsidRPr="00CA2CF4">
              <w:rPr>
                <w:b/>
                <w:bCs/>
              </w:rPr>
              <w:t>Telefonszám</w:t>
            </w:r>
          </w:p>
        </w:tc>
        <w:tc>
          <w:tcPr>
            <w:tcW w:w="6799" w:type="dxa"/>
          </w:tcPr>
          <w:p w14:paraId="75B99CF4" w14:textId="44D07B20" w:rsidR="00800034" w:rsidRDefault="00AF729F" w:rsidP="00800034">
            <w:r w:rsidRPr="00AF729F">
              <w:t>+3614623251</w:t>
            </w:r>
          </w:p>
        </w:tc>
      </w:tr>
      <w:tr w:rsidR="00800034" w14:paraId="0158483D" w14:textId="77777777" w:rsidTr="00A438DB">
        <w:tc>
          <w:tcPr>
            <w:tcW w:w="2263" w:type="dxa"/>
            <w:shd w:val="clear" w:color="auto" w:fill="F2F2F2" w:themeFill="background1" w:themeFillShade="F2"/>
          </w:tcPr>
          <w:p w14:paraId="337E7052" w14:textId="6AAA156B" w:rsidR="00800034" w:rsidRPr="00CA2CF4" w:rsidRDefault="00800034" w:rsidP="00800034">
            <w:pPr>
              <w:rPr>
                <w:b/>
                <w:bCs/>
              </w:rPr>
            </w:pPr>
            <w:r w:rsidRPr="00CA2CF4">
              <w:rPr>
                <w:b/>
                <w:bCs/>
              </w:rPr>
              <w:t>E-mail cím</w:t>
            </w:r>
          </w:p>
        </w:tc>
        <w:tc>
          <w:tcPr>
            <w:tcW w:w="6799" w:type="dxa"/>
          </w:tcPr>
          <w:p w14:paraId="14A7B85B" w14:textId="743AF9B4" w:rsidR="00800034" w:rsidRDefault="00AF729F" w:rsidP="00800034">
            <w:r w:rsidRPr="00AF729F">
              <w:t>toth.csaba@erzsebetvaros.hu</w:t>
            </w:r>
          </w:p>
        </w:tc>
      </w:tr>
      <w:tr w:rsidR="00A438DB" w14:paraId="5BF81C8E" w14:textId="77777777" w:rsidTr="00A438DB">
        <w:tc>
          <w:tcPr>
            <w:tcW w:w="2263" w:type="dxa"/>
            <w:shd w:val="clear" w:color="auto" w:fill="F2F2F2" w:themeFill="background1" w:themeFillShade="F2"/>
          </w:tcPr>
          <w:p w14:paraId="2E445D95" w14:textId="41C6B227" w:rsidR="00A438DB" w:rsidRPr="00CA2CF4" w:rsidRDefault="00A438DB" w:rsidP="00A438DB">
            <w:pPr>
              <w:rPr>
                <w:b/>
                <w:bCs/>
              </w:rPr>
            </w:pPr>
            <w:r w:rsidRPr="00CA2CF4">
              <w:rPr>
                <w:b/>
                <w:bCs/>
              </w:rPr>
              <w:t>Konzultációs támogatás</w:t>
            </w:r>
          </w:p>
        </w:tc>
        <w:tc>
          <w:tcPr>
            <w:tcW w:w="6799" w:type="dxa"/>
          </w:tcPr>
          <w:p w14:paraId="15D356DF" w14:textId="75E3EE37" w:rsidR="00F70915" w:rsidRDefault="00F70915" w:rsidP="00A438DB">
            <w:r>
              <w:t>Cseh Dániel</w:t>
            </w:r>
          </w:p>
          <w:p w14:paraId="44369DA1" w14:textId="18205B3A" w:rsidR="00F70915" w:rsidRDefault="00F70915" w:rsidP="00A438DB">
            <w:r>
              <w:t>HBH Stratégia és Fejlesztés Kft.</w:t>
            </w:r>
          </w:p>
          <w:p w14:paraId="0FC6E2D1" w14:textId="1B051EFF" w:rsidR="00A438DB" w:rsidRDefault="00F70915" w:rsidP="00A438DB">
            <w:r w:rsidRPr="00F70915">
              <w:t>cseh.daniel@hbhe.hu</w:t>
            </w:r>
          </w:p>
        </w:tc>
      </w:tr>
    </w:tbl>
    <w:p w14:paraId="17083415" w14:textId="0688F86B" w:rsidR="004E2881" w:rsidRDefault="004E2881"/>
    <w:p w14:paraId="4FAED95E" w14:textId="5014C7AA" w:rsidR="00CA2CF4" w:rsidRDefault="00CA2CF4">
      <w:pPr>
        <w:jc w:val="left"/>
      </w:pPr>
      <w:r>
        <w:br w:type="page"/>
      </w:r>
    </w:p>
    <w:p w14:paraId="483C9382" w14:textId="5BC12991" w:rsidR="00800034" w:rsidRDefault="00CA2CF4" w:rsidP="00CA2CF4">
      <w:pPr>
        <w:pStyle w:val="Cmsor1"/>
      </w:pPr>
      <w:bookmarkStart w:id="3" w:name="_Toc133510156"/>
      <w:r w:rsidRPr="00CA2CF4">
        <w:lastRenderedPageBreak/>
        <w:t>A tervezett beruházási projekt részletes bemutatása</w:t>
      </w:r>
      <w:bookmarkEnd w:id="3"/>
    </w:p>
    <w:tbl>
      <w:tblPr>
        <w:tblStyle w:val="Rcsostblzat"/>
        <w:tblW w:w="0" w:type="auto"/>
        <w:tblLook w:val="04A0" w:firstRow="1" w:lastRow="0" w:firstColumn="1" w:lastColumn="0" w:noHBand="0" w:noVBand="1"/>
      </w:tblPr>
      <w:tblGrid>
        <w:gridCol w:w="3397"/>
        <w:gridCol w:w="4253"/>
        <w:gridCol w:w="1412"/>
      </w:tblGrid>
      <w:tr w:rsidR="00CA2CF4" w14:paraId="5B118B4F" w14:textId="77777777" w:rsidTr="00CA2CF4">
        <w:tc>
          <w:tcPr>
            <w:tcW w:w="9062" w:type="dxa"/>
            <w:gridSpan w:val="3"/>
            <w:shd w:val="clear" w:color="auto" w:fill="F2F2F2" w:themeFill="background1" w:themeFillShade="F2"/>
          </w:tcPr>
          <w:p w14:paraId="51A25130" w14:textId="419D6088" w:rsidR="00CA2CF4" w:rsidRPr="009A5D57" w:rsidRDefault="00CA2CF4" w:rsidP="00917508">
            <w:pPr>
              <w:pStyle w:val="Cmsor2"/>
              <w:outlineLvl w:val="1"/>
            </w:pPr>
            <w:bookmarkStart w:id="4" w:name="_Toc133510157"/>
            <w:r w:rsidRPr="009A5D57">
              <w:t>1.1. A beruházási projekt célkitűzései</w:t>
            </w:r>
            <w:bookmarkEnd w:id="4"/>
          </w:p>
        </w:tc>
      </w:tr>
      <w:tr w:rsidR="00CA2CF4" w14:paraId="462E77D9" w14:textId="77777777" w:rsidTr="00CA2CF4">
        <w:tc>
          <w:tcPr>
            <w:tcW w:w="9062" w:type="dxa"/>
            <w:gridSpan w:val="3"/>
          </w:tcPr>
          <w:p w14:paraId="753C6989" w14:textId="3A264E44" w:rsidR="007E0EBC" w:rsidRDefault="007E0EBC" w:rsidP="00CA2CF4">
            <w:r w:rsidRPr="007E0EBC">
              <w:t xml:space="preserve">A beruházás célja, hogy </w:t>
            </w:r>
            <w:r w:rsidR="007863D5">
              <w:t xml:space="preserve">Erzsébetváros </w:t>
            </w:r>
            <w:r w:rsidRPr="007E0EBC">
              <w:t>területén minél hatékonyabban használják fel az energiát, illetve minél több megújuló energiát termeljenek a helyi igények kielégítése céljából. A projekt megvalósítása és céljai azért is kiemelten fontos</w:t>
            </w:r>
            <w:r w:rsidR="009C6B8D">
              <w:t>ak</w:t>
            </w:r>
            <w:r w:rsidRPr="007E0EBC">
              <w:t xml:space="preserve"> a pályázó számára, mivel az Önkormányzat csak ennek segítségével tudj</w:t>
            </w:r>
            <w:r w:rsidR="007863D5">
              <w:t>a</w:t>
            </w:r>
            <w:r w:rsidRPr="007E0EBC">
              <w:t xml:space="preserve"> teljesíteni a stratégiai dokumentumokban meghatározott elsősorban energetikai jellegű céljait</w:t>
            </w:r>
            <w:r w:rsidR="007863D5">
              <w:rPr>
                <w:rStyle w:val="Lbjegyzet-hivatkozs"/>
              </w:rPr>
              <w:footnoteReference w:id="4"/>
            </w:r>
            <w:r w:rsidRPr="007E0EBC">
              <w:t>.</w:t>
            </w:r>
          </w:p>
          <w:p w14:paraId="104DBB59" w14:textId="77777777" w:rsidR="007863D5" w:rsidRDefault="00A52F25" w:rsidP="00CA2CF4">
            <w:r w:rsidRPr="00A52F25">
              <w:t>A kerületi energiacélok megvalósulásának előfeltétele a túlnyomó részben soklakásos társasházból álló, 90%-ban 1945 előtt épült, magántulajdonban lévő épületállomány megújulása. Ezen szinte kiz</w:t>
            </w:r>
            <w:r w:rsidR="00904AEA">
              <w:t>ár</w:t>
            </w:r>
            <w:r w:rsidRPr="00A52F25">
              <w:t xml:space="preserve">ólag gázzal fűtött épületek energetikai jellemzői nagyon rosszak. A változás élére állva az Önkormányzat a tulajdonában álló </w:t>
            </w:r>
            <w:r w:rsidR="00896DBF">
              <w:t>29</w:t>
            </w:r>
            <w:r w:rsidRPr="00A52F25">
              <w:t xml:space="preserve"> épületet fel kívánja újítani. A tervezett intézkedések hőszigetelést, nyílászárócserét, </w:t>
            </w:r>
            <w:r w:rsidR="00F226B0">
              <w:t xml:space="preserve">valamint </w:t>
            </w:r>
            <w:r w:rsidRPr="00A52F25">
              <w:t>tetőre szerelt napelemes rendszerek kialakítását</w:t>
            </w:r>
            <w:r w:rsidR="00F226B0">
              <w:t xml:space="preserve"> </w:t>
            </w:r>
            <w:r w:rsidRPr="00A52F25">
              <w:t>foglalja magában.</w:t>
            </w:r>
            <w:r w:rsidR="00321489">
              <w:t xml:space="preserve"> </w:t>
            </w:r>
            <w:r w:rsidR="00321489" w:rsidRPr="00A52F25">
              <w:t xml:space="preserve">Ezek felújítását egy önkormányzati újratölthető épületfelújítási alap finanszírozza elő. Ennek köszönhetően felgyorsul az ingatlanok energetikai célú megújítása. </w:t>
            </w:r>
            <w:r w:rsidR="00984817" w:rsidRPr="00984817">
              <w:t>Az előfinanszírozás és annak törlesztésének részletes metódusai a 4.4-es mellékletben (Energiahatékonysági és Klímavédelmi Alap Koncepció) kerülnek bemutatásra.</w:t>
            </w:r>
            <w:r w:rsidRPr="00A52F25">
              <w:t xml:space="preserve"> Az önkormányzati épületeken felül tervben van mintegy </w:t>
            </w:r>
            <w:r w:rsidR="00896DBF">
              <w:t xml:space="preserve">120 </w:t>
            </w:r>
            <w:r w:rsidRPr="00A52F25">
              <w:t>magántulajdonban lévő épület energetikai felújítása is.</w:t>
            </w:r>
          </w:p>
          <w:p w14:paraId="4B1A2C9E" w14:textId="7045BB31" w:rsidR="00D63935" w:rsidRDefault="00D63935" w:rsidP="00CA2CF4">
            <w:r>
              <w:t>Jelen Koncepcióban szereplő projektelemek nem kötelező érvényűek</w:t>
            </w:r>
            <w:r w:rsidRPr="00D63935">
              <w:t xml:space="preserve"> és a konkrét beruházás</w:t>
            </w:r>
            <w:r>
              <w:t>ok</w:t>
            </w:r>
            <w:r w:rsidRPr="00D63935">
              <w:t xml:space="preserve">nál több alternatívát </w:t>
            </w:r>
            <w:r>
              <w:t>lehet és kell is</w:t>
            </w:r>
            <w:r w:rsidRPr="00D63935">
              <w:t xml:space="preserve"> vizsgálni</w:t>
            </w:r>
            <w:r>
              <w:t>.</w:t>
            </w:r>
          </w:p>
        </w:tc>
      </w:tr>
      <w:tr w:rsidR="00CA2CF4" w14:paraId="68F1C163" w14:textId="77777777" w:rsidTr="00CA2CF4">
        <w:tc>
          <w:tcPr>
            <w:tcW w:w="9062" w:type="dxa"/>
            <w:gridSpan w:val="3"/>
            <w:shd w:val="clear" w:color="auto" w:fill="F2F2F2" w:themeFill="background1" w:themeFillShade="F2"/>
          </w:tcPr>
          <w:p w14:paraId="7FB8A07C" w14:textId="21BAA318" w:rsidR="00CA2CF4" w:rsidRPr="009A5D57" w:rsidRDefault="00CA2CF4" w:rsidP="00917508">
            <w:pPr>
              <w:pStyle w:val="Cmsor2"/>
              <w:outlineLvl w:val="1"/>
            </w:pPr>
            <w:bookmarkStart w:id="5" w:name="_Toc133510158"/>
            <w:r w:rsidRPr="009A5D57">
              <w:t>1.2. A projekt általános háttere, kerete és indoklása</w:t>
            </w:r>
            <w:bookmarkEnd w:id="5"/>
          </w:p>
        </w:tc>
      </w:tr>
      <w:tr w:rsidR="00CA2CF4" w14:paraId="71BDFE47" w14:textId="77777777" w:rsidTr="00BD6513">
        <w:tc>
          <w:tcPr>
            <w:tcW w:w="9062" w:type="dxa"/>
            <w:gridSpan w:val="3"/>
          </w:tcPr>
          <w:p w14:paraId="236BC94E" w14:textId="120F22DE" w:rsidR="00CA2CF4" w:rsidRDefault="00D56FE5" w:rsidP="00D63935">
            <w:r w:rsidRPr="00D56FE5">
              <w:t xml:space="preserve">A projekt </w:t>
            </w:r>
            <w:r>
              <w:t xml:space="preserve">Erzsébetváros területén </w:t>
            </w:r>
            <w:r w:rsidR="00F87FF6">
              <w:t>149</w:t>
            </w:r>
            <w:r w:rsidRPr="00C60377">
              <w:t xml:space="preserve"> épületre</w:t>
            </w:r>
            <w:r>
              <w:t xml:space="preserve"> terjed ki</w:t>
            </w:r>
            <w:r w:rsidRPr="00D56FE5">
              <w:t xml:space="preserve">. A beruházások által érintett épületek lakosságszáma megközelítőleg </w:t>
            </w:r>
            <w:r w:rsidR="00001DBC" w:rsidRPr="00001DBC">
              <w:t>7</w:t>
            </w:r>
            <w:r w:rsidR="00C60377" w:rsidRPr="00001DBC">
              <w:t xml:space="preserve"> ezer</w:t>
            </w:r>
            <w:r w:rsidRPr="00001DBC">
              <w:t xml:space="preserve"> fő</w:t>
            </w:r>
            <w:r w:rsidR="00001DBC" w:rsidRPr="00001DBC">
              <w:t>.</w:t>
            </w:r>
            <w:r w:rsidR="00001DBC" w:rsidRPr="00001DBC">
              <w:rPr>
                <w:rStyle w:val="Lbjegyzet-hivatkozs"/>
              </w:rPr>
              <w:footnoteReference w:id="5"/>
            </w:r>
          </w:p>
          <w:p w14:paraId="21C7E983" w14:textId="409DBD06" w:rsidR="0038770A" w:rsidRDefault="0038770A" w:rsidP="00D63935">
            <w:r w:rsidRPr="0038770A">
              <w:t xml:space="preserve">A projekt kiemelt politikai támogatottsággal rendelkezik, mivel nagy mértékben hozzájárul </w:t>
            </w:r>
            <w:r>
              <w:t>az</w:t>
            </w:r>
            <w:r w:rsidRPr="0038770A">
              <w:t xml:space="preserve"> Önkormányzat klímaváltozással kapcsolatos kötelezettségvállalásaihoz. </w:t>
            </w:r>
            <w:r>
              <w:t>E</w:t>
            </w:r>
            <w:r w:rsidR="009D459C">
              <w:t>r</w:t>
            </w:r>
            <w:r>
              <w:t>zsébetváros</w:t>
            </w:r>
            <w:r w:rsidRPr="0038770A">
              <w:t xml:space="preserve"> Klímastratégiával</w:t>
            </w:r>
            <w:r w:rsidR="00D50F3A">
              <w:rPr>
                <w:rStyle w:val="Lbjegyzet-hivatkozs"/>
              </w:rPr>
              <w:footnoteReference w:id="6"/>
            </w:r>
            <w:r w:rsidRPr="0038770A">
              <w:t xml:space="preserve"> és SECAP</w:t>
            </w:r>
            <w:r w:rsidR="00D50F3A">
              <w:rPr>
                <w:rStyle w:val="Lbjegyzet-hivatkozs"/>
              </w:rPr>
              <w:footnoteReference w:id="7"/>
            </w:r>
            <w:r w:rsidRPr="0038770A">
              <w:t xml:space="preserve"> dokumentummal is rendelkezik, mely dokumentumok a témakörhöz fűződő célokat és eszközöket is bemutatják. A </w:t>
            </w:r>
            <w:r w:rsidR="00D50F3A">
              <w:t>SECAP</w:t>
            </w:r>
            <w:r w:rsidR="00F22522">
              <w:t xml:space="preserve"> és a Klímastratégia</w:t>
            </w:r>
            <w:r w:rsidRPr="0038770A">
              <w:t xml:space="preserve"> főbb célkitűzései a jelen projekttel kapcsolatosan az alábbiak</w:t>
            </w:r>
            <w:r w:rsidR="0006074E">
              <w:t>:</w:t>
            </w:r>
          </w:p>
          <w:p w14:paraId="17A1CBBD" w14:textId="1A374D96" w:rsidR="0006074E" w:rsidRDefault="007B5E4F" w:rsidP="00D63935">
            <w:pPr>
              <w:pStyle w:val="Listaszerbekezds"/>
              <w:numPr>
                <w:ilvl w:val="0"/>
                <w:numId w:val="7"/>
              </w:numPr>
            </w:pPr>
            <w:r>
              <w:t>4</w:t>
            </w:r>
            <w:r w:rsidR="007C1A08">
              <w:t>0%-os</w:t>
            </w:r>
            <w:r w:rsidR="0006074E" w:rsidRPr="0006074E">
              <w:t xml:space="preserve"> ÜHG kibocsátáscsökkentés 2030-ra</w:t>
            </w:r>
            <w:r w:rsidR="007C1A08">
              <w:t>, 60%-os kibocsátáscsökken</w:t>
            </w:r>
            <w:r w:rsidR="009D459C">
              <w:t>t</w:t>
            </w:r>
            <w:r w:rsidR="007C1A08">
              <w:t>és 2040-re</w:t>
            </w:r>
            <w:r w:rsidR="0006074E" w:rsidRPr="0006074E">
              <w:t xml:space="preserve"> (bázisév: 201</w:t>
            </w:r>
            <w:r w:rsidR="007C1A08">
              <w:t>1</w:t>
            </w:r>
            <w:r w:rsidR="0006074E" w:rsidRPr="0006074E">
              <w:t>).</w:t>
            </w:r>
          </w:p>
          <w:p w14:paraId="07ABFA6C" w14:textId="2A4E14C1" w:rsidR="00D50F3A" w:rsidRDefault="007C1A08" w:rsidP="00D63935">
            <w:pPr>
              <w:pStyle w:val="Listaszerbekezds"/>
              <w:numPr>
                <w:ilvl w:val="0"/>
                <w:numId w:val="7"/>
              </w:numPr>
              <w:rPr>
                <w:i/>
                <w:iCs/>
              </w:rPr>
            </w:pPr>
            <w:r w:rsidRPr="00D50F3A">
              <w:rPr>
                <w:i/>
                <w:iCs/>
              </w:rPr>
              <w:t>Az épületek energiaellátásából és üzemeltetéséből adódó kibocsátások csökkentése, az épületállomány energiahatékonyságának javítása minden szektorban, megújuló energiahordozók alkalmazásának bővítése</w:t>
            </w:r>
            <w:r w:rsidR="009D459C">
              <w:rPr>
                <w:i/>
                <w:iCs/>
              </w:rPr>
              <w:t>.</w:t>
            </w:r>
          </w:p>
          <w:p w14:paraId="39FC6E14" w14:textId="107EE863" w:rsidR="00F22522" w:rsidRDefault="00D50F3A" w:rsidP="00D63935">
            <w:pPr>
              <w:pStyle w:val="Listaszerbekezds"/>
              <w:numPr>
                <w:ilvl w:val="0"/>
                <w:numId w:val="7"/>
              </w:numPr>
              <w:rPr>
                <w:i/>
                <w:iCs/>
              </w:rPr>
            </w:pPr>
            <w:r w:rsidRPr="00D50F3A">
              <w:rPr>
                <w:i/>
                <w:iCs/>
              </w:rPr>
              <w:t>Átfogó kerületi energiagazdálkodási és klímavédelmi stratégia együttműködésen alapuló megvalósítása</w:t>
            </w:r>
            <w:r w:rsidR="009D459C">
              <w:rPr>
                <w:i/>
                <w:iCs/>
              </w:rPr>
              <w:t>.</w:t>
            </w:r>
          </w:p>
          <w:p w14:paraId="10BB98F5" w14:textId="76B468BB" w:rsidR="00F22522" w:rsidRDefault="00F22522" w:rsidP="00D63935">
            <w:r w:rsidRPr="00F22522">
              <w:t xml:space="preserve">A </w:t>
            </w:r>
            <w:r w:rsidR="001B7C62">
              <w:t>B</w:t>
            </w:r>
            <w:r w:rsidR="001B7C62" w:rsidRPr="001B7C62">
              <w:t xml:space="preserve">eruházási </w:t>
            </w:r>
            <w:r w:rsidR="001B7C62">
              <w:t>K</w:t>
            </w:r>
            <w:r w:rsidR="001B7C62" w:rsidRPr="001B7C62">
              <w:t xml:space="preserve">oncepció legtöbb eleme megjelenik </w:t>
            </w:r>
            <w:r w:rsidR="001B7C62">
              <w:t xml:space="preserve">a </w:t>
            </w:r>
            <w:r w:rsidRPr="00F22522">
              <w:t>vállalások eléréséhez szükséges intézkedések közt</w:t>
            </w:r>
            <w:r w:rsidR="001B7C62">
              <w:t>, alább a Klímastratégia néhány vonatkozó intézkedési javaslata</w:t>
            </w:r>
            <w:r w:rsidRPr="00F22522">
              <w:t>:</w:t>
            </w:r>
          </w:p>
          <w:p w14:paraId="4DA614B5" w14:textId="777545D5" w:rsidR="00F22522" w:rsidRDefault="00F22522" w:rsidP="00BD6513">
            <w:pPr>
              <w:pStyle w:val="Listaszerbekezds"/>
              <w:numPr>
                <w:ilvl w:val="0"/>
                <w:numId w:val="8"/>
              </w:numPr>
              <w:jc w:val="left"/>
            </w:pPr>
            <w:r w:rsidRPr="00F22522">
              <w:t>Társasházak energiahatékony felújításának támogatása</w:t>
            </w:r>
          </w:p>
          <w:p w14:paraId="01AD568A" w14:textId="0833BBFC" w:rsidR="00F22522" w:rsidRDefault="00F22522" w:rsidP="00BD6513">
            <w:pPr>
              <w:pStyle w:val="Listaszerbekezds"/>
              <w:numPr>
                <w:ilvl w:val="1"/>
                <w:numId w:val="8"/>
              </w:numPr>
              <w:jc w:val="left"/>
            </w:pPr>
            <w:r w:rsidRPr="00F22522">
              <w:t>Energiamegtakarítás</w:t>
            </w:r>
            <w:r>
              <w:t xml:space="preserve">: </w:t>
            </w:r>
            <w:r w:rsidRPr="00F22522">
              <w:t>31</w:t>
            </w:r>
            <w:r>
              <w:t>,7 GWH/év</w:t>
            </w:r>
          </w:p>
          <w:p w14:paraId="43BF6BA4" w14:textId="3D44E616" w:rsidR="00F22522" w:rsidRDefault="00F22522" w:rsidP="00BD6513">
            <w:pPr>
              <w:pStyle w:val="Listaszerbekezds"/>
              <w:numPr>
                <w:ilvl w:val="1"/>
                <w:numId w:val="8"/>
              </w:numPr>
              <w:jc w:val="left"/>
            </w:pPr>
            <w:r w:rsidRPr="00F22522">
              <w:lastRenderedPageBreak/>
              <w:t>Kibocsátáscsökkentés</w:t>
            </w:r>
            <w:r>
              <w:t xml:space="preserve">: </w:t>
            </w:r>
            <w:r w:rsidRPr="00F22522">
              <w:t>7 072,32</w:t>
            </w:r>
            <w:r>
              <w:t xml:space="preserve"> t CO</w:t>
            </w:r>
            <w:r w:rsidRPr="00F22522">
              <w:rPr>
                <w:vertAlign w:val="subscript"/>
              </w:rPr>
              <w:t>2e</w:t>
            </w:r>
          </w:p>
          <w:p w14:paraId="4AEFC539" w14:textId="654B91F4" w:rsidR="00F22522" w:rsidRDefault="00F22522" w:rsidP="00BD6513">
            <w:pPr>
              <w:pStyle w:val="Listaszerbekezds"/>
              <w:numPr>
                <w:ilvl w:val="1"/>
                <w:numId w:val="8"/>
              </w:numPr>
              <w:jc w:val="left"/>
            </w:pPr>
            <w:r>
              <w:t>Becsült költség: 20 Mrd Ft</w:t>
            </w:r>
          </w:p>
          <w:p w14:paraId="6904FF20" w14:textId="70D65E2A" w:rsidR="00F22522" w:rsidRPr="00F22522" w:rsidRDefault="00F22522" w:rsidP="00BD6513">
            <w:pPr>
              <w:pStyle w:val="Listaszerbekezds"/>
              <w:numPr>
                <w:ilvl w:val="1"/>
                <w:numId w:val="8"/>
              </w:numPr>
              <w:jc w:val="left"/>
            </w:pPr>
            <w:r>
              <w:t>Forrás: lakossági magánerő, önkormányzati támogatás, E</w:t>
            </w:r>
            <w:r w:rsidR="008C6E12">
              <w:t>U-</w:t>
            </w:r>
            <w:r>
              <w:t xml:space="preserve">s </w:t>
            </w:r>
            <w:r w:rsidRPr="00F22522">
              <w:t>és nemzeti források, hitelek, ESCO</w:t>
            </w:r>
          </w:p>
          <w:p w14:paraId="61D40708" w14:textId="1E1E97D3" w:rsidR="00F22522" w:rsidRDefault="00F22522" w:rsidP="00BD6513">
            <w:pPr>
              <w:pStyle w:val="Listaszerbekezds"/>
              <w:numPr>
                <w:ilvl w:val="0"/>
                <w:numId w:val="8"/>
              </w:numPr>
              <w:jc w:val="left"/>
            </w:pPr>
            <w:r>
              <w:t>Társasházak és társasházi lakások fűtési rendszer korszerűsítésének támogatása</w:t>
            </w:r>
          </w:p>
          <w:p w14:paraId="6BB133F1" w14:textId="33DA7A28" w:rsidR="00F22522" w:rsidRDefault="00F22522" w:rsidP="00BD6513">
            <w:pPr>
              <w:pStyle w:val="Listaszerbekezds"/>
              <w:numPr>
                <w:ilvl w:val="1"/>
                <w:numId w:val="8"/>
              </w:numPr>
              <w:jc w:val="left"/>
            </w:pPr>
            <w:r w:rsidRPr="00F22522">
              <w:t>Energiamegtakarítás</w:t>
            </w:r>
            <w:r>
              <w:t>: 93,5 GWH/év</w:t>
            </w:r>
          </w:p>
          <w:p w14:paraId="08228E34" w14:textId="173BB748" w:rsidR="00F22522" w:rsidRDefault="00F22522" w:rsidP="00BD6513">
            <w:pPr>
              <w:pStyle w:val="Listaszerbekezds"/>
              <w:numPr>
                <w:ilvl w:val="1"/>
                <w:numId w:val="8"/>
              </w:numPr>
              <w:jc w:val="left"/>
            </w:pPr>
            <w:r w:rsidRPr="00F22522">
              <w:t>Kibocsátáscsökkentés</w:t>
            </w:r>
            <w:r>
              <w:t>: 18 832</w:t>
            </w:r>
            <w:r w:rsidRPr="00F22522">
              <w:t>,</w:t>
            </w:r>
            <w:r>
              <w:t>06 t CO</w:t>
            </w:r>
            <w:r w:rsidRPr="00F22522">
              <w:rPr>
                <w:vertAlign w:val="subscript"/>
              </w:rPr>
              <w:t>2e</w:t>
            </w:r>
          </w:p>
          <w:p w14:paraId="30B618DD" w14:textId="5270EAA8" w:rsidR="00F22522" w:rsidRDefault="00F22522" w:rsidP="00BD6513">
            <w:pPr>
              <w:pStyle w:val="Listaszerbekezds"/>
              <w:numPr>
                <w:ilvl w:val="1"/>
                <w:numId w:val="8"/>
              </w:numPr>
              <w:jc w:val="left"/>
            </w:pPr>
            <w:r>
              <w:t>Becsült költség: 13,3 Mrd Ft</w:t>
            </w:r>
          </w:p>
          <w:p w14:paraId="54E4A40F" w14:textId="06382DC9" w:rsidR="00F22522" w:rsidRPr="00F22522" w:rsidRDefault="00F22522" w:rsidP="00BD6513">
            <w:pPr>
              <w:pStyle w:val="Listaszerbekezds"/>
              <w:numPr>
                <w:ilvl w:val="1"/>
                <w:numId w:val="8"/>
              </w:numPr>
              <w:jc w:val="left"/>
            </w:pPr>
            <w:r>
              <w:t>Forrás: lakossági magánerő, EU</w:t>
            </w:r>
            <w:r w:rsidR="008C6E12">
              <w:t>-</w:t>
            </w:r>
            <w:r>
              <w:t>s és nemzeti források, Otthon Melege Program, hitelek, ESCO</w:t>
            </w:r>
          </w:p>
          <w:p w14:paraId="215F4FA4" w14:textId="607F1CF8" w:rsidR="00F22522" w:rsidRDefault="00F22522" w:rsidP="00BD6513">
            <w:pPr>
              <w:pStyle w:val="Listaszerbekezds"/>
              <w:numPr>
                <w:ilvl w:val="0"/>
                <w:numId w:val="8"/>
              </w:numPr>
              <w:jc w:val="left"/>
            </w:pPr>
            <w:r>
              <w:t>Önkormányzati kezelésű épületek és berendezések (fűtés-hűtés-világítás rendszerek, épületautomatika) energetikai korszerűsítése, a klímaadaptáció figyelembevételével</w:t>
            </w:r>
          </w:p>
          <w:p w14:paraId="60709B97" w14:textId="1E86BEE1" w:rsidR="00F22522" w:rsidRDefault="00F22522" w:rsidP="00BD6513">
            <w:pPr>
              <w:pStyle w:val="Listaszerbekezds"/>
              <w:numPr>
                <w:ilvl w:val="1"/>
                <w:numId w:val="8"/>
              </w:numPr>
              <w:jc w:val="left"/>
            </w:pPr>
            <w:r w:rsidRPr="00F22522">
              <w:t>Energiamegtakarítás</w:t>
            </w:r>
            <w:r>
              <w:t>: 18,4 GWH/év</w:t>
            </w:r>
          </w:p>
          <w:p w14:paraId="5B0DC8B8" w14:textId="68F2FE19" w:rsidR="00F22522" w:rsidRDefault="00F22522" w:rsidP="00BD6513">
            <w:pPr>
              <w:pStyle w:val="Listaszerbekezds"/>
              <w:numPr>
                <w:ilvl w:val="1"/>
                <w:numId w:val="8"/>
              </w:numPr>
              <w:jc w:val="left"/>
            </w:pPr>
            <w:r w:rsidRPr="00F22522">
              <w:t>Kibocsátáscsökkentés</w:t>
            </w:r>
            <w:r>
              <w:t>: 4509</w:t>
            </w:r>
            <w:r w:rsidRPr="00F22522">
              <w:t>,</w:t>
            </w:r>
            <w:r>
              <w:t>56 t CO</w:t>
            </w:r>
            <w:r w:rsidRPr="00F22522">
              <w:rPr>
                <w:vertAlign w:val="subscript"/>
              </w:rPr>
              <w:t>2e</w:t>
            </w:r>
          </w:p>
          <w:p w14:paraId="3ADA2505" w14:textId="139BF00B" w:rsidR="00F22522" w:rsidRDefault="00F22522" w:rsidP="00BD6513">
            <w:pPr>
              <w:pStyle w:val="Listaszerbekezds"/>
              <w:numPr>
                <w:ilvl w:val="1"/>
                <w:numId w:val="8"/>
              </w:numPr>
              <w:jc w:val="left"/>
            </w:pPr>
            <w:r>
              <w:t>Becsült költség: 9 Mrd Ft</w:t>
            </w:r>
          </w:p>
          <w:p w14:paraId="5DCAF30D" w14:textId="593FF8C9" w:rsidR="00F22522" w:rsidRPr="00F22522" w:rsidRDefault="00F22522" w:rsidP="00BD6513">
            <w:pPr>
              <w:pStyle w:val="Listaszerbekezds"/>
              <w:numPr>
                <w:ilvl w:val="1"/>
                <w:numId w:val="8"/>
              </w:numPr>
              <w:jc w:val="left"/>
            </w:pPr>
            <w:r>
              <w:t xml:space="preserve">Forrás: </w:t>
            </w:r>
            <w:r w:rsidR="008C6E12">
              <w:t>önkormányzati saját forrás, EU-s és nemzeti források, zöld hitel, ESCO</w:t>
            </w:r>
          </w:p>
          <w:p w14:paraId="5677D2AE" w14:textId="24D93F95" w:rsidR="00F22522" w:rsidRDefault="008C6E12" w:rsidP="00BD6513">
            <w:pPr>
              <w:pStyle w:val="Listaszerbekezds"/>
              <w:numPr>
                <w:ilvl w:val="0"/>
                <w:numId w:val="8"/>
              </w:numPr>
              <w:jc w:val="left"/>
            </w:pPr>
            <w:r w:rsidRPr="008C6E12">
              <w:t>Megújuló energiatermelés önkormányzati kezelésű épületekben</w:t>
            </w:r>
          </w:p>
          <w:p w14:paraId="5F93869F" w14:textId="18EA694A" w:rsidR="008C6E12" w:rsidRDefault="008C6E12" w:rsidP="00BD6513">
            <w:pPr>
              <w:pStyle w:val="Listaszerbekezds"/>
              <w:numPr>
                <w:ilvl w:val="1"/>
                <w:numId w:val="8"/>
              </w:numPr>
              <w:jc w:val="left"/>
            </w:pPr>
            <w:r w:rsidRPr="00F22522">
              <w:t>Energiamegtakarítás</w:t>
            </w:r>
            <w:r>
              <w:t>: 1,26 GWH/év</w:t>
            </w:r>
          </w:p>
          <w:p w14:paraId="39A070CE" w14:textId="4D0B0715" w:rsidR="008C6E12" w:rsidRDefault="008C6E12" w:rsidP="00BD6513">
            <w:pPr>
              <w:pStyle w:val="Listaszerbekezds"/>
              <w:numPr>
                <w:ilvl w:val="1"/>
                <w:numId w:val="8"/>
              </w:numPr>
              <w:jc w:val="left"/>
            </w:pPr>
            <w:r w:rsidRPr="00F22522">
              <w:t>Kibocsátáscsökkentés</w:t>
            </w:r>
            <w:r>
              <w:t>: 415</w:t>
            </w:r>
            <w:r w:rsidRPr="00F22522">
              <w:t>,</w:t>
            </w:r>
            <w:r>
              <w:t>8 t CO</w:t>
            </w:r>
            <w:r w:rsidRPr="00F22522">
              <w:rPr>
                <w:vertAlign w:val="subscript"/>
              </w:rPr>
              <w:t>2e</w:t>
            </w:r>
          </w:p>
          <w:p w14:paraId="5B147004" w14:textId="7BAFB37C" w:rsidR="008C6E12" w:rsidRDefault="008C6E12" w:rsidP="00BD6513">
            <w:pPr>
              <w:pStyle w:val="Listaszerbekezds"/>
              <w:numPr>
                <w:ilvl w:val="1"/>
                <w:numId w:val="8"/>
              </w:numPr>
              <w:jc w:val="left"/>
            </w:pPr>
            <w:r>
              <w:t>Becsült költség: 0,22 Mrd Ft</w:t>
            </w:r>
          </w:p>
          <w:p w14:paraId="3A1A39D9" w14:textId="444CBFFF" w:rsidR="008C6E12" w:rsidRPr="00F22522" w:rsidRDefault="008C6E12" w:rsidP="00BD6513">
            <w:pPr>
              <w:pStyle w:val="Listaszerbekezds"/>
              <w:numPr>
                <w:ilvl w:val="1"/>
                <w:numId w:val="8"/>
              </w:numPr>
              <w:jc w:val="left"/>
            </w:pPr>
            <w:r>
              <w:t>Forrás: önkormányzati saját forrás, EU-s és nemzeti források, ESCO</w:t>
            </w:r>
          </w:p>
          <w:p w14:paraId="3D68EC67" w14:textId="713C7C24" w:rsidR="008C6E12" w:rsidRDefault="008C6E12" w:rsidP="00BD6513">
            <w:pPr>
              <w:pStyle w:val="Listaszerbekezds"/>
              <w:numPr>
                <w:ilvl w:val="0"/>
                <w:numId w:val="8"/>
              </w:numPr>
              <w:jc w:val="left"/>
            </w:pPr>
            <w:r w:rsidRPr="008C6E12">
              <w:t>Megújuló energia közösség</w:t>
            </w:r>
          </w:p>
          <w:p w14:paraId="4FE631A8" w14:textId="11521051" w:rsidR="008C6E12" w:rsidRDefault="008C6E12" w:rsidP="00BD6513">
            <w:pPr>
              <w:pStyle w:val="Listaszerbekezds"/>
              <w:numPr>
                <w:ilvl w:val="1"/>
                <w:numId w:val="8"/>
              </w:numPr>
              <w:jc w:val="left"/>
            </w:pPr>
            <w:r w:rsidRPr="00F22522">
              <w:t>Energiamegtakarítás</w:t>
            </w:r>
            <w:r>
              <w:t>: n.a.</w:t>
            </w:r>
          </w:p>
          <w:p w14:paraId="4D0BCE66" w14:textId="3B1B9017" w:rsidR="008C6E12" w:rsidRDefault="008C6E12" w:rsidP="00BD6513">
            <w:pPr>
              <w:pStyle w:val="Listaszerbekezds"/>
              <w:numPr>
                <w:ilvl w:val="1"/>
                <w:numId w:val="8"/>
              </w:numPr>
              <w:jc w:val="left"/>
            </w:pPr>
            <w:r w:rsidRPr="00F22522">
              <w:t>Kibocsátáscsökkentés</w:t>
            </w:r>
            <w:r>
              <w:t>: n.a.</w:t>
            </w:r>
          </w:p>
          <w:p w14:paraId="15F4DFBC" w14:textId="77777777" w:rsidR="008C6E12" w:rsidRDefault="008C6E12" w:rsidP="00BD6513">
            <w:pPr>
              <w:pStyle w:val="Listaszerbekezds"/>
              <w:numPr>
                <w:ilvl w:val="1"/>
                <w:numId w:val="8"/>
              </w:numPr>
              <w:jc w:val="left"/>
            </w:pPr>
            <w:r>
              <w:t>Becsült költség: n.a.</w:t>
            </w:r>
          </w:p>
          <w:p w14:paraId="0BD657F3" w14:textId="738D3A5F" w:rsidR="008C6E12" w:rsidRPr="00F22522" w:rsidRDefault="008C6E12" w:rsidP="00BD6513">
            <w:pPr>
              <w:pStyle w:val="Listaszerbekezds"/>
              <w:numPr>
                <w:ilvl w:val="1"/>
                <w:numId w:val="8"/>
              </w:numPr>
              <w:jc w:val="left"/>
            </w:pPr>
            <w:r>
              <w:t>Forrás: n.a.</w:t>
            </w:r>
          </w:p>
          <w:p w14:paraId="3873703B" w14:textId="3ADA3279" w:rsidR="008C6E12" w:rsidRDefault="008C6E12" w:rsidP="00BD6513">
            <w:pPr>
              <w:pStyle w:val="Listaszerbekezds"/>
              <w:numPr>
                <w:ilvl w:val="0"/>
                <w:numId w:val="8"/>
              </w:numPr>
              <w:jc w:val="left"/>
            </w:pPr>
            <w:r w:rsidRPr="008C6E12">
              <w:t>Lakossági megújuló alapú beruházások támogatása</w:t>
            </w:r>
          </w:p>
          <w:p w14:paraId="770A4924" w14:textId="690F29A3" w:rsidR="008C6E12" w:rsidRDefault="008C6E12" w:rsidP="00BD6513">
            <w:pPr>
              <w:pStyle w:val="Listaszerbekezds"/>
              <w:numPr>
                <w:ilvl w:val="1"/>
                <w:numId w:val="8"/>
              </w:numPr>
              <w:jc w:val="left"/>
            </w:pPr>
            <w:r w:rsidRPr="00F22522">
              <w:t>Energiamegtakarítás</w:t>
            </w:r>
            <w:r>
              <w:t>: 3,78 GWH/év</w:t>
            </w:r>
          </w:p>
          <w:p w14:paraId="60A4DE4A" w14:textId="2B738591" w:rsidR="008C6E12" w:rsidRDefault="008C6E12" w:rsidP="00BD6513">
            <w:pPr>
              <w:pStyle w:val="Listaszerbekezds"/>
              <w:numPr>
                <w:ilvl w:val="1"/>
                <w:numId w:val="8"/>
              </w:numPr>
              <w:jc w:val="left"/>
            </w:pPr>
            <w:r w:rsidRPr="00F22522">
              <w:t>Kibocsátáscsökkentés</w:t>
            </w:r>
            <w:r>
              <w:t>: 1247,4 t CO</w:t>
            </w:r>
            <w:r w:rsidRPr="00F22522">
              <w:rPr>
                <w:vertAlign w:val="subscript"/>
              </w:rPr>
              <w:t>2e</w:t>
            </w:r>
          </w:p>
          <w:p w14:paraId="2FF0B299" w14:textId="77777777" w:rsidR="008C6E12" w:rsidRDefault="008C6E12" w:rsidP="00BD6513">
            <w:pPr>
              <w:pStyle w:val="Listaszerbekezds"/>
              <w:numPr>
                <w:ilvl w:val="1"/>
                <w:numId w:val="8"/>
              </w:numPr>
              <w:jc w:val="left"/>
            </w:pPr>
            <w:r>
              <w:t>Becsült költség: 0,22 Mrd Ft</w:t>
            </w:r>
          </w:p>
          <w:p w14:paraId="400058C5" w14:textId="4F6E65B0" w:rsidR="008C6E12" w:rsidRPr="00F22522" w:rsidRDefault="008C6E12" w:rsidP="00BD6513">
            <w:pPr>
              <w:pStyle w:val="Listaszerbekezds"/>
              <w:numPr>
                <w:ilvl w:val="1"/>
                <w:numId w:val="8"/>
              </w:numPr>
              <w:jc w:val="left"/>
            </w:pPr>
            <w:r>
              <w:t xml:space="preserve">Forrás: </w:t>
            </w:r>
            <w:r w:rsidRPr="008C6E12">
              <w:t>magánerő</w:t>
            </w:r>
            <w:r>
              <w:t>,</w:t>
            </w:r>
            <w:r w:rsidRPr="008C6E12">
              <w:t xml:space="preserve"> EU</w:t>
            </w:r>
            <w:r>
              <w:t>-</w:t>
            </w:r>
            <w:r w:rsidRPr="008C6E12">
              <w:t>s és nemzeti támogatásokkal</w:t>
            </w:r>
          </w:p>
          <w:p w14:paraId="5FCF18C2" w14:textId="4821C304" w:rsidR="008C6E12" w:rsidRDefault="008C6E12" w:rsidP="00BD6513">
            <w:pPr>
              <w:pStyle w:val="Listaszerbekezds"/>
              <w:numPr>
                <w:ilvl w:val="0"/>
                <w:numId w:val="8"/>
              </w:numPr>
              <w:jc w:val="left"/>
            </w:pPr>
            <w:r>
              <w:t>Megújuló energiatermelés az állami intézményekben, a kereskedelmi és szolgáltatói ágazatokban</w:t>
            </w:r>
          </w:p>
          <w:p w14:paraId="336EB0A5" w14:textId="6156E6B3" w:rsidR="008C6E12" w:rsidRDefault="008C6E12" w:rsidP="00BD6513">
            <w:pPr>
              <w:pStyle w:val="Listaszerbekezds"/>
              <w:numPr>
                <w:ilvl w:val="1"/>
                <w:numId w:val="8"/>
              </w:numPr>
              <w:jc w:val="left"/>
            </w:pPr>
            <w:r w:rsidRPr="00F22522">
              <w:t>Energiamegtakarítás</w:t>
            </w:r>
            <w:r>
              <w:t>: 1,26 GWH/év</w:t>
            </w:r>
          </w:p>
          <w:p w14:paraId="387B6DAD" w14:textId="7171598C" w:rsidR="008C6E12" w:rsidRDefault="008C6E12" w:rsidP="00BD6513">
            <w:pPr>
              <w:pStyle w:val="Listaszerbekezds"/>
              <w:numPr>
                <w:ilvl w:val="1"/>
                <w:numId w:val="8"/>
              </w:numPr>
              <w:jc w:val="left"/>
            </w:pPr>
            <w:r w:rsidRPr="00F22522">
              <w:t>Kibocsátáscsökkentés</w:t>
            </w:r>
            <w:r>
              <w:t>: 1260 t CO</w:t>
            </w:r>
            <w:r w:rsidRPr="00F22522">
              <w:rPr>
                <w:vertAlign w:val="subscript"/>
              </w:rPr>
              <w:t>2e</w:t>
            </w:r>
          </w:p>
          <w:p w14:paraId="722B677A" w14:textId="25218F8B" w:rsidR="008C6E12" w:rsidRDefault="008C6E12" w:rsidP="00BD6513">
            <w:pPr>
              <w:pStyle w:val="Listaszerbekezds"/>
              <w:numPr>
                <w:ilvl w:val="1"/>
                <w:numId w:val="8"/>
              </w:numPr>
              <w:jc w:val="left"/>
            </w:pPr>
            <w:r>
              <w:t>Becsült költség: 0,08 Mrd Ft</w:t>
            </w:r>
          </w:p>
          <w:p w14:paraId="062DA72A" w14:textId="644F063B" w:rsidR="008C6E12" w:rsidRDefault="008C6E12" w:rsidP="00BD6513">
            <w:pPr>
              <w:pStyle w:val="Listaszerbekezds"/>
              <w:numPr>
                <w:ilvl w:val="1"/>
                <w:numId w:val="8"/>
              </w:numPr>
              <w:jc w:val="left"/>
            </w:pPr>
            <w:r>
              <w:t>Forrás: állami, fővárosi saját források, magánerő, EU-s és nemzeti támogatásokkal</w:t>
            </w:r>
          </w:p>
          <w:p w14:paraId="59E9397F" w14:textId="691223CA" w:rsidR="001B7C62" w:rsidRDefault="001B7C62" w:rsidP="00BD6513">
            <w:pPr>
              <w:jc w:val="left"/>
              <w:rPr>
                <w:highlight w:val="yellow"/>
              </w:rPr>
            </w:pPr>
            <w:r w:rsidRPr="001B7C62">
              <w:t>A kerület településfejlesztési dokumentumában, a legutóbbi ITS-ben (2015)</w:t>
            </w:r>
            <w:r w:rsidR="00C532D6">
              <w:rPr>
                <w:rStyle w:val="Lbjegyzet-hivatkozs"/>
              </w:rPr>
              <w:footnoteReference w:id="8"/>
            </w:r>
            <w:r w:rsidRPr="001B7C62">
              <w:t xml:space="preserve"> az elsőszámú középtávú cél a lakókörnyezeti minőség javítása</w:t>
            </w:r>
            <w:r>
              <w:t xml:space="preserve">, a </w:t>
            </w:r>
            <w:r w:rsidRPr="001B7C62">
              <w:t>történeti épületállomány megújítása</w:t>
            </w:r>
            <w:r>
              <w:t>, melyhez szervesen kapcsolódik a Beruházási Koncepció egyik eleme.</w:t>
            </w:r>
          </w:p>
          <w:p w14:paraId="03C368E1" w14:textId="1C1DA7E8" w:rsidR="00A85F8C" w:rsidRPr="00A85F8C" w:rsidRDefault="00A85F8C" w:rsidP="00BD6513">
            <w:pPr>
              <w:jc w:val="left"/>
            </w:pPr>
            <w:r w:rsidRPr="00A85F8C">
              <w:t>Az energiafogyasztással és energiahatékonysággal</w:t>
            </w:r>
            <w:r w:rsidR="00260A90">
              <w:t>, illetve szemléletformálással</w:t>
            </w:r>
            <w:r w:rsidRPr="00A85F8C">
              <w:t xml:space="preserve"> kapcsolatos célok eléréséért az Önkormányzat számos egyéb projektet is megvalósított és megvalósít. </w:t>
            </w:r>
          </w:p>
          <w:p w14:paraId="735180F7" w14:textId="7748FEBE" w:rsidR="00A85F8C" w:rsidRDefault="006E32E5" w:rsidP="00BD6513">
            <w:pPr>
              <w:pStyle w:val="Listaszerbekezds"/>
              <w:numPr>
                <w:ilvl w:val="0"/>
                <w:numId w:val="9"/>
              </w:numPr>
              <w:jc w:val="left"/>
            </w:pPr>
            <w:r w:rsidRPr="006E32E5">
              <w:t>Klímastratégia kialakítása és klímatudatosságot erősítő szemléletformálás</w:t>
            </w:r>
          </w:p>
          <w:p w14:paraId="58A2BB8E" w14:textId="77777777" w:rsidR="00BB4432" w:rsidRDefault="00BB4432" w:rsidP="00BB4432">
            <w:pPr>
              <w:pStyle w:val="Listaszerbekezds"/>
              <w:numPr>
                <w:ilvl w:val="0"/>
                <w:numId w:val="9"/>
              </w:numPr>
              <w:jc w:val="left"/>
            </w:pPr>
            <w:r>
              <w:t>Energiaközösség létrehozása és működtetése Erzsébetvárosban, 2020-3.1.4-ZFR-EKM-2020-00012</w:t>
            </w:r>
          </w:p>
          <w:p w14:paraId="76021EBC" w14:textId="00037141" w:rsidR="00BB4432" w:rsidRDefault="00BB4432" w:rsidP="00BB4432">
            <w:pPr>
              <w:pStyle w:val="Listaszerbekezds"/>
              <w:numPr>
                <w:ilvl w:val="0"/>
                <w:numId w:val="9"/>
              </w:numPr>
              <w:jc w:val="left"/>
            </w:pPr>
            <w:r>
              <w:t>Nyílászárócsere-program</w:t>
            </w:r>
          </w:p>
          <w:p w14:paraId="1D94D50C" w14:textId="4A61FE91" w:rsidR="006E32E5" w:rsidRPr="00A85F8C" w:rsidRDefault="00BB4432" w:rsidP="00BB4432">
            <w:pPr>
              <w:pStyle w:val="Listaszerbekezds"/>
              <w:numPr>
                <w:ilvl w:val="0"/>
                <w:numId w:val="9"/>
              </w:numPr>
              <w:jc w:val="left"/>
            </w:pPr>
            <w:r>
              <w:t>Rászorulók nyílászáróinak szigetelése</w:t>
            </w:r>
          </w:p>
        </w:tc>
      </w:tr>
      <w:tr w:rsidR="00CA2CF4" w14:paraId="0AAAA202" w14:textId="77777777" w:rsidTr="00CA2CF4">
        <w:tc>
          <w:tcPr>
            <w:tcW w:w="9062" w:type="dxa"/>
            <w:gridSpan w:val="3"/>
            <w:shd w:val="clear" w:color="auto" w:fill="F2F2F2" w:themeFill="background1" w:themeFillShade="F2"/>
          </w:tcPr>
          <w:p w14:paraId="20D0F097" w14:textId="5ECA14F5" w:rsidR="00CA2CF4" w:rsidRPr="009A5D57" w:rsidRDefault="00CA2CF4" w:rsidP="00917508">
            <w:pPr>
              <w:pStyle w:val="Cmsor2"/>
              <w:outlineLvl w:val="1"/>
            </w:pPr>
            <w:bookmarkStart w:id="6" w:name="_Toc133510159"/>
            <w:r w:rsidRPr="009A5D57">
              <w:lastRenderedPageBreak/>
              <w:t>1.3. A beruházási projekt bemutatása</w:t>
            </w:r>
            <w:bookmarkEnd w:id="6"/>
          </w:p>
        </w:tc>
      </w:tr>
      <w:tr w:rsidR="00CA2CF4" w14:paraId="12C00151" w14:textId="77777777" w:rsidTr="00CA2CF4">
        <w:tc>
          <w:tcPr>
            <w:tcW w:w="9062" w:type="dxa"/>
            <w:gridSpan w:val="3"/>
          </w:tcPr>
          <w:p w14:paraId="2F016F1A" w14:textId="067DD4A9" w:rsidR="00CA2CF4" w:rsidRDefault="00223AD7" w:rsidP="00CA2CF4">
            <w:r>
              <w:t>Az alfejezet részletes</w:t>
            </w:r>
            <w:r w:rsidR="00321489">
              <w:t>ebb</w:t>
            </w:r>
            <w:r w:rsidR="00F9255D">
              <w:t xml:space="preserve"> – további táblázatokkal ellátott –</w:t>
            </w:r>
            <w:r>
              <w:t xml:space="preserve"> bemutatását a</w:t>
            </w:r>
            <w:r w:rsidRPr="00223AD7">
              <w:t>z 1.3-as melléklet tartalmazza.</w:t>
            </w:r>
          </w:p>
          <w:p w14:paraId="323BC77B" w14:textId="50C93C90" w:rsidR="007D5216" w:rsidRDefault="00321489" w:rsidP="00CA2CF4">
            <w:r>
              <w:t>Az 1.1-es alfejezetben már említett módon, az Önkormányzat a saját tulajdonban lévő épületek felújításával indítaná a projektet, melyek pontos műszaki paramétereit tartalmazza jelen 1.3-as alfejezet. Az alfejezetben bemutatott, részletesen vizsgált házak alapján a kerület összes épületére készült kivetítés</w:t>
            </w:r>
            <w:r w:rsidR="006E2DB6">
              <w:t xml:space="preserve"> (jelen alfejezet III. alpontja mutatja be)</w:t>
            </w:r>
            <w:r>
              <w:t xml:space="preserve">, melyből </w:t>
            </w:r>
            <w:r w:rsidR="00611B15">
              <w:t>120</w:t>
            </w:r>
            <w:r w:rsidR="00081364">
              <w:t xml:space="preserve"> ház átlagértéke jelentette a számítás alapját.</w:t>
            </w:r>
          </w:p>
          <w:p w14:paraId="6025C215" w14:textId="7CD50CD9" w:rsidR="007D5216" w:rsidRDefault="007D5216" w:rsidP="00CA2CF4">
            <w:r w:rsidRPr="007D5216">
              <w:t xml:space="preserve">A tervezett energiahatékonysági beruházások Budapest VII. kerületében, </w:t>
            </w:r>
            <w:r w:rsidR="00611B15" w:rsidRPr="00611B15">
              <w:t>Erzsébetvárosban 29 db – 100%-ban önkormányzati tulajdonú – kiválasztott épületben valósulnának meg. Az épületek mindegyike alapvetően lakóépület, egyéb (kereskedelmi, irodai) funkciójú helyiségekkel kiegészítve.</w:t>
            </w:r>
          </w:p>
          <w:p w14:paraId="67F37625" w14:textId="522D5E9E" w:rsidR="00F9255D" w:rsidRPr="00F9255D" w:rsidRDefault="00E94F99" w:rsidP="00F9255D">
            <w:pPr>
              <w:rPr>
                <w:b/>
                <w:bCs/>
              </w:rPr>
            </w:pPr>
            <w:r>
              <w:rPr>
                <w:b/>
                <w:bCs/>
              </w:rPr>
              <w:t>I</w:t>
            </w:r>
            <w:r w:rsidR="00F9255D" w:rsidRPr="00F9255D">
              <w:rPr>
                <w:b/>
                <w:bCs/>
              </w:rPr>
              <w:t>. Az energiahatékonysági fejlesztések és az energiamegtakarítás ismertetése</w:t>
            </w:r>
          </w:p>
          <w:p w14:paraId="0208653A" w14:textId="0C15F00E" w:rsidR="00F9255D" w:rsidRPr="00F9255D" w:rsidRDefault="00E94F99" w:rsidP="00F9255D">
            <w:pPr>
              <w:rPr>
                <w:b/>
                <w:bCs/>
              </w:rPr>
            </w:pPr>
            <w:r>
              <w:rPr>
                <w:b/>
                <w:bCs/>
              </w:rPr>
              <w:t>I</w:t>
            </w:r>
            <w:r w:rsidR="00F9255D" w:rsidRPr="00F9255D">
              <w:rPr>
                <w:b/>
                <w:bCs/>
              </w:rPr>
              <w:t>.1</w:t>
            </w:r>
            <w:r w:rsidR="00822E24">
              <w:rPr>
                <w:b/>
                <w:bCs/>
              </w:rPr>
              <w:t>.</w:t>
            </w:r>
            <w:r w:rsidR="00F9255D" w:rsidRPr="00F9255D">
              <w:rPr>
                <w:b/>
                <w:bCs/>
              </w:rPr>
              <w:t xml:space="preserve"> Az épületek ismertetése</w:t>
            </w:r>
          </w:p>
          <w:p w14:paraId="4386F445" w14:textId="0AB046E7" w:rsidR="00F9255D" w:rsidRDefault="00E764EE" w:rsidP="00822E24">
            <w:pPr>
              <w:jc w:val="center"/>
            </w:pPr>
            <w:r w:rsidRPr="00A1786D">
              <w:rPr>
                <w:noProof/>
                <w:lang w:eastAsia="hu-HU"/>
              </w:rPr>
              <w:drawing>
                <wp:inline distT="0" distB="0" distL="0" distR="0" wp14:anchorId="279CC7B6" wp14:editId="44A66902">
                  <wp:extent cx="5071453" cy="441960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a:extLst>
                              <a:ext uri="{28A0092B-C50C-407E-A947-70E740481C1C}">
                                <a14:useLocalDpi xmlns:a14="http://schemas.microsoft.com/office/drawing/2010/main" val="0"/>
                              </a:ext>
                            </a:extLst>
                          </a:blip>
                          <a:srcRect b="4762"/>
                          <a:stretch/>
                        </pic:blipFill>
                        <pic:spPr bwMode="auto">
                          <a:xfrm>
                            <a:off x="0" y="0"/>
                            <a:ext cx="5097392" cy="4442205"/>
                          </a:xfrm>
                          <a:prstGeom prst="rect">
                            <a:avLst/>
                          </a:prstGeom>
                          <a:noFill/>
                          <a:ln>
                            <a:noFill/>
                          </a:ln>
                          <a:extLst>
                            <a:ext uri="{53640926-AAD7-44D8-BBD7-CCE9431645EC}">
                              <a14:shadowObscured xmlns:a14="http://schemas.microsoft.com/office/drawing/2010/main"/>
                            </a:ext>
                          </a:extLst>
                        </pic:spPr>
                      </pic:pic>
                    </a:graphicData>
                  </a:graphic>
                </wp:inline>
              </w:drawing>
            </w:r>
          </w:p>
          <w:p w14:paraId="11E467BA" w14:textId="15D311FD" w:rsidR="00822E24" w:rsidRDefault="00822E24" w:rsidP="00EF21AD">
            <w:r w:rsidRPr="00822E24">
              <w:t>A</w:t>
            </w:r>
            <w:r>
              <w:t xml:space="preserve"> fenti </w:t>
            </w:r>
            <w:r w:rsidRPr="00822E24">
              <w:t xml:space="preserve">táblázatban láthatóak az érintett épületek adatai (lakásszám, státusz, műemlék jelleg, hrsz., cím, szintek, fűtés módja). </w:t>
            </w:r>
            <w:r w:rsidRPr="00F9255D">
              <w:t>Az épületek eredendően</w:t>
            </w:r>
            <w:r w:rsidR="003D1A0D">
              <w:t xml:space="preserve"> </w:t>
            </w:r>
            <w:r w:rsidRPr="00F9255D">
              <w:t xml:space="preserve">még 1945 előtt épültek, sorház jellegű kialakítással, 2 – 4 szintesek, „utcafront épület-belső udvar-udvari körfolyosó” kialakítással, L, U, vagy O alakban.  Általánosságban elmondható, hogy az épületek döntő hányada - néhány épület kivételével - építészetileg rossz, vagy rendkívül rossz műszaki állapotban van, ezek építészeti felújítása elmaradt. Hat épület nem lakott, státusza „kiürítés alatt” vagy már „üres”. 12 db műemlék épület, amely a fizikai, de különösen a hőtechnikai  felújítás módját korlátozza. </w:t>
            </w:r>
            <w:r w:rsidR="00AF4BA8">
              <w:t>28</w:t>
            </w:r>
            <w:r w:rsidRPr="00F9255D">
              <w:t xml:space="preserve"> épületben a fűtés </w:t>
            </w:r>
            <w:r w:rsidRPr="00F9255D">
              <w:lastRenderedPageBreak/>
              <w:t xml:space="preserve">földgáz bázisú, </w:t>
            </w:r>
            <w:r w:rsidR="00AF4BA8">
              <w:t>3</w:t>
            </w:r>
            <w:r w:rsidRPr="00F9255D">
              <w:t xml:space="preserve"> db épület központi, a többi lakás, vagy helyiség fűtésű. A Szövetség u. 15. épület elektromos fűtésű.</w:t>
            </w:r>
          </w:p>
          <w:p w14:paraId="70C54EA1" w14:textId="63A0D60C" w:rsidR="00822E24" w:rsidRPr="00822E24" w:rsidRDefault="00E94F99" w:rsidP="00EF21AD">
            <w:pPr>
              <w:rPr>
                <w:b/>
                <w:bCs/>
              </w:rPr>
            </w:pPr>
            <w:r>
              <w:rPr>
                <w:b/>
                <w:bCs/>
              </w:rPr>
              <w:t>I</w:t>
            </w:r>
            <w:r w:rsidR="00822E24" w:rsidRPr="00822E24">
              <w:rPr>
                <w:b/>
                <w:bCs/>
              </w:rPr>
              <w:t>.2</w:t>
            </w:r>
            <w:r w:rsidR="00822E24">
              <w:rPr>
                <w:b/>
                <w:bCs/>
              </w:rPr>
              <w:t>.</w:t>
            </w:r>
            <w:r w:rsidR="00822E24" w:rsidRPr="00822E24">
              <w:rPr>
                <w:b/>
                <w:bCs/>
              </w:rPr>
              <w:t xml:space="preserve"> Az épületek hőigénye</w:t>
            </w:r>
          </w:p>
          <w:p w14:paraId="16472788" w14:textId="77777777" w:rsidR="00822E24" w:rsidRDefault="00822E24" w:rsidP="00EF21AD">
            <w:r>
              <w:t>Az 1.3-as mellékletben</w:t>
            </w:r>
            <w:r w:rsidRPr="00822E24">
              <w:t xml:space="preserve"> </w:t>
            </w:r>
            <w:r>
              <w:t>talál</w:t>
            </w:r>
            <w:r w:rsidRPr="00822E24">
              <w:t>ható az épületek fűtési és használati melegvíz (HMV) hőigénye, mely a „7/2006. (V.24.) TNM rendelet az épületek energetikai jellemzőinek meghatározásáról” számítási elvei alapján került meghatározásra.</w:t>
            </w:r>
          </w:p>
          <w:p w14:paraId="52F7013F" w14:textId="41D45636" w:rsidR="00822E24" w:rsidRPr="00822E24" w:rsidRDefault="00E94F99" w:rsidP="00EF21AD">
            <w:pPr>
              <w:rPr>
                <w:b/>
                <w:bCs/>
              </w:rPr>
            </w:pPr>
            <w:r>
              <w:rPr>
                <w:b/>
                <w:bCs/>
              </w:rPr>
              <w:t>I</w:t>
            </w:r>
            <w:r w:rsidR="00822E24" w:rsidRPr="00822E24">
              <w:rPr>
                <w:b/>
                <w:bCs/>
              </w:rPr>
              <w:t>.3. Épületek hőtechnikai felújítása</w:t>
            </w:r>
          </w:p>
          <w:p w14:paraId="68F7A134" w14:textId="79A8D3AB" w:rsidR="00822E24" w:rsidRPr="00822E24" w:rsidRDefault="00822E24" w:rsidP="00EF21AD">
            <w:r w:rsidRPr="00822E24">
              <w:t>Mivel – mint az előzőekben említettük – az épületek jelentős hányada rossz, illetve rendkívül rossz műszaki állapotban van (néhányuk már lakhatatlan), így a hőtechnikai célú felújítást meg kell, hogy előzze</w:t>
            </w:r>
            <w:r>
              <w:t xml:space="preserve"> </w:t>
            </w:r>
            <w:r w:rsidRPr="00822E24">
              <w:t>–</w:t>
            </w:r>
            <w:r>
              <w:t xml:space="preserve"> </w:t>
            </w:r>
            <w:r w:rsidRPr="00822E24">
              <w:t>ezen épületekre vonatkozóan – egy épületfizikai renoválás. A továbbiakban azzal a feltételezéssel élünk, hogy ez megtörtént. A tervezett hőtechnikai felújítás becsült beruházási költsége (</w:t>
            </w:r>
            <w:r w:rsidR="00E94F99">
              <w:t>II</w:t>
            </w:r>
            <w:r w:rsidRPr="00822E24">
              <w:t>.1.</w:t>
            </w:r>
            <w:r>
              <w:t xml:space="preserve"> </w:t>
            </w:r>
            <w:r w:rsidRPr="00822E24">
              <w:t>Épületek hőtechnikai felújítása) nem tartalmaz ilyen a „megfelelő” műszaki állapot elérését célzó összeget.</w:t>
            </w:r>
          </w:p>
          <w:p w14:paraId="7EF0477D" w14:textId="267F5C41" w:rsidR="00822E24" w:rsidRPr="00822E24" w:rsidRDefault="00822E24" w:rsidP="00EF21AD">
            <w:r w:rsidRPr="00822E24">
              <w:t>Az épületek téglaépítésűek (hőszigetelés nélkül), hagyományos nyílászárókkal a korabeli építési kialakítás miatt erősen hőhidasak. A homlokzati falak számított hőátbocsátási tényezője 1,14 W/m</w:t>
            </w:r>
            <w:r w:rsidRPr="00E364E0">
              <w:rPr>
                <w:vertAlign w:val="superscript"/>
              </w:rPr>
              <w:t>2</w:t>
            </w:r>
            <w:r w:rsidRPr="00822E24">
              <w:t>,K, az üveges nyílászáróké 2,35 W/m</w:t>
            </w:r>
            <w:r w:rsidRPr="00E364E0">
              <w:rPr>
                <w:vertAlign w:val="superscript"/>
              </w:rPr>
              <w:t>2</w:t>
            </w:r>
            <w:r w:rsidRPr="00822E24">
              <w:t>,K. A hőtechnikai felújítás megoldását (határoló felületek hőszigetelése, nyílászáró csere) egyrészt a műemléki státusz, másrészt az erősen hőhidas állapot, harmadrészt az udvari körfolyosós kialakítás befolyásolja (korlátozza). A műemléki épületeknél</w:t>
            </w:r>
            <w:r w:rsidR="00AF4BA8">
              <w:t xml:space="preserve">, </w:t>
            </w:r>
            <w:r w:rsidR="00AF4BA8" w:rsidRPr="00AF4BA8">
              <w:t>valamint a nem műemléki, de a városképvédelmi szempontok miatt megőrzendő homlokzatoknál</w:t>
            </w:r>
            <w:r w:rsidRPr="00822E24">
              <w:t xml:space="preserve"> a látható felületeken nem lehet külső hőszigetelést alkalmazni, itt belső hőszigeteléssel</w:t>
            </w:r>
            <w:r w:rsidR="00E6231F">
              <w:rPr>
                <w:rStyle w:val="Lbjegyzet-hivatkozs"/>
              </w:rPr>
              <w:footnoteReference w:id="9"/>
            </w:r>
            <w:r w:rsidRPr="00822E24">
              <w:t xml:space="preserve"> tervezzük megoldani a hőátbocsátás csökkentését. Az erősen hőhidas állapot</w:t>
            </w:r>
            <w:r w:rsidR="00E364E0">
              <w:rPr>
                <w:rStyle w:val="Lbjegyzet-hivatkozs"/>
              </w:rPr>
              <w:footnoteReference w:id="10"/>
            </w:r>
            <w:r w:rsidRPr="00822E24">
              <w:t xml:space="preserve"> és az udvari körfolyosós kialakítás miatt</w:t>
            </w:r>
            <w:r w:rsidR="00F054DE">
              <w:rPr>
                <w:rStyle w:val="Lbjegyzet-hivatkozs"/>
              </w:rPr>
              <w:footnoteReference w:id="11"/>
            </w:r>
            <w:r w:rsidRPr="00822E24">
              <w:t xml:space="preserve"> a homlokzati falak hőátbocsátási tényezője – a tervezett megoldás alapján</w:t>
            </w:r>
            <w:r w:rsidR="00E364E0">
              <w:t xml:space="preserve"> –</w:t>
            </w:r>
            <w:r w:rsidRPr="00822E24">
              <w:t xml:space="preserve"> csak 0,33 W/m</w:t>
            </w:r>
            <w:r w:rsidRPr="00E364E0">
              <w:rPr>
                <w:vertAlign w:val="superscript"/>
              </w:rPr>
              <w:t>2</w:t>
            </w:r>
            <w:r w:rsidRPr="00822E24">
              <w:t>,K-re csökken, amely nem éri el a „7/2006. (V.24.) TNM rendelet az épületek energetikai jellemzőinek meghatározásáról - A közel nulla energiaigényű épületek követelményszintje”-nek megfelelőt, ami homlokzati falakra 0,24 W/m</w:t>
            </w:r>
            <w:r w:rsidRPr="00931FC3">
              <w:rPr>
                <w:vertAlign w:val="superscript"/>
              </w:rPr>
              <w:t>2</w:t>
            </w:r>
            <w:r w:rsidRPr="00822E24">
              <w:t>,K. Műemlék épületek esetében erre a jogszabály ad felmentést, a többi esetben vizsgálni kell a jogi lehetőséget. A nyílászárók, a padlás és búvótér alatti födém esetében elérhető a követelmény érték. Műemlék épületeknél csak kétrétegű üvegezés alkalmazható a meglévő tokokban, így 1,1 W/m</w:t>
            </w:r>
            <w:r w:rsidRPr="00F054DE">
              <w:rPr>
                <w:vertAlign w:val="superscript"/>
              </w:rPr>
              <w:t>2</w:t>
            </w:r>
            <w:r w:rsidRPr="00822E24">
              <w:t>,K hőbocsátási tényező érhető el, a többi esetben három réteggel számoltunk (0,9 W/m</w:t>
            </w:r>
            <w:r w:rsidRPr="00F054DE">
              <w:rPr>
                <w:vertAlign w:val="superscript"/>
              </w:rPr>
              <w:t>2</w:t>
            </w:r>
            <w:r w:rsidRPr="00822E24">
              <w:t>,K). Az alsó zárófödémeknél nem tervezünk beavatkozást. Ezzel a megoldással összeségében, átlagosan mintegy ~63%-os fűtési hőigény megtakarítás érhető el az épületekben.</w:t>
            </w:r>
          </w:p>
          <w:p w14:paraId="356B90BE" w14:textId="77777777" w:rsidR="00822E24" w:rsidRPr="00822E24" w:rsidRDefault="00822E24" w:rsidP="00EF21AD">
            <w:r w:rsidRPr="00822E24">
              <w:t>A fűtési hőigény csökkenésből származó éves CO</w:t>
            </w:r>
            <w:r w:rsidRPr="00F054DE">
              <w:rPr>
                <w:vertAlign w:val="subscript"/>
              </w:rPr>
              <w:t>2</w:t>
            </w:r>
            <w:r w:rsidRPr="00822E24">
              <w:t xml:space="preserve"> csökkenést a földgáz és a villamos energia kibocsátásából számoljuk.</w:t>
            </w:r>
          </w:p>
          <w:p w14:paraId="42F2CC04" w14:textId="77777777" w:rsidR="00822E24" w:rsidRDefault="00822E24" w:rsidP="007E0219">
            <w:r w:rsidRPr="00822E24">
              <w:t>A CO</w:t>
            </w:r>
            <w:r w:rsidRPr="000B648F">
              <w:rPr>
                <w:vertAlign w:val="subscript"/>
              </w:rPr>
              <w:t>2</w:t>
            </w:r>
            <w:r w:rsidR="000B648F">
              <w:rPr>
                <w:vertAlign w:val="subscript"/>
              </w:rPr>
              <w:t xml:space="preserve"> </w:t>
            </w:r>
            <w:r w:rsidRPr="00822E24">
              <w:t>/év kibocsátás alatt az energiahatékonysági szakmai gyakorlatban valójában a CO</w:t>
            </w:r>
            <w:r w:rsidRPr="000B648F">
              <w:rPr>
                <w:vertAlign w:val="subscript"/>
              </w:rPr>
              <w:t>2</w:t>
            </w:r>
            <w:r w:rsidRPr="00822E24">
              <w:t>, a NO</w:t>
            </w:r>
            <w:r w:rsidRPr="000B648F">
              <w:rPr>
                <w:vertAlign w:val="subscript"/>
              </w:rPr>
              <w:t>x</w:t>
            </w:r>
            <w:r w:rsidRPr="00822E24">
              <w:t>, N</w:t>
            </w:r>
            <w:r w:rsidRPr="000B648F">
              <w:rPr>
                <w:vertAlign w:val="subscript"/>
              </w:rPr>
              <w:t>2</w:t>
            </w:r>
            <w:r w:rsidRPr="000B648F">
              <w:t>O</w:t>
            </w:r>
            <w:r w:rsidRPr="00822E24">
              <w:t xml:space="preserve"> és a CH</w:t>
            </w:r>
            <w:r w:rsidRPr="000B648F">
              <w:rPr>
                <w:vertAlign w:val="subscript"/>
              </w:rPr>
              <w:t>4</w:t>
            </w:r>
            <w:r w:rsidRPr="00822E24">
              <w:t xml:space="preserve"> együttesét értjük és a kibocsátásokat átszámítva együttesen CO</w:t>
            </w:r>
            <w:r w:rsidRPr="000B648F">
              <w:rPr>
                <w:vertAlign w:val="subscript"/>
              </w:rPr>
              <w:t>2ekvivalens</w:t>
            </w:r>
            <w:r w:rsidRPr="00822E24">
              <w:t xml:space="preserve">-nek nevezzük. A földgáz fajlagos kibocsátása </w:t>
            </w:r>
            <w:r w:rsidR="000B648F">
              <w:t>–</w:t>
            </w:r>
            <w:r w:rsidRPr="00822E24">
              <w:t xml:space="preserve"> a hazai energiahatékonysági számítási gyakorlatban elfogadottan</w:t>
            </w:r>
            <w:r w:rsidR="000B648F">
              <w:rPr>
                <w:rStyle w:val="Lbjegyzet-hivatkozs"/>
              </w:rPr>
              <w:footnoteReference w:id="12"/>
            </w:r>
            <w:r w:rsidRPr="00822E24">
              <w:t xml:space="preserve"> </w:t>
            </w:r>
            <w:r w:rsidR="000B648F">
              <w:t>–</w:t>
            </w:r>
            <w:r w:rsidRPr="00822E24">
              <w:t xml:space="preserve"> </w:t>
            </w:r>
            <w:r w:rsidRPr="00822E24">
              <w:lastRenderedPageBreak/>
              <w:t>0,0656 tonna CO</w:t>
            </w:r>
            <w:r w:rsidRPr="000B648F">
              <w:rPr>
                <w:vertAlign w:val="subscript"/>
              </w:rPr>
              <w:t>2ekvivalens</w:t>
            </w:r>
            <w:r w:rsidRPr="00822E24">
              <w:t>/GJ. A villamos energia fajlagos kibocsátását 0,3698 tonna CO</w:t>
            </w:r>
            <w:r w:rsidRPr="000B648F">
              <w:rPr>
                <w:vertAlign w:val="subscript"/>
              </w:rPr>
              <w:t>2ekvivalens</w:t>
            </w:r>
            <w:r w:rsidRPr="00822E24">
              <w:t>/MWh értékkel számoltuk.</w:t>
            </w:r>
          </w:p>
          <w:p w14:paraId="16301F3B" w14:textId="3E4F0CDF" w:rsidR="003D62B5" w:rsidRPr="00A07D8B" w:rsidRDefault="003D62B5" w:rsidP="003D62B5">
            <w:pPr>
              <w:jc w:val="left"/>
            </w:pPr>
            <w:r w:rsidRPr="00A07D8B">
              <w:t>Összes éves jelenlegi fűtési hőigény, ƩQ</w:t>
            </w:r>
            <w:r w:rsidRPr="00A07D8B">
              <w:rPr>
                <w:vertAlign w:val="subscript"/>
              </w:rPr>
              <w:t>F</w:t>
            </w:r>
            <w:r w:rsidRPr="00A07D8B">
              <w:t xml:space="preserve"> = </w:t>
            </w:r>
            <w:r w:rsidR="00334EFC" w:rsidRPr="00334EFC">
              <w:t xml:space="preserve">6.095 </w:t>
            </w:r>
            <w:r w:rsidRPr="00A07D8B">
              <w:t>MWh/év</w:t>
            </w:r>
          </w:p>
          <w:p w14:paraId="4F2AC8AA" w14:textId="4D98D033" w:rsidR="003D62B5" w:rsidRPr="00A07D8B" w:rsidRDefault="003D62B5" w:rsidP="003D62B5">
            <w:pPr>
              <w:jc w:val="left"/>
            </w:pPr>
            <w:r w:rsidRPr="00A07D8B">
              <w:t>Összes éves fűtési hőigény a felújítás után, ƩQ</w:t>
            </w:r>
            <w:r w:rsidRPr="00A07D8B">
              <w:rPr>
                <w:vertAlign w:val="subscript"/>
              </w:rPr>
              <w:t>F</w:t>
            </w:r>
            <w:r w:rsidRPr="00A07D8B">
              <w:t xml:space="preserve"> = </w:t>
            </w:r>
            <w:r w:rsidR="00334EFC" w:rsidRPr="00334EFC">
              <w:t xml:space="preserve">2.233 </w:t>
            </w:r>
            <w:r w:rsidRPr="00A07D8B">
              <w:t>MWh/év</w:t>
            </w:r>
          </w:p>
          <w:p w14:paraId="3760FE5F" w14:textId="5794189C" w:rsidR="003D62B5" w:rsidRPr="00A07D8B" w:rsidRDefault="003D62B5" w:rsidP="003D62B5">
            <w:pPr>
              <w:jc w:val="left"/>
            </w:pPr>
            <w:r w:rsidRPr="00A07D8B">
              <w:t>Összes éves fűtési hőigény csökkenés, ƩΔQ</w:t>
            </w:r>
            <w:r w:rsidRPr="00A07D8B">
              <w:rPr>
                <w:vertAlign w:val="subscript"/>
              </w:rPr>
              <w:t>F</w:t>
            </w:r>
            <w:r w:rsidRPr="00A07D8B">
              <w:t xml:space="preserve"> = </w:t>
            </w:r>
            <w:r w:rsidR="00334EFC" w:rsidRPr="00334EFC">
              <w:t xml:space="preserve">3.843 </w:t>
            </w:r>
            <w:r w:rsidRPr="00A07D8B">
              <w:t>MWh/év</w:t>
            </w:r>
          </w:p>
          <w:p w14:paraId="34C44517" w14:textId="295F6261" w:rsidR="003D62B5" w:rsidRPr="00A07D8B" w:rsidRDefault="003D62B5" w:rsidP="003D62B5">
            <w:pPr>
              <w:jc w:val="left"/>
            </w:pPr>
            <w:r w:rsidRPr="00A07D8B">
              <w:t xml:space="preserve">Összes éves kibocsátás csökkenés: </w:t>
            </w:r>
            <w:r w:rsidR="00334EFC" w:rsidRPr="00334EFC">
              <w:t xml:space="preserve">1.014 </w:t>
            </w:r>
            <w:r w:rsidRPr="00A07D8B">
              <w:t>tonna CO</w:t>
            </w:r>
            <w:r w:rsidRPr="00A07D8B">
              <w:rPr>
                <w:vertAlign w:val="subscript"/>
              </w:rPr>
              <w:t>2ekvivalens</w:t>
            </w:r>
            <w:r w:rsidRPr="00A07D8B">
              <w:t>/év</w:t>
            </w:r>
          </w:p>
          <w:p w14:paraId="180126D9" w14:textId="2BF62D59" w:rsidR="003D62B5" w:rsidRPr="00E94F99" w:rsidRDefault="00E94F99" w:rsidP="003D62B5">
            <w:pPr>
              <w:jc w:val="left"/>
              <w:rPr>
                <w:b/>
                <w:bCs/>
              </w:rPr>
            </w:pPr>
            <w:r w:rsidRPr="00E94F99">
              <w:rPr>
                <w:b/>
                <w:bCs/>
              </w:rPr>
              <w:t>I</w:t>
            </w:r>
            <w:r w:rsidR="003D62B5" w:rsidRPr="00E94F99">
              <w:rPr>
                <w:b/>
                <w:bCs/>
              </w:rPr>
              <w:t>.4. Hőszivattyús ellátás gáz/villamos energia fűtési ellátás helyett</w:t>
            </w:r>
          </w:p>
          <w:p w14:paraId="42C292DC" w14:textId="1F63FABC" w:rsidR="00E94F99" w:rsidRPr="00E94F99" w:rsidRDefault="00E94F99" w:rsidP="00EF21AD">
            <w:r w:rsidRPr="00E94F99">
              <w:t xml:space="preserve">Miként az </w:t>
            </w:r>
            <w:r>
              <w:t>I</w:t>
            </w:r>
            <w:r w:rsidRPr="00E94F99">
              <w:t>.1</w:t>
            </w:r>
            <w:r>
              <w:t>.</w:t>
            </w:r>
            <w:r w:rsidRPr="00E94F99">
              <w:t xml:space="preserve"> </w:t>
            </w:r>
            <w:r>
              <w:t>pontban</w:t>
            </w:r>
            <w:r w:rsidRPr="00E94F99">
              <w:t xml:space="preserve"> bemutattuk </w:t>
            </w:r>
            <w:r w:rsidR="00EF21AD" w:rsidRPr="00EF21AD">
              <w:t>28 épületben a fűtés földgáz bázisú, 3 db épület központi, a többi lakás, vagy helyiség fűtésű, a Szövetség u. 15. épület elektromos fűtésű.</w:t>
            </w:r>
            <w:r w:rsidRPr="00E94F99">
              <w:t xml:space="preserve"> A fűtéskorszerűsítés lényege, hogy a fűtési hőigény jelentős része megújuló energiaforrásból legyen biztosítva, melynek kézenfekvő megoldása a levegő bázisú (hőforrású) hőszivattyúk (HP) alkalmazása. A fűtéskorszerűsítés már az épületek hőtechnikai felújítása utáni, lecsökkent hőigényre vonatkozik.</w:t>
            </w:r>
          </w:p>
          <w:p w14:paraId="3D88CF19" w14:textId="77777777" w:rsidR="00E94F99" w:rsidRPr="00E94F99" w:rsidRDefault="00E94F99" w:rsidP="00EF21AD">
            <w:r w:rsidRPr="00E94F99">
              <w:t>Három féle műszaki megoldást dolgoztunk ki:</w:t>
            </w:r>
          </w:p>
          <w:p w14:paraId="447DCF5E" w14:textId="0900CE3B" w:rsidR="00E94F99" w:rsidRPr="00E94F99" w:rsidRDefault="00E94F99" w:rsidP="00EF21AD">
            <w:pPr>
              <w:pStyle w:val="Listaszerbekezds"/>
              <w:numPr>
                <w:ilvl w:val="0"/>
                <w:numId w:val="26"/>
              </w:numPr>
            </w:pPr>
            <w:r w:rsidRPr="00E94F99">
              <w:t>A verzió: épület-központi ellátás (levegő-víz HP központi fűtési rendszerhez),</w:t>
            </w:r>
          </w:p>
          <w:p w14:paraId="29892875" w14:textId="0241C4C8" w:rsidR="00E94F99" w:rsidRPr="00E94F99" w:rsidRDefault="00E94F99" w:rsidP="00EF21AD">
            <w:pPr>
              <w:pStyle w:val="Listaszerbekezds"/>
              <w:numPr>
                <w:ilvl w:val="0"/>
                <w:numId w:val="26"/>
              </w:numPr>
            </w:pPr>
            <w:r w:rsidRPr="00E94F99">
              <w:t>B verzió: VRF rendszerű központi HP ellátás,</w:t>
            </w:r>
          </w:p>
          <w:p w14:paraId="0DE1EC25" w14:textId="60F52D0E" w:rsidR="00E94F99" w:rsidRPr="00E94F99" w:rsidRDefault="00E94F99" w:rsidP="00EF21AD">
            <w:pPr>
              <w:pStyle w:val="Listaszerbekezds"/>
              <w:numPr>
                <w:ilvl w:val="0"/>
                <w:numId w:val="26"/>
              </w:numPr>
            </w:pPr>
            <w:r w:rsidRPr="00E94F99">
              <w:t>C verzió: helyiség ellátás (levegő-levegő HP - split klímák).</w:t>
            </w:r>
          </w:p>
          <w:p w14:paraId="2F2D008A" w14:textId="41FF4C55" w:rsidR="00E94F99" w:rsidRPr="00E94F99" w:rsidRDefault="00E94F99" w:rsidP="00EF21AD">
            <w:r w:rsidRPr="00E94F99">
              <w:t>Az első esetben a meglévő központi fűtésű épületekben a gázkazán helyére kerül a hidro-blokkos levegő-víz hőszivattyú, amely a meglévő szekunder radiátoros rendszerhez csatlakozik. Azokban az épületekben (ez a többség), ahol jelenleg nincs szekunder rendszer, azt ki kell építeni.</w:t>
            </w:r>
            <w:r w:rsidR="007E0219">
              <w:rPr>
                <w:rStyle w:val="Lbjegyzet-hivatkozs"/>
              </w:rPr>
              <w:footnoteReference w:id="13"/>
            </w:r>
          </w:p>
          <w:p w14:paraId="6C7A7157" w14:textId="6D21C836" w:rsidR="00E94F99" w:rsidRPr="00E94F99" w:rsidRDefault="00E94F99" w:rsidP="00E94F99">
            <w:pPr>
              <w:jc w:val="left"/>
            </w:pPr>
            <w:r w:rsidRPr="00E94F99">
              <w:t>A második esetben VRF (Variable Refrigerant Flow) rendszert építenénk. A VRF a hűtéstechnikában már elterjedt, lényege, hogy egy kültéri egységhez</w:t>
            </w:r>
            <w:r w:rsidR="00015717">
              <w:rPr>
                <w:rStyle w:val="Lbjegyzet-hivatkozs"/>
              </w:rPr>
              <w:footnoteReference w:id="14"/>
            </w:r>
            <w:r w:rsidRPr="00E94F99">
              <w:t xml:space="preserve"> több beltéri egység tartozik. Összehasonlítva az előző rendszerrel, itt nincs szükség vizes szekunder hálózatra, a hőleadást a helyiségekbe telepített beltéri egységek biztosítják, nincs hőcsere a primer és szekunder rendszer között, az ellátás közvetlen. Előnye, hogy a különböző helyiségekben egyidejűleg tud biztosítani hűtést és fűtést.</w:t>
            </w:r>
          </w:p>
          <w:p w14:paraId="2BADACE9" w14:textId="3A777E66" w:rsidR="00E94F99" w:rsidRDefault="00E94F99" w:rsidP="00E94F99">
            <w:pPr>
              <w:jc w:val="left"/>
            </w:pPr>
            <w:r w:rsidRPr="00E94F99">
              <w:t>A harmadik eset hagyományos spli</w:t>
            </w:r>
            <w:r w:rsidR="00155626">
              <w:t>t</w:t>
            </w:r>
            <w:r w:rsidRPr="00E94F99">
              <w:t xml:space="preserve"> klímák (levegő-levegő HP) beépítése minden fűtendő helyiségbe. Ennek a műszaki megoldásnak – bár gazdaságilag ez tűnik a legkedvezőbbnek lásd </w:t>
            </w:r>
            <w:r>
              <w:t>II</w:t>
            </w:r>
            <w:r w:rsidRPr="00E94F99">
              <w:t>.2</w:t>
            </w:r>
            <w:r>
              <w:t>. részben</w:t>
            </w:r>
            <w:r w:rsidRPr="00E94F99">
              <w:t xml:space="preserve"> – a kivitelezhetősége kétséges</w:t>
            </w:r>
            <w:r w:rsidR="00EF21AD">
              <w:rPr>
                <w:rStyle w:val="Lbjegyzet-hivatkozs"/>
              </w:rPr>
              <w:footnoteReference w:id="15"/>
            </w:r>
            <w:r w:rsidR="00EF21AD">
              <w:t>, mivel előre nem garantálható a megvalósíthatóság</w:t>
            </w:r>
            <w:r w:rsidRPr="00E94F99">
              <w:t>.</w:t>
            </w:r>
          </w:p>
          <w:p w14:paraId="641DC644" w14:textId="77777777" w:rsidR="00E94F99" w:rsidRPr="00E94F99" w:rsidRDefault="00E94F99" w:rsidP="00E94F99">
            <w:pPr>
              <w:jc w:val="left"/>
              <w:rPr>
                <w:b/>
                <w:bCs/>
              </w:rPr>
            </w:pPr>
            <w:r w:rsidRPr="00E94F99">
              <w:rPr>
                <w:b/>
                <w:bCs/>
              </w:rPr>
              <w:t>A verzió:</w:t>
            </w:r>
          </w:p>
          <w:p w14:paraId="654C1B88" w14:textId="4C8C7996" w:rsidR="00E94F99" w:rsidRPr="00E94F99" w:rsidRDefault="00E94F99" w:rsidP="00E94F99">
            <w:pPr>
              <w:jc w:val="left"/>
            </w:pPr>
            <w:r w:rsidRPr="00E94F99">
              <w:t xml:space="preserve">Összes, fűtési hőigény a beavatkozás előtt: </w:t>
            </w:r>
            <w:r w:rsidR="00250B04" w:rsidRPr="00250B04">
              <w:t>2.233</w:t>
            </w:r>
            <w:r w:rsidRPr="00E94F99">
              <w:t xml:space="preserve"> MWh/év</w:t>
            </w:r>
          </w:p>
          <w:p w14:paraId="33C921C6" w14:textId="249A4BDA" w:rsidR="00E94F99" w:rsidRPr="00E94F99" w:rsidRDefault="00E94F99" w:rsidP="00E94F99">
            <w:pPr>
              <w:jc w:val="left"/>
            </w:pPr>
            <w:r w:rsidRPr="00E94F99">
              <w:t xml:space="preserve">Összes hajtási villamos energia: </w:t>
            </w:r>
            <w:r w:rsidR="00250B04">
              <w:t>714</w:t>
            </w:r>
            <w:r w:rsidRPr="00E94F99">
              <w:t xml:space="preserve"> MWh/év</w:t>
            </w:r>
          </w:p>
          <w:p w14:paraId="46217BF3" w14:textId="72FC2DFC" w:rsidR="00E94F99" w:rsidRPr="00E94F99" w:rsidRDefault="00E94F99" w:rsidP="00E94F99">
            <w:pPr>
              <w:jc w:val="left"/>
            </w:pPr>
            <w:r w:rsidRPr="00E94F99">
              <w:t xml:space="preserve">Összes megújuló energia: </w:t>
            </w:r>
            <w:r w:rsidR="00250B04" w:rsidRPr="00250B04">
              <w:t xml:space="preserve">1.520 </w:t>
            </w:r>
            <w:r w:rsidRPr="00E94F99">
              <w:t>MWh/év</w:t>
            </w:r>
          </w:p>
          <w:p w14:paraId="3B3D2EFF" w14:textId="46DE2EAE" w:rsidR="00E94F99" w:rsidRDefault="00E94F99" w:rsidP="00E94F99">
            <w:pPr>
              <w:jc w:val="left"/>
            </w:pPr>
            <w:r w:rsidRPr="00E94F99">
              <w:t xml:space="preserve">Összes éves kibocsátás csökkenés: </w:t>
            </w:r>
            <w:r w:rsidR="00250B04">
              <w:t>32</w:t>
            </w:r>
            <w:r w:rsidRPr="00E94F99">
              <w:t>6 tonna CO</w:t>
            </w:r>
            <w:r w:rsidRPr="00E94F99">
              <w:rPr>
                <w:vertAlign w:val="subscript"/>
              </w:rPr>
              <w:t>2ekvivalens</w:t>
            </w:r>
            <w:r w:rsidRPr="00E94F99">
              <w:t>/év</w:t>
            </w:r>
          </w:p>
          <w:p w14:paraId="6680B2F8" w14:textId="77777777" w:rsidR="00E94F99" w:rsidRDefault="00E94F99" w:rsidP="00E94F99">
            <w:pPr>
              <w:rPr>
                <w:b/>
              </w:rPr>
            </w:pPr>
            <w:r>
              <w:rPr>
                <w:b/>
              </w:rPr>
              <w:t>B verzió:</w:t>
            </w:r>
          </w:p>
          <w:p w14:paraId="725EB127" w14:textId="7D1CE41C" w:rsidR="00E94F99" w:rsidRPr="00E94F99" w:rsidRDefault="00E94F99" w:rsidP="00E94F99">
            <w:pPr>
              <w:rPr>
                <w:bCs/>
              </w:rPr>
            </w:pPr>
            <w:r w:rsidRPr="00E94F99">
              <w:rPr>
                <w:bCs/>
              </w:rPr>
              <w:t xml:space="preserve">Összes, fűtési hőigény a beavatkozás előtt: </w:t>
            </w:r>
            <w:r w:rsidR="00250B04" w:rsidRPr="00250B04">
              <w:rPr>
                <w:bCs/>
              </w:rPr>
              <w:t xml:space="preserve">2.233 </w:t>
            </w:r>
            <w:r w:rsidRPr="00E94F99">
              <w:rPr>
                <w:bCs/>
              </w:rPr>
              <w:t>MWh/év</w:t>
            </w:r>
          </w:p>
          <w:p w14:paraId="35BF15F0" w14:textId="5EB459E6" w:rsidR="00E94F99" w:rsidRPr="00E94F99" w:rsidRDefault="00E94F99" w:rsidP="00E94F99">
            <w:pPr>
              <w:rPr>
                <w:bCs/>
              </w:rPr>
            </w:pPr>
            <w:r w:rsidRPr="00E94F99">
              <w:rPr>
                <w:bCs/>
              </w:rPr>
              <w:lastRenderedPageBreak/>
              <w:t xml:space="preserve">Összes hajtási villamos energia: </w:t>
            </w:r>
            <w:r w:rsidR="00250B04">
              <w:rPr>
                <w:bCs/>
              </w:rPr>
              <w:t xml:space="preserve">651 </w:t>
            </w:r>
            <w:r w:rsidRPr="00E94F99">
              <w:rPr>
                <w:bCs/>
              </w:rPr>
              <w:t>MWh/év</w:t>
            </w:r>
          </w:p>
          <w:p w14:paraId="7EB959E5" w14:textId="180553F8" w:rsidR="00E94F99" w:rsidRPr="00E94F99" w:rsidRDefault="00E94F99" w:rsidP="00E94F99">
            <w:pPr>
              <w:rPr>
                <w:bCs/>
              </w:rPr>
            </w:pPr>
            <w:r w:rsidRPr="00E94F99">
              <w:rPr>
                <w:bCs/>
              </w:rPr>
              <w:t xml:space="preserve">Összes megújuló energia: </w:t>
            </w:r>
            <w:r w:rsidR="00250B04" w:rsidRPr="00250B04">
              <w:rPr>
                <w:bCs/>
              </w:rPr>
              <w:t>1.582</w:t>
            </w:r>
            <w:r w:rsidR="00250B04">
              <w:rPr>
                <w:bCs/>
              </w:rPr>
              <w:t xml:space="preserve"> </w:t>
            </w:r>
            <w:r w:rsidRPr="00E94F99">
              <w:rPr>
                <w:bCs/>
              </w:rPr>
              <w:t>MWh/év</w:t>
            </w:r>
          </w:p>
          <w:p w14:paraId="27BAB1DC" w14:textId="5C0FF30D" w:rsidR="00E94F99" w:rsidRDefault="00E94F99" w:rsidP="00E94F99">
            <w:pPr>
              <w:rPr>
                <w:bCs/>
              </w:rPr>
            </w:pPr>
            <w:r w:rsidRPr="00E94F99">
              <w:rPr>
                <w:bCs/>
              </w:rPr>
              <w:t xml:space="preserve">Összes éves kibocsátás csökkenés: </w:t>
            </w:r>
            <w:r w:rsidR="00250B04">
              <w:rPr>
                <w:bCs/>
              </w:rPr>
              <w:t>349</w:t>
            </w:r>
            <w:r w:rsidRPr="00E94F99">
              <w:rPr>
                <w:bCs/>
              </w:rPr>
              <w:t xml:space="preserve"> tonna CO</w:t>
            </w:r>
            <w:r w:rsidRPr="00E94F99">
              <w:rPr>
                <w:bCs/>
                <w:vertAlign w:val="subscript"/>
              </w:rPr>
              <w:t>2ekvivalens</w:t>
            </w:r>
            <w:r w:rsidRPr="00E94F99">
              <w:rPr>
                <w:bCs/>
              </w:rPr>
              <w:t>/év</w:t>
            </w:r>
          </w:p>
          <w:p w14:paraId="449AB6F4" w14:textId="77777777" w:rsidR="00E94F99" w:rsidRDefault="00E94F99" w:rsidP="00E94F99">
            <w:pPr>
              <w:rPr>
                <w:b/>
              </w:rPr>
            </w:pPr>
            <w:r>
              <w:rPr>
                <w:b/>
              </w:rPr>
              <w:t>C verzió:</w:t>
            </w:r>
          </w:p>
          <w:p w14:paraId="7E698E19" w14:textId="75C2F502" w:rsidR="00E94F99" w:rsidRPr="00E94F99" w:rsidRDefault="00E94F99" w:rsidP="00E94F99">
            <w:pPr>
              <w:rPr>
                <w:bCs/>
              </w:rPr>
            </w:pPr>
            <w:r w:rsidRPr="00E94F99">
              <w:rPr>
                <w:bCs/>
              </w:rPr>
              <w:t xml:space="preserve">Összes, fűtési hőigény a beavatkozás előtt: </w:t>
            </w:r>
            <w:r w:rsidR="00250B04" w:rsidRPr="00250B04">
              <w:rPr>
                <w:bCs/>
              </w:rPr>
              <w:t xml:space="preserve">2.233 </w:t>
            </w:r>
            <w:r w:rsidRPr="00E94F99">
              <w:rPr>
                <w:bCs/>
              </w:rPr>
              <w:t xml:space="preserve"> MWh/év</w:t>
            </w:r>
          </w:p>
          <w:p w14:paraId="327D3EA8" w14:textId="6BCE2A02" w:rsidR="00E94F99" w:rsidRPr="00E94F99" w:rsidRDefault="00E94F99" w:rsidP="00E94F99">
            <w:pPr>
              <w:rPr>
                <w:bCs/>
              </w:rPr>
            </w:pPr>
            <w:r w:rsidRPr="00E94F99">
              <w:rPr>
                <w:bCs/>
              </w:rPr>
              <w:t xml:space="preserve">Összes hajtási villamos energia: </w:t>
            </w:r>
            <w:r w:rsidR="00250B04">
              <w:rPr>
                <w:bCs/>
              </w:rPr>
              <w:t>651</w:t>
            </w:r>
            <w:r w:rsidRPr="00E94F99">
              <w:rPr>
                <w:bCs/>
              </w:rPr>
              <w:t xml:space="preserve"> MWh/év</w:t>
            </w:r>
          </w:p>
          <w:p w14:paraId="09D98A54" w14:textId="0B7CC024" w:rsidR="00E94F99" w:rsidRPr="00E94F99" w:rsidRDefault="00E94F99" w:rsidP="00E94F99">
            <w:pPr>
              <w:rPr>
                <w:bCs/>
              </w:rPr>
            </w:pPr>
            <w:r w:rsidRPr="00E94F99">
              <w:rPr>
                <w:bCs/>
              </w:rPr>
              <w:t xml:space="preserve">Összes megújuló energia: </w:t>
            </w:r>
            <w:r w:rsidR="00250B04" w:rsidRPr="00250B04">
              <w:rPr>
                <w:bCs/>
              </w:rPr>
              <w:t xml:space="preserve">1.582 </w:t>
            </w:r>
            <w:r w:rsidRPr="00E94F99">
              <w:rPr>
                <w:bCs/>
              </w:rPr>
              <w:t>MWh/év</w:t>
            </w:r>
          </w:p>
          <w:p w14:paraId="799C5D14" w14:textId="433E2659" w:rsidR="00E94F99" w:rsidRPr="00E94F99" w:rsidRDefault="00E94F99" w:rsidP="00E94F99">
            <w:pPr>
              <w:rPr>
                <w:bCs/>
              </w:rPr>
            </w:pPr>
            <w:r w:rsidRPr="00E94F99">
              <w:rPr>
                <w:bCs/>
              </w:rPr>
              <w:t xml:space="preserve">Összes éves kibocsátás csökkenés: </w:t>
            </w:r>
            <w:r w:rsidR="00250B04">
              <w:rPr>
                <w:bCs/>
              </w:rPr>
              <w:t>349</w:t>
            </w:r>
            <w:r w:rsidRPr="00E94F99">
              <w:rPr>
                <w:bCs/>
              </w:rPr>
              <w:t xml:space="preserve"> tonna CO</w:t>
            </w:r>
            <w:r w:rsidRPr="00E94F99">
              <w:rPr>
                <w:bCs/>
                <w:vertAlign w:val="subscript"/>
              </w:rPr>
              <w:t>2ekvivalens</w:t>
            </w:r>
            <w:r w:rsidRPr="00E94F99">
              <w:rPr>
                <w:bCs/>
              </w:rPr>
              <w:t>/év</w:t>
            </w:r>
          </w:p>
          <w:p w14:paraId="7BAF5D04" w14:textId="306DE7F4" w:rsidR="00E94F99" w:rsidRPr="003D748F" w:rsidRDefault="00E94F99" w:rsidP="00E94F99">
            <w:pPr>
              <w:rPr>
                <w:b/>
              </w:rPr>
            </w:pPr>
            <w:r w:rsidRPr="003D748F">
              <w:rPr>
                <w:b/>
              </w:rPr>
              <w:t>I.5. PV napelemek telepítése 1</w:t>
            </w:r>
            <w:r w:rsidR="000B425E">
              <w:rPr>
                <w:b/>
              </w:rPr>
              <w:t>5</w:t>
            </w:r>
            <w:r w:rsidRPr="003D748F">
              <w:rPr>
                <w:b/>
              </w:rPr>
              <w:t xml:space="preserve"> lakóépületre</w:t>
            </w:r>
          </w:p>
          <w:p w14:paraId="137F7F96" w14:textId="524AB4A1" w:rsidR="00E94F99" w:rsidRDefault="000B425E" w:rsidP="00E94F99">
            <w:r w:rsidRPr="000B425E">
              <w:t>A 29 épület közül a 12 műemlék épületre nem terveztünk napelem telepítést. Két lakóépületnél pedig a tetőfelület a benapozottság figyelembe vételével nem alkalmas PV telepítésre</w:t>
            </w:r>
            <w:r w:rsidR="00E94F99">
              <w:t>. A többi épületnél meghatározásra került a teljes tetőfelület, azon belül a PV telepítésre alkalmas tetőfelület. A hasznos napelem fajlagos felület ~4,4-4,8 m</w:t>
            </w:r>
            <w:r w:rsidR="00E94F99">
              <w:rPr>
                <w:vertAlign w:val="superscript"/>
              </w:rPr>
              <w:t>2</w:t>
            </w:r>
            <w:r w:rsidR="00E94F99">
              <w:t>/kW</w:t>
            </w:r>
            <w:r w:rsidR="00E94F99">
              <w:rPr>
                <w:vertAlign w:val="subscript"/>
              </w:rPr>
              <w:t>p</w:t>
            </w:r>
            <w:r w:rsidR="00E94F99">
              <w:t xml:space="preserve"> (~350 W</w:t>
            </w:r>
            <w:r w:rsidR="00E94F99">
              <w:rPr>
                <w:vertAlign w:val="subscript"/>
              </w:rPr>
              <w:t>p</w:t>
            </w:r>
            <w:r w:rsidR="00E94F99">
              <w:t>/panel) értékkel lett számolva. Ez alapján számolható a beépített PV csúcsteljesítmény (kW</w:t>
            </w:r>
            <w:r w:rsidR="00E94F99">
              <w:rPr>
                <w:vertAlign w:val="subscript"/>
              </w:rPr>
              <w:t>p</w:t>
            </w:r>
            <w:r w:rsidR="00E94F99">
              <w:t>). A magyarországi éves, fajlagos napenergia hasznosítás ~1.100 kWh/kW</w:t>
            </w:r>
            <w:r w:rsidR="00E94F99">
              <w:rPr>
                <w:vertAlign w:val="subscript"/>
              </w:rPr>
              <w:t>p</w:t>
            </w:r>
            <w:r w:rsidR="00E94F99">
              <w:t>. Itt a benapozottság figyelembe vételével kisebb értékkel számoltunk. Így adódott ki a napelemekből egy évben megtermelt megújuló villamos energia mennyisége (MWh/év). A megtermelt megújuló villamos energia hálózatról vételezett villamos energiát vált ki, így a működése által keletkezett CO</w:t>
            </w:r>
            <w:r w:rsidR="00E94F99">
              <w:rPr>
                <w:vertAlign w:val="subscript"/>
              </w:rPr>
              <w:t>2</w:t>
            </w:r>
            <w:r w:rsidR="00E94F99">
              <w:t xml:space="preserve"> megtakarítás az elmaradt kibocsátással azonos. Itt is CO</w:t>
            </w:r>
            <w:r w:rsidR="00E94F99">
              <w:rPr>
                <w:vertAlign w:val="subscript"/>
              </w:rPr>
              <w:t>2ekvivalens</w:t>
            </w:r>
            <w:r w:rsidR="00E94F99">
              <w:t>-t vettünk figyelembe. A villamos energia fajlagos kibocsátása – a hazai energiahatékonysági számítási gyakorlatban elfogadottan – 0,3698 tonna CO</w:t>
            </w:r>
            <w:r w:rsidR="00E94F99">
              <w:rPr>
                <w:vertAlign w:val="subscript"/>
              </w:rPr>
              <w:t>2e</w:t>
            </w:r>
            <w:r w:rsidR="00BB028A">
              <w:rPr>
                <w:vertAlign w:val="subscript"/>
              </w:rPr>
              <w:t>k</w:t>
            </w:r>
            <w:r w:rsidR="00E94F99">
              <w:rPr>
                <w:vertAlign w:val="subscript"/>
              </w:rPr>
              <w:t>vivalens</w:t>
            </w:r>
            <w:r w:rsidR="00E94F99">
              <w:t>/MWh.</w:t>
            </w:r>
          </w:p>
          <w:p w14:paraId="2265E763" w14:textId="0A4E67E1" w:rsidR="00E94F99" w:rsidRPr="00E94F99" w:rsidRDefault="00E94F99" w:rsidP="00E94F99">
            <w:pPr>
              <w:rPr>
                <w:bCs/>
              </w:rPr>
            </w:pPr>
            <w:r w:rsidRPr="00E94F99">
              <w:rPr>
                <w:bCs/>
              </w:rPr>
              <w:t xml:space="preserve">Összes PV teljesítmény: </w:t>
            </w:r>
            <w:r w:rsidR="000B425E">
              <w:rPr>
                <w:bCs/>
              </w:rPr>
              <w:t>423</w:t>
            </w:r>
            <w:r w:rsidRPr="00E94F99">
              <w:rPr>
                <w:bCs/>
              </w:rPr>
              <w:t xml:space="preserve"> kW</w:t>
            </w:r>
            <w:r w:rsidRPr="00E94F99">
              <w:rPr>
                <w:bCs/>
                <w:vertAlign w:val="subscript"/>
              </w:rPr>
              <w:t>p</w:t>
            </w:r>
          </w:p>
          <w:p w14:paraId="3A6A8D2B" w14:textId="70C4D700" w:rsidR="00E94F99" w:rsidRPr="00E94F99" w:rsidRDefault="00E94F99" w:rsidP="00E94F99">
            <w:pPr>
              <w:rPr>
                <w:bCs/>
              </w:rPr>
            </w:pPr>
            <w:r w:rsidRPr="00E94F99">
              <w:rPr>
                <w:bCs/>
              </w:rPr>
              <w:t xml:space="preserve">Összes éves megtermelt megújuló villamos energia: </w:t>
            </w:r>
            <w:r w:rsidR="000B425E">
              <w:rPr>
                <w:bCs/>
              </w:rPr>
              <w:t>423,6</w:t>
            </w:r>
            <w:r w:rsidRPr="00E94F99">
              <w:rPr>
                <w:bCs/>
              </w:rPr>
              <w:t xml:space="preserve"> MWh/év</w:t>
            </w:r>
          </w:p>
          <w:p w14:paraId="28A832C4" w14:textId="4F9C4F53" w:rsidR="00E94F99" w:rsidRDefault="00E94F99" w:rsidP="00E94F99">
            <w:pPr>
              <w:rPr>
                <w:bCs/>
              </w:rPr>
            </w:pPr>
            <w:r w:rsidRPr="00E94F99">
              <w:rPr>
                <w:bCs/>
              </w:rPr>
              <w:t>Összes éves kibocsátás csökkenés: 1</w:t>
            </w:r>
            <w:r w:rsidR="000B425E">
              <w:rPr>
                <w:bCs/>
              </w:rPr>
              <w:t>56</w:t>
            </w:r>
            <w:r w:rsidRPr="00E94F99">
              <w:rPr>
                <w:bCs/>
              </w:rPr>
              <w:t>,</w:t>
            </w:r>
            <w:r w:rsidR="000B425E">
              <w:rPr>
                <w:bCs/>
              </w:rPr>
              <w:t>6</w:t>
            </w:r>
            <w:r w:rsidRPr="00E94F99">
              <w:rPr>
                <w:bCs/>
              </w:rPr>
              <w:t xml:space="preserve"> tonna CO</w:t>
            </w:r>
            <w:r w:rsidRPr="00E94F99">
              <w:rPr>
                <w:bCs/>
                <w:vertAlign w:val="subscript"/>
              </w:rPr>
              <w:t>2ekvivalens</w:t>
            </w:r>
            <w:r w:rsidRPr="00E94F99">
              <w:rPr>
                <w:bCs/>
              </w:rPr>
              <w:t>/év</w:t>
            </w:r>
          </w:p>
          <w:p w14:paraId="6F6DA735" w14:textId="34D63F79" w:rsidR="00E94F99" w:rsidRPr="003D748F" w:rsidRDefault="003D748F" w:rsidP="00E94F99">
            <w:pPr>
              <w:rPr>
                <w:b/>
              </w:rPr>
            </w:pPr>
            <w:r w:rsidRPr="003D748F">
              <w:rPr>
                <w:b/>
              </w:rPr>
              <w:t>II. A beruházások gazdaságossága</w:t>
            </w:r>
          </w:p>
          <w:p w14:paraId="1A4DCFD0" w14:textId="69FC5FC6" w:rsidR="003D748F" w:rsidRPr="003D748F" w:rsidRDefault="003D748F" w:rsidP="00E94F99">
            <w:pPr>
              <w:rPr>
                <w:b/>
              </w:rPr>
            </w:pPr>
            <w:r w:rsidRPr="003D748F">
              <w:rPr>
                <w:b/>
              </w:rPr>
              <w:t>II.1. Épületek hőtechnikai felújítása</w:t>
            </w:r>
          </w:p>
          <w:p w14:paraId="26D3C5E3" w14:textId="05E1D7E1" w:rsidR="003D748F" w:rsidRPr="003D748F" w:rsidRDefault="003D748F" w:rsidP="003D748F">
            <w:r w:rsidRPr="003D748F">
              <w:t xml:space="preserve">A műszaki megoldás és az energetikai számítás az </w:t>
            </w:r>
            <w:r>
              <w:t>I</w:t>
            </w:r>
            <w:r w:rsidRPr="003D748F">
              <w:t xml:space="preserve">.3 pontban került bemutatásra. A beruházási költség iparági benchmark adatok alapján lett becsülve, az energia költség megtakarítást a jelenlegi rezsicsökkentett gázköltséggel, valamint egy </w:t>
            </w:r>
            <w:r w:rsidR="00637DBF">
              <w:t>becsült</w:t>
            </w:r>
            <w:r w:rsidR="00637DBF">
              <w:rPr>
                <w:rStyle w:val="Lbjegyzet-hivatkozs"/>
              </w:rPr>
              <w:footnoteReference w:id="16"/>
            </w:r>
            <w:r w:rsidRPr="003D748F">
              <w:t xml:space="preserve"> piaci lakossági gázárral vettük figyelembe a hőigény csökkenésnek megfelelően. Karbantartási költség az épületfizikai felújításnál nem értelmezhető.</w:t>
            </w:r>
          </w:p>
          <w:p w14:paraId="479D65DD" w14:textId="77777777" w:rsidR="00E94F99" w:rsidRDefault="003D748F" w:rsidP="003D748F">
            <w:r w:rsidRPr="003D748F">
              <w:t>Minden költséget, árat bruttóban számoltunk.</w:t>
            </w:r>
          </w:p>
          <w:p w14:paraId="7C59B4CF" w14:textId="46302828" w:rsidR="003D748F" w:rsidRPr="003D748F" w:rsidRDefault="003D748F" w:rsidP="003D748F">
            <w:pPr>
              <w:rPr>
                <w:bCs/>
              </w:rPr>
            </w:pPr>
            <w:r w:rsidRPr="003D748F">
              <w:rPr>
                <w:bCs/>
              </w:rPr>
              <w:t xml:space="preserve">Összes beruházási költség: </w:t>
            </w:r>
            <w:r w:rsidR="000B425E" w:rsidRPr="000B425E">
              <w:rPr>
                <w:bCs/>
              </w:rPr>
              <w:t>2.350.108 bruttó EFt</w:t>
            </w:r>
          </w:p>
          <w:p w14:paraId="187A6E20" w14:textId="44F9EFFD" w:rsidR="003D748F" w:rsidRPr="003D748F" w:rsidRDefault="003D748F" w:rsidP="003D748F">
            <w:pPr>
              <w:rPr>
                <w:bCs/>
              </w:rPr>
            </w:pPr>
            <w:r w:rsidRPr="003D748F">
              <w:rPr>
                <w:bCs/>
              </w:rPr>
              <w:t xml:space="preserve">Összes energiaköltség megtakarítás rezsicsökkentett áron: </w:t>
            </w:r>
            <w:r w:rsidR="000B425E" w:rsidRPr="000B425E">
              <w:rPr>
                <w:bCs/>
              </w:rPr>
              <w:t>47.457 bruttó EFt</w:t>
            </w:r>
          </w:p>
          <w:p w14:paraId="2BDF7E18" w14:textId="020E6E84" w:rsidR="003D748F" w:rsidRPr="003D748F" w:rsidRDefault="003D748F" w:rsidP="003D748F">
            <w:pPr>
              <w:rPr>
                <w:bCs/>
              </w:rPr>
            </w:pPr>
            <w:r w:rsidRPr="003D748F">
              <w:rPr>
                <w:bCs/>
              </w:rPr>
              <w:t>Eredő lineáris megtérülési idő: 49,</w:t>
            </w:r>
            <w:r w:rsidR="000B425E">
              <w:rPr>
                <w:bCs/>
              </w:rPr>
              <w:t>5</w:t>
            </w:r>
            <w:r w:rsidRPr="003D748F">
              <w:rPr>
                <w:bCs/>
              </w:rPr>
              <w:t xml:space="preserve"> év</w:t>
            </w:r>
          </w:p>
          <w:p w14:paraId="37F52899" w14:textId="525A7240" w:rsidR="003D748F" w:rsidRPr="003D748F" w:rsidRDefault="003D748F" w:rsidP="003D748F">
            <w:pPr>
              <w:rPr>
                <w:bCs/>
              </w:rPr>
            </w:pPr>
            <w:r w:rsidRPr="003D748F">
              <w:rPr>
                <w:bCs/>
              </w:rPr>
              <w:t xml:space="preserve">Összes energiaköltség megtakarítás </w:t>
            </w:r>
            <w:r w:rsidR="00BB57A7">
              <w:rPr>
                <w:bCs/>
              </w:rPr>
              <w:t>becsült</w:t>
            </w:r>
            <w:r w:rsidRPr="003D748F">
              <w:rPr>
                <w:bCs/>
              </w:rPr>
              <w:t xml:space="preserve"> piaci áron: </w:t>
            </w:r>
            <w:r w:rsidR="000B425E" w:rsidRPr="000B425E">
              <w:rPr>
                <w:bCs/>
              </w:rPr>
              <w:t>100.025 bruttó EFt</w:t>
            </w:r>
          </w:p>
          <w:p w14:paraId="5323532B" w14:textId="1DB96605" w:rsidR="003D748F" w:rsidRPr="003D748F" w:rsidRDefault="003D748F" w:rsidP="003D748F">
            <w:pPr>
              <w:rPr>
                <w:bCs/>
              </w:rPr>
            </w:pPr>
            <w:r w:rsidRPr="003D748F">
              <w:rPr>
                <w:bCs/>
              </w:rPr>
              <w:t>Eredő lineáris megtérülési idő: 23,</w:t>
            </w:r>
            <w:r w:rsidR="000B425E">
              <w:rPr>
                <w:bCs/>
              </w:rPr>
              <w:t>5</w:t>
            </w:r>
            <w:r w:rsidRPr="003D748F">
              <w:rPr>
                <w:bCs/>
              </w:rPr>
              <w:t xml:space="preserve"> év</w:t>
            </w:r>
          </w:p>
          <w:p w14:paraId="16EFF6AF" w14:textId="210534B3" w:rsidR="003D748F" w:rsidRPr="003D748F" w:rsidRDefault="003D748F" w:rsidP="003D748F">
            <w:pPr>
              <w:rPr>
                <w:b/>
                <w:bCs/>
              </w:rPr>
            </w:pPr>
            <w:r w:rsidRPr="003D748F">
              <w:rPr>
                <w:b/>
                <w:bCs/>
              </w:rPr>
              <w:t>II.2. Hőszivattyús ellátás gáz/villamos energia fűtési ellátás helyett</w:t>
            </w:r>
          </w:p>
          <w:p w14:paraId="0ED764AE" w14:textId="70158CD0" w:rsidR="003D748F" w:rsidRPr="003D748F" w:rsidRDefault="003D748F" w:rsidP="003D748F">
            <w:r w:rsidRPr="003D748F">
              <w:lastRenderedPageBreak/>
              <w:t xml:space="preserve">A műszaki megoldás és az energetikai számítás az </w:t>
            </w:r>
            <w:r>
              <w:t>I</w:t>
            </w:r>
            <w:r w:rsidRPr="003D748F">
              <w:t xml:space="preserve">.4 pontban került bemutatásra. A beruházási költség iparági benchmark adatok alapján lett becsülve, az energia költség megtakarítást a jelenlegi rezsicsökkentett gázdíjjal, valamint </w:t>
            </w:r>
            <w:r w:rsidR="00D40275">
              <w:t>becsült</w:t>
            </w:r>
            <w:r w:rsidRPr="003D748F">
              <w:t xml:space="preserve"> piaci gázárral, a hajtási energia villamos energia díját mindkét esetben a hőszivattyúkra alkalmazható ún. „H” tarifával számoltuk. Többlet karbantartási költséggel nem számoltunk.</w:t>
            </w:r>
            <w:r w:rsidR="00A855D7">
              <w:t xml:space="preserve"> A h</w:t>
            </w:r>
            <w:r w:rsidR="00A855D7" w:rsidRPr="00A855D7">
              <w:t>őszivattyú telepítés</w:t>
            </w:r>
            <w:r w:rsidR="00A855D7">
              <w:t>énél</w:t>
            </w:r>
            <w:r w:rsidR="00A855D7" w:rsidRPr="00A855D7">
              <w:t xml:space="preserve"> az áramvezetéke</w:t>
            </w:r>
            <w:r w:rsidR="00A855D7">
              <w:t>k</w:t>
            </w:r>
            <w:r w:rsidR="00A855D7" w:rsidRPr="00A855D7">
              <w:t xml:space="preserve"> 3 fázis</w:t>
            </w:r>
            <w:r w:rsidR="00A855D7">
              <w:t>ú</w:t>
            </w:r>
            <w:r w:rsidR="00A855D7" w:rsidRPr="00A855D7">
              <w:t xml:space="preserve">ra </w:t>
            </w:r>
            <w:r w:rsidR="00A855D7">
              <w:t>való cserélésére is szükséges lehet, ha korábban nem ilyen volt – ez többletköltségekkel járhat.</w:t>
            </w:r>
          </w:p>
          <w:p w14:paraId="0F619BC0" w14:textId="77777777" w:rsidR="003D748F" w:rsidRDefault="003D748F" w:rsidP="003D748F">
            <w:r w:rsidRPr="003D748F">
              <w:t>Minden költséget, árat bruttóban számoltunk.</w:t>
            </w:r>
          </w:p>
          <w:p w14:paraId="6B7E9BCB" w14:textId="77777777" w:rsidR="004C2F7C" w:rsidRDefault="004C2F7C" w:rsidP="003D748F">
            <w:r w:rsidRPr="004C2F7C">
              <w:t>A számítások a három műszaki megoldásnak megfelelően</w:t>
            </w:r>
            <w:r>
              <w:t xml:space="preserve"> a következőképpen alakulnak:</w:t>
            </w:r>
          </w:p>
          <w:p w14:paraId="6083E47A" w14:textId="4D2F8D67" w:rsidR="004C2F7C" w:rsidRDefault="004C2F7C" w:rsidP="004C2F7C">
            <w:r w:rsidRPr="004C2F7C">
              <w:rPr>
                <w:b/>
                <w:bCs/>
              </w:rPr>
              <w:t>A verzió</w:t>
            </w:r>
            <w:r>
              <w:t xml:space="preserve"> (</w:t>
            </w:r>
            <w:r w:rsidRPr="004C2F7C">
              <w:t>épület-központi ellátás (levegő-víz HP központi fűtési rendszerhez)</w:t>
            </w:r>
            <w:r>
              <w:t>)</w:t>
            </w:r>
            <w:r w:rsidRPr="004C2F7C">
              <w:rPr>
                <w:b/>
                <w:bCs/>
              </w:rPr>
              <w:t>:</w:t>
            </w:r>
          </w:p>
          <w:p w14:paraId="38390CB1" w14:textId="4322FB92" w:rsidR="004C2F7C" w:rsidRPr="004C2F7C" w:rsidRDefault="004C2F7C" w:rsidP="004C2F7C">
            <w:r w:rsidRPr="004C2F7C">
              <w:t xml:space="preserve">Összes beruházási költség: </w:t>
            </w:r>
            <w:r w:rsidR="000B425E" w:rsidRPr="000B425E">
              <w:t>543.675 bruttó EFt</w:t>
            </w:r>
          </w:p>
          <w:p w14:paraId="7FA8B9AA" w14:textId="2D5DD49F" w:rsidR="004C2F7C" w:rsidRPr="004C2F7C" w:rsidRDefault="004C2F7C" w:rsidP="004C2F7C">
            <w:r w:rsidRPr="004C2F7C">
              <w:t xml:space="preserve">Összes energiaköltség megtakarítás rezsicsökkentett áron: </w:t>
            </w:r>
            <w:r w:rsidR="000B425E" w:rsidRPr="000B425E">
              <w:t>11.177 bruttó EFt</w:t>
            </w:r>
          </w:p>
          <w:p w14:paraId="06E7A706" w14:textId="77777777" w:rsidR="004C2F7C" w:rsidRPr="004C2F7C" w:rsidRDefault="004C2F7C" w:rsidP="004C2F7C">
            <w:r w:rsidRPr="004C2F7C">
              <w:t>Lineáris megtérülési idő: 54,72 (</w:t>
            </w:r>
            <w:r w:rsidRPr="004C2F7C">
              <w:rPr>
                <w:sz w:val="20"/>
                <w:szCs w:val="20"/>
              </w:rPr>
              <w:t>ahol ki kell építeni a központi fűtési rendszert</w:t>
            </w:r>
            <w:r w:rsidRPr="004C2F7C">
              <w:t>), 24,11 (</w:t>
            </w:r>
            <w:r w:rsidRPr="004C2F7C">
              <w:rPr>
                <w:sz w:val="20"/>
                <w:szCs w:val="20"/>
              </w:rPr>
              <w:t>ahol nem</w:t>
            </w:r>
            <w:r w:rsidRPr="004C2F7C">
              <w:t>) és 8,76 (</w:t>
            </w:r>
            <w:r w:rsidRPr="004C2F7C">
              <w:rPr>
                <w:sz w:val="20"/>
                <w:szCs w:val="20"/>
              </w:rPr>
              <w:t>ahol villanyfűtés van</w:t>
            </w:r>
            <w:r w:rsidRPr="004C2F7C">
              <w:t>) év</w:t>
            </w:r>
          </w:p>
          <w:p w14:paraId="7FFF32D2" w14:textId="2695808E" w:rsidR="004C2F7C" w:rsidRPr="004C2F7C" w:rsidRDefault="004C2F7C" w:rsidP="004C2F7C">
            <w:r w:rsidRPr="004C2F7C">
              <w:t xml:space="preserve">Összes energiaköltség megtakarítás </w:t>
            </w:r>
            <w:r w:rsidR="00D40275">
              <w:t>becsült</w:t>
            </w:r>
            <w:r w:rsidRPr="004C2F7C">
              <w:t xml:space="preserve"> piaci áron: </w:t>
            </w:r>
            <w:r w:rsidR="000B425E" w:rsidRPr="000B425E">
              <w:t>41.830 bruttó EFt</w:t>
            </w:r>
          </w:p>
          <w:p w14:paraId="345085DB" w14:textId="7C4D917B" w:rsidR="004C2F7C" w:rsidRPr="004C2F7C" w:rsidRDefault="004C2F7C" w:rsidP="004C2F7C">
            <w:r w:rsidRPr="004C2F7C">
              <w:t>Lineáris megtérülési idő: 14,01 (</w:t>
            </w:r>
            <w:r w:rsidRPr="004C2F7C">
              <w:rPr>
                <w:sz w:val="20"/>
                <w:szCs w:val="20"/>
              </w:rPr>
              <w:t>ahol ki kell építeni a központi fűtési rendszert</w:t>
            </w:r>
            <w:r w:rsidRPr="004C2F7C">
              <w:t>), 6,17 (</w:t>
            </w:r>
            <w:r w:rsidRPr="004C2F7C">
              <w:rPr>
                <w:sz w:val="20"/>
                <w:szCs w:val="20"/>
              </w:rPr>
              <w:t>ahol nem</w:t>
            </w:r>
            <w:r w:rsidRPr="004C2F7C">
              <w:t>) és 4,02 (</w:t>
            </w:r>
            <w:r w:rsidRPr="004C2F7C">
              <w:rPr>
                <w:sz w:val="20"/>
                <w:szCs w:val="20"/>
              </w:rPr>
              <w:t>ahol villanyfűtés van</w:t>
            </w:r>
            <w:r w:rsidRPr="004C2F7C">
              <w:t>) év</w:t>
            </w:r>
          </w:p>
          <w:p w14:paraId="3EE110FC" w14:textId="46D30ACD" w:rsidR="004C2F7C" w:rsidRDefault="004C2F7C" w:rsidP="004C2F7C">
            <w:pPr>
              <w:rPr>
                <w:b/>
                <w:bCs/>
              </w:rPr>
            </w:pPr>
            <w:r w:rsidRPr="004C2F7C">
              <w:rPr>
                <w:b/>
                <w:bCs/>
              </w:rPr>
              <w:t>B verzió</w:t>
            </w:r>
            <w:r w:rsidRPr="004C2F7C">
              <w:t xml:space="preserve"> </w:t>
            </w:r>
            <w:r>
              <w:t>(</w:t>
            </w:r>
            <w:r w:rsidRPr="004C2F7C">
              <w:t>VRF rendszerű központi HP ellátás</w:t>
            </w:r>
            <w:r>
              <w:t>)</w:t>
            </w:r>
            <w:r w:rsidRPr="004C2F7C">
              <w:rPr>
                <w:b/>
                <w:bCs/>
              </w:rPr>
              <w:t>:</w:t>
            </w:r>
          </w:p>
          <w:p w14:paraId="5F94D934" w14:textId="04CC346B" w:rsidR="004C2F7C" w:rsidRPr="004C2F7C" w:rsidRDefault="004C2F7C" w:rsidP="004C2F7C">
            <w:pPr>
              <w:rPr>
                <w:bCs/>
              </w:rPr>
            </w:pPr>
            <w:r w:rsidRPr="004C2F7C">
              <w:rPr>
                <w:bCs/>
              </w:rPr>
              <w:t xml:space="preserve">Összes beruházási költség: </w:t>
            </w:r>
            <w:r w:rsidR="000B425E" w:rsidRPr="000B425E">
              <w:rPr>
                <w:bCs/>
              </w:rPr>
              <w:t>595.550 bruttó EFt</w:t>
            </w:r>
          </w:p>
          <w:p w14:paraId="6C5D83EB" w14:textId="19AC213C" w:rsidR="004C2F7C" w:rsidRPr="004C2F7C" w:rsidRDefault="004C2F7C" w:rsidP="004C2F7C">
            <w:pPr>
              <w:rPr>
                <w:bCs/>
              </w:rPr>
            </w:pPr>
            <w:r w:rsidRPr="004C2F7C">
              <w:rPr>
                <w:bCs/>
              </w:rPr>
              <w:t xml:space="preserve">Összes energiaköltség megtakarítás rezsicsökkentett áron: </w:t>
            </w:r>
            <w:r w:rsidR="000B425E" w:rsidRPr="000B425E">
              <w:rPr>
                <w:bCs/>
              </w:rPr>
              <w:t>12.622 bruttó EFt</w:t>
            </w:r>
          </w:p>
          <w:p w14:paraId="5A9ABB04" w14:textId="77777777" w:rsidR="004C2F7C" w:rsidRPr="004C2F7C" w:rsidRDefault="004C2F7C" w:rsidP="004C2F7C">
            <w:pPr>
              <w:rPr>
                <w:bCs/>
              </w:rPr>
            </w:pPr>
            <w:r w:rsidRPr="004C2F7C">
              <w:rPr>
                <w:bCs/>
              </w:rPr>
              <w:t xml:space="preserve">Lineáris megtérülési idő: 50,73 és 9,05 </w:t>
            </w:r>
            <w:r w:rsidRPr="004C2F7C">
              <w:rPr>
                <w:bCs/>
                <w:sz w:val="18"/>
                <w:szCs w:val="18"/>
              </w:rPr>
              <w:t xml:space="preserve">(ahol villanyfűtés van) </w:t>
            </w:r>
            <w:r w:rsidRPr="004C2F7C">
              <w:rPr>
                <w:bCs/>
              </w:rPr>
              <w:t>év</w:t>
            </w:r>
          </w:p>
          <w:p w14:paraId="7D0570FA" w14:textId="738CBB88" w:rsidR="004C2F7C" w:rsidRPr="004C2F7C" w:rsidRDefault="004C2F7C" w:rsidP="004C2F7C">
            <w:pPr>
              <w:rPr>
                <w:bCs/>
              </w:rPr>
            </w:pPr>
            <w:r w:rsidRPr="004C2F7C">
              <w:rPr>
                <w:bCs/>
              </w:rPr>
              <w:t xml:space="preserve">Összes energiaköltség megtakarítás </w:t>
            </w:r>
            <w:r w:rsidR="00D40275">
              <w:rPr>
                <w:bCs/>
              </w:rPr>
              <w:t>becsült</w:t>
            </w:r>
            <w:r w:rsidRPr="004C2F7C">
              <w:rPr>
                <w:bCs/>
              </w:rPr>
              <w:t xml:space="preserve"> piaci áron: </w:t>
            </w:r>
            <w:r w:rsidR="000B425E" w:rsidRPr="000B425E">
              <w:rPr>
                <w:bCs/>
              </w:rPr>
              <w:t>43.276 bruttó EFt</w:t>
            </w:r>
          </w:p>
          <w:p w14:paraId="295242B3" w14:textId="54CC0F92" w:rsidR="004C2F7C" w:rsidRPr="004C2F7C" w:rsidRDefault="004C2F7C" w:rsidP="004C2F7C">
            <w:pPr>
              <w:rPr>
                <w:bCs/>
              </w:rPr>
            </w:pPr>
            <w:r w:rsidRPr="004C2F7C">
              <w:rPr>
                <w:bCs/>
              </w:rPr>
              <w:t xml:space="preserve">Lineáris megtérülési idő: 14,30 és 4,21 </w:t>
            </w:r>
            <w:r w:rsidRPr="004C2F7C">
              <w:rPr>
                <w:bCs/>
                <w:sz w:val="18"/>
                <w:szCs w:val="18"/>
              </w:rPr>
              <w:t xml:space="preserve">(ahol villanyfűtés van) </w:t>
            </w:r>
            <w:r w:rsidRPr="004C2F7C">
              <w:rPr>
                <w:bCs/>
              </w:rPr>
              <w:t>év</w:t>
            </w:r>
          </w:p>
          <w:p w14:paraId="4129023E" w14:textId="77777777" w:rsidR="004C2F7C" w:rsidRDefault="004C2F7C" w:rsidP="004C2F7C">
            <w:pPr>
              <w:rPr>
                <w:b/>
                <w:bCs/>
              </w:rPr>
            </w:pPr>
            <w:r w:rsidRPr="004C2F7C">
              <w:rPr>
                <w:b/>
                <w:bCs/>
              </w:rPr>
              <w:t>C verzió</w:t>
            </w:r>
            <w:r>
              <w:t xml:space="preserve"> (</w:t>
            </w:r>
            <w:r w:rsidRPr="004C2F7C">
              <w:t>helyiség ellátás (levegő-levegő HP - split klímák</w:t>
            </w:r>
            <w:r>
              <w:t>)</w:t>
            </w:r>
            <w:r w:rsidRPr="004C2F7C">
              <w:t>)</w:t>
            </w:r>
            <w:r w:rsidRPr="004C2F7C">
              <w:rPr>
                <w:b/>
                <w:bCs/>
              </w:rPr>
              <w:t>:</w:t>
            </w:r>
          </w:p>
          <w:p w14:paraId="5D47CCAE" w14:textId="5BB1481A" w:rsidR="004C2F7C" w:rsidRPr="004C2F7C" w:rsidRDefault="004C2F7C" w:rsidP="004C2F7C">
            <w:pPr>
              <w:rPr>
                <w:bCs/>
              </w:rPr>
            </w:pPr>
            <w:r w:rsidRPr="004C2F7C">
              <w:rPr>
                <w:bCs/>
              </w:rPr>
              <w:t xml:space="preserve">Összes beruházási költség: </w:t>
            </w:r>
            <w:r w:rsidR="000B425E" w:rsidRPr="000B425E">
              <w:rPr>
                <w:bCs/>
              </w:rPr>
              <w:t>290.793 bruttó EFt</w:t>
            </w:r>
          </w:p>
          <w:p w14:paraId="268405FB" w14:textId="1E1C5E43" w:rsidR="004C2F7C" w:rsidRPr="004C2F7C" w:rsidRDefault="004C2F7C" w:rsidP="004C2F7C">
            <w:pPr>
              <w:rPr>
                <w:bCs/>
              </w:rPr>
            </w:pPr>
            <w:r w:rsidRPr="004C2F7C">
              <w:rPr>
                <w:bCs/>
              </w:rPr>
              <w:t xml:space="preserve">Összes energiaköltség megtakarítás rezsicsökkentett áron: </w:t>
            </w:r>
            <w:r w:rsidR="0036000B" w:rsidRPr="0036000B">
              <w:rPr>
                <w:bCs/>
              </w:rPr>
              <w:t>12.622 bruttó EFt</w:t>
            </w:r>
          </w:p>
          <w:p w14:paraId="31E62EB3" w14:textId="77777777" w:rsidR="004C2F7C" w:rsidRPr="004C2F7C" w:rsidRDefault="004C2F7C" w:rsidP="004C2F7C">
            <w:pPr>
              <w:rPr>
                <w:bCs/>
              </w:rPr>
            </w:pPr>
            <w:r w:rsidRPr="004C2F7C">
              <w:rPr>
                <w:bCs/>
              </w:rPr>
              <w:t xml:space="preserve">Lineáris megtérülési idő: 24,77 és 4,42 </w:t>
            </w:r>
            <w:r w:rsidRPr="004C2F7C">
              <w:rPr>
                <w:bCs/>
                <w:sz w:val="18"/>
                <w:szCs w:val="18"/>
              </w:rPr>
              <w:t xml:space="preserve">(ahol villanyfűtés van) </w:t>
            </w:r>
            <w:r w:rsidRPr="004C2F7C">
              <w:rPr>
                <w:bCs/>
              </w:rPr>
              <w:t>év</w:t>
            </w:r>
          </w:p>
          <w:p w14:paraId="669A4B90" w14:textId="3BDCB019" w:rsidR="004C2F7C" w:rsidRPr="004C2F7C" w:rsidRDefault="004C2F7C" w:rsidP="004C2F7C">
            <w:pPr>
              <w:rPr>
                <w:bCs/>
              </w:rPr>
            </w:pPr>
            <w:r w:rsidRPr="004C2F7C">
              <w:rPr>
                <w:bCs/>
              </w:rPr>
              <w:t xml:space="preserve">Összes energiaköltség megtakarítás </w:t>
            </w:r>
            <w:r w:rsidR="00D40275">
              <w:rPr>
                <w:bCs/>
              </w:rPr>
              <w:t>becsült</w:t>
            </w:r>
            <w:r w:rsidRPr="004C2F7C">
              <w:rPr>
                <w:bCs/>
              </w:rPr>
              <w:t xml:space="preserve"> piaci áron: </w:t>
            </w:r>
            <w:r w:rsidR="0036000B" w:rsidRPr="0036000B">
              <w:rPr>
                <w:bCs/>
              </w:rPr>
              <w:t>43.276 bruttó EFt</w:t>
            </w:r>
          </w:p>
          <w:p w14:paraId="65E7DFFB" w14:textId="77777777" w:rsidR="004C2F7C" w:rsidRDefault="004C2F7C" w:rsidP="004C2F7C">
            <w:pPr>
              <w:rPr>
                <w:bCs/>
              </w:rPr>
            </w:pPr>
            <w:r w:rsidRPr="004C2F7C">
              <w:rPr>
                <w:bCs/>
              </w:rPr>
              <w:t xml:space="preserve">Lineáris megtérülési idő: 6,98 és 2,06 </w:t>
            </w:r>
            <w:r w:rsidRPr="004C2F7C">
              <w:rPr>
                <w:bCs/>
                <w:sz w:val="18"/>
                <w:szCs w:val="18"/>
              </w:rPr>
              <w:t xml:space="preserve">(ahol villanyfűtés van) </w:t>
            </w:r>
            <w:r w:rsidRPr="004C2F7C">
              <w:rPr>
                <w:bCs/>
              </w:rPr>
              <w:t>év</w:t>
            </w:r>
          </w:p>
          <w:p w14:paraId="297602E1" w14:textId="7231A50E" w:rsidR="004C2F7C" w:rsidRPr="006E2DB6" w:rsidRDefault="004C2F7C" w:rsidP="004C2F7C">
            <w:pPr>
              <w:rPr>
                <w:b/>
                <w:bCs/>
              </w:rPr>
            </w:pPr>
            <w:r w:rsidRPr="006E2DB6">
              <w:rPr>
                <w:b/>
                <w:bCs/>
              </w:rPr>
              <w:t>II.3. PV napelemek telepítése 1</w:t>
            </w:r>
            <w:r w:rsidR="0036000B">
              <w:rPr>
                <w:b/>
                <w:bCs/>
              </w:rPr>
              <w:t>5</w:t>
            </w:r>
            <w:r w:rsidRPr="006E2DB6">
              <w:rPr>
                <w:b/>
                <w:bCs/>
              </w:rPr>
              <w:t xml:space="preserve"> lakóépületre</w:t>
            </w:r>
          </w:p>
          <w:p w14:paraId="54BD210C" w14:textId="261C0556" w:rsidR="006E2DB6" w:rsidRDefault="006E2DB6" w:rsidP="006E2DB6">
            <w:pPr>
              <w:spacing w:after="0" w:line="276" w:lineRule="auto"/>
            </w:pPr>
            <w:r>
              <w:t xml:space="preserve">A műszaki megoldás és az energetikai számítás </w:t>
            </w:r>
            <w:r w:rsidRPr="006E2DB6">
              <w:t>az I.5 pontban</w:t>
            </w:r>
            <w:r>
              <w:t xml:space="preserve"> került bemutatásra.</w:t>
            </w:r>
          </w:p>
          <w:p w14:paraId="44D2D1AE" w14:textId="77777777" w:rsidR="006E2DB6" w:rsidRDefault="006E2DB6" w:rsidP="006E2DB6">
            <w:pPr>
              <w:spacing w:after="0"/>
            </w:pPr>
            <w:r>
              <w:t>Az épület tetőre szerelt PV napelemek fajlagos beruházási költsége</w:t>
            </w:r>
            <w:r w:rsidRPr="00055D62">
              <w:t xml:space="preserve"> </w:t>
            </w:r>
            <w:r>
              <w:t>az elmúlt időszakban jelentősen csökkent</w:t>
            </w:r>
            <w:r w:rsidRPr="00055D62">
              <w:t xml:space="preserve">, de jelenleg vannak ellenható tényezők is, mint például az acél árának jelentős emelkedése, ami a napelemek tartószerkezetének árát, így a telepítés költségét emeli. Benchmark piaci információk alapján a 400.000 </w:t>
            </w:r>
            <w:r>
              <w:t xml:space="preserve">nettó </w:t>
            </w:r>
            <w:r w:rsidRPr="00055D62">
              <w:t>Ft/kW</w:t>
            </w:r>
            <w:r w:rsidRPr="001E12FD">
              <w:rPr>
                <w:vertAlign w:val="subscript"/>
              </w:rPr>
              <w:t>p</w:t>
            </w:r>
            <w:r w:rsidRPr="00055D62">
              <w:t>-os fajlagos beruházási költséget tekintjük átlagos, reális értéknek jelenleg.</w:t>
            </w:r>
            <w:r>
              <w:t xml:space="preserve"> A számításnál ezt vettük figyelembe, beruházási támogatással nem számoltunk.</w:t>
            </w:r>
          </w:p>
          <w:p w14:paraId="66C2CC90" w14:textId="77777777" w:rsidR="006E2DB6" w:rsidRDefault="006E2DB6" w:rsidP="006E2DB6">
            <w:pPr>
              <w:spacing w:after="0"/>
            </w:pPr>
            <w:r>
              <w:t xml:space="preserve">A jelenlegi hazai szabályozás </w:t>
            </w:r>
            <w:r w:rsidRPr="00055D62">
              <w:t>maximum 50 kVA erő</w:t>
            </w:r>
            <w:r>
              <w:t xml:space="preserve">művi névleges teljesítőképességben határozta meg a háztartási méretű kiserőmű (HMKE) fogalmát, amely számára lehetőség az éves szaldós elszámolás. A szaldós elszámolás a felhasználó-termelő számára kedvező megoldás, mert a termelés és fogyasztás időbeli eltérése miatti tárolási igényt a hálózat biztosítja, ráadásul ingyen. A tervezett többlakásos lakóépületek tetejére elhelyezendő PV napelemek egyrészt meghaladják a teljesítmény </w:t>
            </w:r>
            <w:r>
              <w:lastRenderedPageBreak/>
              <w:t xml:space="preserve">korlátot, így HMKE-nek nem tekinthetők, másrészt a társasházakban a villamos energia mérése lakásonként történik, így szaldós elszámolás csak az épület közös felhasználására vonatkozhatna, ami a teljes felhasználáshoz képest nem jelentős. 2024-től megszűnik a szaldós elszámolás (EU-s kötelezettség), új szabályozás tervezet még nincs, ráadásul jelenleg napelem telepítési stop van átmenetileg bevezetve. A felhasználás lakásonkénti mérése versus közös villamosenergia-termelés a tetőn lévő napelem parkból elszámolás-technikailag, de főleg a szabályozás hiányában, nem megoldott, így a saját felhasználás sem biztosított. </w:t>
            </w:r>
          </w:p>
          <w:p w14:paraId="5A2E8DAC" w14:textId="3DF58CA5" w:rsidR="006E2DB6" w:rsidRDefault="006E2DB6" w:rsidP="006E2DB6">
            <w:r>
              <w:t>A többlakásos épületek tetejére elhelyezett PV napelemekben megtermelt villamos energiából származó jövedelmet az alábbi módokon számoltuk:</w:t>
            </w:r>
          </w:p>
          <w:p w14:paraId="7E781C05" w14:textId="77777777" w:rsidR="006E2DB6" w:rsidRPr="00167B4C" w:rsidRDefault="006E2DB6" w:rsidP="006E2DB6">
            <w:pPr>
              <w:spacing w:after="0"/>
              <w:rPr>
                <w:b/>
              </w:rPr>
            </w:pPr>
            <w:r>
              <w:rPr>
                <w:b/>
              </w:rPr>
              <w:t>Jövedelem A</w:t>
            </w:r>
            <w:r w:rsidRPr="00167B4C">
              <w:rPr>
                <w:b/>
              </w:rPr>
              <w:t>:</w:t>
            </w:r>
          </w:p>
          <w:p w14:paraId="60D7F888" w14:textId="77777777" w:rsidR="006E2DB6" w:rsidRDefault="006E2DB6" w:rsidP="006E2DB6">
            <w:pPr>
              <w:spacing w:after="0"/>
            </w:pPr>
            <w:r>
              <w:t>Feltételeztünk egy olyan új szabályozást, elszámolást, mely lehetővé teszi a PV napelemben megtermelt villamos energia egy részének</w:t>
            </w:r>
            <w:r>
              <w:rPr>
                <w:rStyle w:val="Lbjegyzet-hivatkozs"/>
              </w:rPr>
              <w:footnoteReference w:id="17"/>
            </w:r>
            <w:r>
              <w:t xml:space="preserve"> saját felhasználását. A hálózatról vételezett villamos energia</w:t>
            </w:r>
            <w:r w:rsidRPr="007E7E71">
              <w:t xml:space="preserve"> </w:t>
            </w:r>
            <w:r>
              <w:t>vásárlását lakóépületeknél rezsicsökkentett áron számoltuk</w:t>
            </w:r>
            <w:r>
              <w:rPr>
                <w:rStyle w:val="Lbjegyzet-hivatkozs"/>
              </w:rPr>
              <w:footnoteReference w:id="18"/>
            </w:r>
            <w:r>
              <w:t>. Itt az „energia költség megtakarítás” a saját felhasználás erejéig (37%) a nem megvásárolt villamos energia költsége és az eladott mennyiség (63%) utáni bevétel. A villamos energia értékesítését egy feltételezett piaci eladási áron számoltuk. Minden költséget, árat bruttóban számoltunk.</w:t>
            </w:r>
          </w:p>
          <w:p w14:paraId="694C6148" w14:textId="77777777" w:rsidR="006E2DB6" w:rsidRDefault="006E2DB6" w:rsidP="006E2DB6">
            <w:pPr>
              <w:spacing w:after="0"/>
              <w:rPr>
                <w:b/>
              </w:rPr>
            </w:pPr>
            <w:r>
              <w:rPr>
                <w:b/>
              </w:rPr>
              <w:t>Jövedelem B</w:t>
            </w:r>
            <w:r w:rsidRPr="00895563">
              <w:rPr>
                <w:b/>
              </w:rPr>
              <w:t>:</w:t>
            </w:r>
          </w:p>
          <w:p w14:paraId="323CE558" w14:textId="77777777" w:rsidR="006E2DB6" w:rsidRDefault="006E2DB6" w:rsidP="006E2DB6">
            <w:r w:rsidRPr="003D38B0">
              <w:t>A</w:t>
            </w:r>
            <w:r>
              <w:t>nnyiban tér el a Jövedelem A-tól, hogy mind a hálózatról vételezett (megtakarított), mind a PV által megtermelt, hálózatra beadott villamos energia árat egy magasabb feltételezett piaci áron számoltuk.</w:t>
            </w:r>
          </w:p>
          <w:p w14:paraId="10215EED" w14:textId="653720CE" w:rsidR="006E2DB6" w:rsidRDefault="006E2DB6" w:rsidP="006E2DB6">
            <w:r>
              <w:t>Lényeges, hogy mindkét esetben a vételezéskor meg kell fizetni a rendszerhasználati díjakat (így az elmaradt vételezés nagyobb megtakarítást hoz), míg eladáskor csak egy energia díjat lehet kapni.</w:t>
            </w:r>
          </w:p>
          <w:p w14:paraId="5C4F56B3" w14:textId="6A66DCFB" w:rsidR="006E2DB6" w:rsidRPr="006E2DB6" w:rsidRDefault="006E2DB6" w:rsidP="006E2DB6">
            <w:pPr>
              <w:rPr>
                <w:bCs/>
              </w:rPr>
            </w:pPr>
            <w:r w:rsidRPr="006E2DB6">
              <w:rPr>
                <w:bCs/>
              </w:rPr>
              <w:t xml:space="preserve">Összes beruházási költség: </w:t>
            </w:r>
            <w:r w:rsidR="0036000B" w:rsidRPr="0036000B">
              <w:rPr>
                <w:bCs/>
              </w:rPr>
              <w:t>214.884 bruttó EFt</w:t>
            </w:r>
          </w:p>
          <w:p w14:paraId="6ABDEC70" w14:textId="01BD54C3" w:rsidR="006E2DB6" w:rsidRPr="006E2DB6" w:rsidRDefault="006E2DB6" w:rsidP="006E2DB6">
            <w:pPr>
              <w:rPr>
                <w:bCs/>
              </w:rPr>
            </w:pPr>
            <w:r w:rsidRPr="006E2DB6">
              <w:rPr>
                <w:bCs/>
              </w:rPr>
              <w:t xml:space="preserve">Összes eredő megtakarítás A jövedelem esetében: </w:t>
            </w:r>
            <w:r w:rsidR="0036000B" w:rsidRPr="0036000B">
              <w:rPr>
                <w:bCs/>
              </w:rPr>
              <w:t>15.186 bruttó EFt/év</w:t>
            </w:r>
          </w:p>
          <w:p w14:paraId="1324759C" w14:textId="0137D9ED" w:rsidR="006E2DB6" w:rsidRPr="006E2DB6" w:rsidRDefault="006E2DB6" w:rsidP="006E2DB6">
            <w:pPr>
              <w:rPr>
                <w:bCs/>
              </w:rPr>
            </w:pPr>
            <w:r w:rsidRPr="006E2DB6">
              <w:rPr>
                <w:bCs/>
              </w:rPr>
              <w:t>Lineáris megtérülés A jövedelem esetében: 14,1</w:t>
            </w:r>
            <w:r w:rsidR="0036000B">
              <w:rPr>
                <w:bCs/>
              </w:rPr>
              <w:t>5</w:t>
            </w:r>
            <w:r w:rsidRPr="006E2DB6">
              <w:rPr>
                <w:bCs/>
              </w:rPr>
              <w:t xml:space="preserve"> év</w:t>
            </w:r>
          </w:p>
          <w:p w14:paraId="78C08AE1" w14:textId="60D2E0B8" w:rsidR="006E2DB6" w:rsidRPr="006E2DB6" w:rsidRDefault="006E2DB6" w:rsidP="006E2DB6">
            <w:pPr>
              <w:rPr>
                <w:bCs/>
              </w:rPr>
            </w:pPr>
            <w:r w:rsidRPr="006E2DB6">
              <w:rPr>
                <w:bCs/>
              </w:rPr>
              <w:t xml:space="preserve">Összes eredő megtakarítás B jövedelem esetében: </w:t>
            </w:r>
            <w:r w:rsidR="0036000B" w:rsidRPr="0036000B">
              <w:rPr>
                <w:bCs/>
              </w:rPr>
              <w:t>28.257 bruttó EFt/év</w:t>
            </w:r>
          </w:p>
          <w:p w14:paraId="7A9FECA3" w14:textId="77777777" w:rsidR="004C2F7C" w:rsidRDefault="006E2DB6" w:rsidP="006E2DB6">
            <w:pPr>
              <w:rPr>
                <w:bCs/>
              </w:rPr>
            </w:pPr>
            <w:r w:rsidRPr="006E2DB6">
              <w:rPr>
                <w:bCs/>
              </w:rPr>
              <w:t>Lineáris megtérülés B jövedelem esetében: 7,60 év</w:t>
            </w:r>
          </w:p>
          <w:p w14:paraId="58DB0732" w14:textId="39886E77" w:rsidR="006E2DB6" w:rsidRDefault="006E2DB6" w:rsidP="006E2DB6">
            <w:pPr>
              <w:rPr>
                <w:b/>
              </w:rPr>
            </w:pPr>
            <w:r w:rsidRPr="006E2DB6">
              <w:rPr>
                <w:b/>
              </w:rPr>
              <w:t xml:space="preserve">III. Az energetikai számítások kivetítése a kerület </w:t>
            </w:r>
            <w:r w:rsidR="00F6400A">
              <w:rPr>
                <w:b/>
              </w:rPr>
              <w:t>magántulajdonú</w:t>
            </w:r>
            <w:r w:rsidR="00F6400A">
              <w:rPr>
                <w:rStyle w:val="Lbjegyzet-hivatkozs"/>
                <w:b/>
              </w:rPr>
              <w:footnoteReference w:id="19"/>
            </w:r>
            <w:r w:rsidR="00F6400A">
              <w:rPr>
                <w:b/>
              </w:rPr>
              <w:t xml:space="preserve"> </w:t>
            </w:r>
            <w:r w:rsidRPr="006E2DB6">
              <w:rPr>
                <w:b/>
              </w:rPr>
              <w:t>lakóépületeire</w:t>
            </w:r>
          </w:p>
          <w:p w14:paraId="4202914A" w14:textId="56458A05" w:rsidR="00F6400A" w:rsidRPr="00F6400A" w:rsidRDefault="00F6400A" w:rsidP="006E2DB6">
            <w:pPr>
              <w:rPr>
                <w:bCs/>
              </w:rPr>
            </w:pPr>
            <w:r w:rsidRPr="00F6400A">
              <w:rPr>
                <w:bCs/>
              </w:rPr>
              <w:t>Jelen alfejezet a második nagy projektelemre, a magántulajdonban lévő VII. kerületi lakóépületekre vonatkozik, melyek az előzőekhez képest egy új aspektust jelentenek döntési, finanszírozási és egyéb szempontokból.</w:t>
            </w:r>
          </w:p>
          <w:p w14:paraId="036DAFD0" w14:textId="77777777" w:rsidR="006E2DB6" w:rsidRDefault="006E2DB6" w:rsidP="009C6CD0">
            <w:pPr>
              <w:pStyle w:val="Listaszerbekezds"/>
              <w:numPr>
                <w:ilvl w:val="0"/>
                <w:numId w:val="27"/>
              </w:numPr>
              <w:spacing w:before="0" w:after="160" w:line="259" w:lineRule="auto"/>
            </w:pPr>
            <w:r>
              <w:t>A lakóingatlanok állományát a Belügyminisztérium lakcímnyilvántartása és a Földhivatal nyilvántartása alapján határoztuk meg.</w:t>
            </w:r>
          </w:p>
          <w:p w14:paraId="21FE6C7F" w14:textId="2896E960" w:rsidR="006E2DB6" w:rsidRDefault="006E2DB6" w:rsidP="009C6CD0">
            <w:pPr>
              <w:pStyle w:val="Listaszerbekezds"/>
              <w:numPr>
                <w:ilvl w:val="0"/>
                <w:numId w:val="27"/>
              </w:numPr>
              <w:spacing w:before="0" w:after="160" w:line="259" w:lineRule="auto"/>
            </w:pPr>
            <w:r>
              <w:t>A lakóépületekhez a Nappal hajtva</w:t>
            </w:r>
            <w:r w:rsidR="00D638D0">
              <w:rPr>
                <w:rStyle w:val="Lbjegyzet-hivatkozs"/>
              </w:rPr>
              <w:footnoteReference w:id="20"/>
            </w:r>
            <w:r>
              <w:t xml:space="preserve"> oldal alapján számítottunk épületkerületet.</w:t>
            </w:r>
          </w:p>
          <w:p w14:paraId="389504E0" w14:textId="77777777" w:rsidR="006E2DB6" w:rsidRDefault="006E2DB6" w:rsidP="009C6CD0">
            <w:pPr>
              <w:pStyle w:val="Listaszerbekezds"/>
              <w:numPr>
                <w:ilvl w:val="0"/>
                <w:numId w:val="27"/>
              </w:numPr>
              <w:spacing w:before="0" w:after="160" w:line="259" w:lineRule="auto"/>
            </w:pPr>
            <w:r>
              <w:t>A homlokzatokat és a hátsó falakat tekintettük lehűlő felületeknek. A szomszédos épületekkel határos falak tehát nem lehűlő felületek.</w:t>
            </w:r>
          </w:p>
          <w:p w14:paraId="47E8DCD1" w14:textId="77777777" w:rsidR="006E2DB6" w:rsidRDefault="006E2DB6" w:rsidP="009C6CD0">
            <w:pPr>
              <w:pStyle w:val="Listaszerbekezds"/>
              <w:numPr>
                <w:ilvl w:val="0"/>
                <w:numId w:val="27"/>
              </w:numPr>
              <w:spacing w:before="0" w:after="160" w:line="259" w:lineRule="auto"/>
            </w:pPr>
            <w:r>
              <w:t>A lakóépületek szintszámát és lakásszámát az önkormányzat felmérése alapján határoztuk meg.</w:t>
            </w:r>
          </w:p>
          <w:p w14:paraId="4B6C16CA" w14:textId="77777777" w:rsidR="006E2DB6" w:rsidRDefault="006E2DB6" w:rsidP="009C6CD0">
            <w:pPr>
              <w:pStyle w:val="Listaszerbekezds"/>
              <w:numPr>
                <w:ilvl w:val="0"/>
                <w:numId w:val="27"/>
              </w:numPr>
              <w:spacing w:before="0" w:after="160" w:line="259" w:lineRule="auto"/>
            </w:pPr>
            <w:r>
              <w:lastRenderedPageBreak/>
              <w:t>A fűtött terület és fűtött térfogat két feltételezés alapján számítottuk:</w:t>
            </w:r>
          </w:p>
          <w:p w14:paraId="0CB32D8F" w14:textId="77777777" w:rsidR="006E2DB6" w:rsidRDefault="006E2DB6" w:rsidP="009C6CD0">
            <w:pPr>
              <w:pStyle w:val="Listaszerbekezds"/>
              <w:numPr>
                <w:ilvl w:val="1"/>
                <w:numId w:val="27"/>
              </w:numPr>
              <w:spacing w:before="0" w:after="160" w:line="259" w:lineRule="auto"/>
            </w:pPr>
            <w:r>
              <w:t>1 szint 4 méter magas az épületben</w:t>
            </w:r>
          </w:p>
          <w:p w14:paraId="50E7892F" w14:textId="77777777" w:rsidR="006E2DB6" w:rsidRDefault="006E2DB6" w:rsidP="009C6CD0">
            <w:pPr>
              <w:pStyle w:val="Listaszerbekezds"/>
              <w:numPr>
                <w:ilvl w:val="1"/>
                <w:numId w:val="27"/>
              </w:numPr>
              <w:spacing w:before="0" w:after="160" w:line="259" w:lineRule="auto"/>
            </w:pPr>
            <w:r>
              <w:t>a külső bruttó szintterület 80%-a nettó terület.</w:t>
            </w:r>
          </w:p>
          <w:p w14:paraId="5D86BFCA" w14:textId="77777777" w:rsidR="006E2DB6" w:rsidRDefault="006E2DB6" w:rsidP="009C6CD0">
            <w:pPr>
              <w:pStyle w:val="Listaszerbekezds"/>
              <w:numPr>
                <w:ilvl w:val="0"/>
                <w:numId w:val="27"/>
              </w:numPr>
              <w:spacing w:before="0" w:after="160" w:line="259" w:lineRule="auto"/>
            </w:pPr>
            <w:r>
              <w:t>A Lechner Tudásközpont adatbázisából lekérdezhető 2016 és 2022 közti Energetikai Tanúsítványok betűjelét hozzárendeltük az épületekhez. Amennyiben több tanúsítás is rendelkezésre állt egy épület esetén, a betűjeleket sorba rendezve a középsőt tekintettük az épületre jellemző besorolásnak.</w:t>
            </w:r>
          </w:p>
          <w:p w14:paraId="1578A1EB" w14:textId="77777777" w:rsidR="006E2DB6" w:rsidRDefault="006E2DB6" w:rsidP="009C6CD0">
            <w:pPr>
              <w:pStyle w:val="Listaszerbekezds"/>
            </w:pPr>
            <w:r>
              <w:t>Az alábbi sokaság adódott:</w:t>
            </w:r>
          </w:p>
          <w:p w14:paraId="4FE87FAC" w14:textId="77777777" w:rsidR="006E2DB6" w:rsidRDefault="006E2DB6" w:rsidP="006E2DB6">
            <w:pPr>
              <w:pStyle w:val="Listaszerbekezds"/>
              <w:jc w:val="center"/>
            </w:pPr>
            <w:r>
              <w:rPr>
                <w:noProof/>
                <w:lang w:val="hu-HU" w:eastAsia="hu-HU"/>
              </w:rPr>
              <w:drawing>
                <wp:inline distT="0" distB="0" distL="0" distR="0" wp14:anchorId="2057C8E8" wp14:editId="62C33350">
                  <wp:extent cx="4320000" cy="2595600"/>
                  <wp:effectExtent l="0" t="0" r="444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20000" cy="2595600"/>
                          </a:xfrm>
                          <a:prstGeom prst="rect">
                            <a:avLst/>
                          </a:prstGeom>
                          <a:noFill/>
                        </pic:spPr>
                      </pic:pic>
                    </a:graphicData>
                  </a:graphic>
                </wp:inline>
              </w:drawing>
            </w:r>
          </w:p>
          <w:p w14:paraId="2576D861" w14:textId="77777777" w:rsidR="006E2DB6" w:rsidRDefault="006E2DB6" w:rsidP="006E2DB6">
            <w:pPr>
              <w:pStyle w:val="Listaszerbekezds"/>
              <w:jc w:val="center"/>
            </w:pPr>
          </w:p>
          <w:p w14:paraId="5B57D47B" w14:textId="77777777" w:rsidR="006E2DB6" w:rsidRDefault="006E2DB6" w:rsidP="009C6CD0">
            <w:pPr>
              <w:pStyle w:val="Listaszerbekezds"/>
              <w:numPr>
                <w:ilvl w:val="0"/>
                <w:numId w:val="28"/>
              </w:numPr>
              <w:spacing w:before="0" w:after="160" w:line="259" w:lineRule="auto"/>
            </w:pPr>
            <w:r>
              <w:t>Az energetikai tanúsítás betűjelénél úgy tekintettük, hogy az alsó határán van a követelményértéknek.</w:t>
            </w:r>
          </w:p>
          <w:p w14:paraId="537F6B51" w14:textId="77777777" w:rsidR="006E2DB6" w:rsidRDefault="006E2DB6" w:rsidP="009C6CD0">
            <w:pPr>
              <w:pStyle w:val="Listaszerbekezds"/>
              <w:numPr>
                <w:ilvl w:val="0"/>
                <w:numId w:val="28"/>
              </w:numPr>
              <w:spacing w:before="0" w:after="160" w:line="259" w:lineRule="auto"/>
            </w:pPr>
            <w:r>
              <w:t>Az épület geometriai jellemzői alapján kiszámítottuk a követelményértéket.</w:t>
            </w:r>
          </w:p>
          <w:p w14:paraId="5A44ED33" w14:textId="77777777" w:rsidR="006E2DB6" w:rsidRDefault="006E2DB6" w:rsidP="009C6CD0">
            <w:pPr>
              <w:pStyle w:val="Listaszerbekezds"/>
              <w:numPr>
                <w:ilvl w:val="0"/>
                <w:numId w:val="28"/>
              </w:numPr>
              <w:spacing w:before="0" w:after="160" w:line="259" w:lineRule="auto"/>
            </w:pPr>
            <w:r>
              <w:t>Az épületeknél nem tekintettünk hűtési igényt, szellőzés igényt, a HMV felhasználást 60kWh/m</w:t>
            </w:r>
            <w:r w:rsidRPr="00F1556B">
              <w:rPr>
                <w:vertAlign w:val="superscript"/>
              </w:rPr>
              <w:t>2</w:t>
            </w:r>
            <w:r>
              <w:t>/év értékre becsültük.</w:t>
            </w:r>
          </w:p>
          <w:p w14:paraId="214C9126" w14:textId="77777777" w:rsidR="006E2DB6" w:rsidRDefault="006E2DB6" w:rsidP="009C6CD0">
            <w:pPr>
              <w:pStyle w:val="Listaszerbekezds"/>
              <w:numPr>
                <w:ilvl w:val="0"/>
                <w:numId w:val="28"/>
              </w:numPr>
              <w:spacing w:before="0" w:after="160" w:line="259" w:lineRule="auto"/>
            </w:pPr>
            <w:r>
              <w:t>Ezek alapján számítottuk ki az épületek jelenlegi hőigényét.</w:t>
            </w:r>
          </w:p>
          <w:p w14:paraId="11692D8F" w14:textId="77777777" w:rsidR="006E2DB6" w:rsidRDefault="006E2DB6" w:rsidP="006E2DB6">
            <w:r>
              <w:t>A hőtechnikai felújításnál az alábbi megtakarítási lehetőségeket alkalmaztuk:</w:t>
            </w:r>
          </w:p>
          <w:tbl>
            <w:tblPr>
              <w:tblStyle w:val="Tblzatrcsos5stt6jellszn"/>
              <w:tblW w:w="0" w:type="auto"/>
              <w:jc w:val="center"/>
              <w:tblLook w:val="04A0" w:firstRow="1" w:lastRow="0" w:firstColumn="1" w:lastColumn="0" w:noHBand="0" w:noVBand="1"/>
            </w:tblPr>
            <w:tblGrid>
              <w:gridCol w:w="497"/>
              <w:gridCol w:w="2798"/>
              <w:gridCol w:w="2849"/>
            </w:tblGrid>
            <w:tr w:rsidR="006E2DB6" w:rsidRPr="002B5894" w14:paraId="37296DCB" w14:textId="77777777" w:rsidTr="00850B67">
              <w:trPr>
                <w:cnfStyle w:val="100000000000" w:firstRow="1" w:lastRow="0" w:firstColumn="0" w:lastColumn="0" w:oddVBand="0" w:evenVBand="0" w:oddHBand="0"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0B0576C2" w14:textId="77777777" w:rsidR="006E2DB6" w:rsidRPr="002B5894" w:rsidRDefault="006E2DB6" w:rsidP="009C6CD0">
                  <w:pPr>
                    <w:spacing w:before="40" w:after="40"/>
                    <w:rPr>
                      <w:rFonts w:ascii="Times New Roman" w:eastAsia="Times New Roman" w:hAnsi="Times New Roman" w:cs="Times New Roman"/>
                      <w:sz w:val="24"/>
                      <w:szCs w:val="24"/>
                      <w:lang w:eastAsia="hu-HU"/>
                    </w:rPr>
                  </w:pPr>
                </w:p>
              </w:tc>
              <w:tc>
                <w:tcPr>
                  <w:tcW w:w="0" w:type="auto"/>
                  <w:shd w:val="clear" w:color="auto" w:fill="5B9BD5" w:themeFill="accent5"/>
                  <w:noWrap/>
                  <w:hideMark/>
                </w:tcPr>
                <w:p w14:paraId="6BA99F9B" w14:textId="77777777" w:rsidR="006E2DB6" w:rsidRPr="002B5894" w:rsidRDefault="006E2DB6" w:rsidP="009C6CD0">
                  <w:pPr>
                    <w:spacing w:before="40" w:after="4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követelményérték százaléka</w:t>
                  </w:r>
                </w:p>
              </w:tc>
              <w:tc>
                <w:tcPr>
                  <w:tcW w:w="0" w:type="auto"/>
                  <w:shd w:val="clear" w:color="auto" w:fill="5B9BD5" w:themeFill="accent5"/>
                  <w:noWrap/>
                  <w:hideMark/>
                </w:tcPr>
                <w:p w14:paraId="655CE0D0" w14:textId="77777777" w:rsidR="006E2DB6" w:rsidRPr="002B5894" w:rsidRDefault="006E2DB6" w:rsidP="009C6CD0">
                  <w:pPr>
                    <w:spacing w:before="40" w:after="4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energiamegtakarítás (Q-ban)</w:t>
                  </w:r>
                </w:p>
              </w:tc>
            </w:tr>
            <w:tr w:rsidR="006E2DB6" w:rsidRPr="002B5894" w14:paraId="3FAAC21E" w14:textId="77777777" w:rsidTr="00850B67">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4B65E39B"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CC</w:t>
                  </w:r>
                </w:p>
              </w:tc>
              <w:tc>
                <w:tcPr>
                  <w:tcW w:w="0" w:type="auto"/>
                  <w:shd w:val="clear" w:color="auto" w:fill="BDD6EE" w:themeFill="accent5" w:themeFillTint="66"/>
                  <w:noWrap/>
                  <w:hideMark/>
                </w:tcPr>
                <w:p w14:paraId="1ED98980"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130%</w:t>
                  </w:r>
                </w:p>
              </w:tc>
              <w:tc>
                <w:tcPr>
                  <w:tcW w:w="0" w:type="auto"/>
                  <w:shd w:val="clear" w:color="auto" w:fill="BDD6EE" w:themeFill="accent5" w:themeFillTint="66"/>
                  <w:noWrap/>
                  <w:hideMark/>
                </w:tcPr>
                <w:p w14:paraId="1A7CC553"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0.3</w:t>
                  </w:r>
                </w:p>
              </w:tc>
            </w:tr>
            <w:tr w:rsidR="006E2DB6" w:rsidRPr="002B5894" w14:paraId="6F15FB8E" w14:textId="77777777" w:rsidTr="00850B67">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14E5BEE2"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DD</w:t>
                  </w:r>
                </w:p>
              </w:tc>
              <w:tc>
                <w:tcPr>
                  <w:tcW w:w="0" w:type="auto"/>
                  <w:shd w:val="clear" w:color="auto" w:fill="DEEAF6" w:themeFill="accent5" w:themeFillTint="33"/>
                  <w:noWrap/>
                  <w:hideMark/>
                </w:tcPr>
                <w:p w14:paraId="4CD8B09A"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160%</w:t>
                  </w:r>
                </w:p>
              </w:tc>
              <w:tc>
                <w:tcPr>
                  <w:tcW w:w="0" w:type="auto"/>
                  <w:shd w:val="clear" w:color="auto" w:fill="DEEAF6" w:themeFill="accent5" w:themeFillTint="33"/>
                  <w:noWrap/>
                  <w:hideMark/>
                </w:tcPr>
                <w:p w14:paraId="2FFBEF3E"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0.4</w:t>
                  </w:r>
                </w:p>
              </w:tc>
            </w:tr>
            <w:tr w:rsidR="006E2DB6" w:rsidRPr="002B5894" w14:paraId="49A59D12" w14:textId="77777777" w:rsidTr="00850B67">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39607537"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EE</w:t>
                  </w:r>
                </w:p>
              </w:tc>
              <w:tc>
                <w:tcPr>
                  <w:tcW w:w="0" w:type="auto"/>
                  <w:shd w:val="clear" w:color="auto" w:fill="BDD6EE" w:themeFill="accent5" w:themeFillTint="66"/>
                  <w:noWrap/>
                  <w:hideMark/>
                </w:tcPr>
                <w:p w14:paraId="447D97EC"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200%</w:t>
                  </w:r>
                </w:p>
              </w:tc>
              <w:tc>
                <w:tcPr>
                  <w:tcW w:w="0" w:type="auto"/>
                  <w:shd w:val="clear" w:color="auto" w:fill="BDD6EE" w:themeFill="accent5" w:themeFillTint="66"/>
                  <w:noWrap/>
                  <w:hideMark/>
                </w:tcPr>
                <w:p w14:paraId="213A0384"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0.4</w:t>
                  </w:r>
                </w:p>
              </w:tc>
            </w:tr>
            <w:tr w:rsidR="006E2DB6" w:rsidRPr="002B5894" w14:paraId="606572D8" w14:textId="77777777" w:rsidTr="00850B67">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71878544"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FF</w:t>
                  </w:r>
                </w:p>
              </w:tc>
              <w:tc>
                <w:tcPr>
                  <w:tcW w:w="0" w:type="auto"/>
                  <w:shd w:val="clear" w:color="auto" w:fill="DEEAF6" w:themeFill="accent5" w:themeFillTint="33"/>
                  <w:noWrap/>
                  <w:hideMark/>
                </w:tcPr>
                <w:p w14:paraId="771077B6"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250%</w:t>
                  </w:r>
                </w:p>
              </w:tc>
              <w:tc>
                <w:tcPr>
                  <w:tcW w:w="0" w:type="auto"/>
                  <w:shd w:val="clear" w:color="auto" w:fill="DEEAF6" w:themeFill="accent5" w:themeFillTint="33"/>
                  <w:noWrap/>
                  <w:hideMark/>
                </w:tcPr>
                <w:p w14:paraId="4DCD849E"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0.5</w:t>
                  </w:r>
                </w:p>
              </w:tc>
            </w:tr>
            <w:tr w:rsidR="006E2DB6" w:rsidRPr="002B5894" w14:paraId="7F853D2B" w14:textId="77777777" w:rsidTr="00850B67">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2EF3B351"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GG</w:t>
                  </w:r>
                </w:p>
              </w:tc>
              <w:tc>
                <w:tcPr>
                  <w:tcW w:w="0" w:type="auto"/>
                  <w:shd w:val="clear" w:color="auto" w:fill="BDD6EE" w:themeFill="accent5" w:themeFillTint="66"/>
                  <w:noWrap/>
                  <w:hideMark/>
                </w:tcPr>
                <w:p w14:paraId="56330503"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310%</w:t>
                  </w:r>
                </w:p>
              </w:tc>
              <w:tc>
                <w:tcPr>
                  <w:tcW w:w="0" w:type="auto"/>
                  <w:shd w:val="clear" w:color="auto" w:fill="BDD6EE" w:themeFill="accent5" w:themeFillTint="66"/>
                  <w:noWrap/>
                  <w:hideMark/>
                </w:tcPr>
                <w:p w14:paraId="7E543514"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0.6</w:t>
                  </w:r>
                </w:p>
              </w:tc>
            </w:tr>
            <w:tr w:rsidR="006E2DB6" w:rsidRPr="002B5894" w14:paraId="31FBEE86" w14:textId="77777777" w:rsidTr="00850B67">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35889308"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HH</w:t>
                  </w:r>
                </w:p>
              </w:tc>
              <w:tc>
                <w:tcPr>
                  <w:tcW w:w="0" w:type="auto"/>
                  <w:shd w:val="clear" w:color="auto" w:fill="DEEAF6" w:themeFill="accent5" w:themeFillTint="33"/>
                  <w:noWrap/>
                  <w:hideMark/>
                </w:tcPr>
                <w:p w14:paraId="537D6FD9"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400%</w:t>
                  </w:r>
                </w:p>
              </w:tc>
              <w:tc>
                <w:tcPr>
                  <w:tcW w:w="0" w:type="auto"/>
                  <w:shd w:val="clear" w:color="auto" w:fill="DEEAF6" w:themeFill="accent5" w:themeFillTint="33"/>
                  <w:noWrap/>
                  <w:hideMark/>
                </w:tcPr>
                <w:p w14:paraId="0E38BEC9"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0.6</w:t>
                  </w:r>
                </w:p>
              </w:tc>
            </w:tr>
            <w:tr w:rsidR="006E2DB6" w:rsidRPr="002B5894" w14:paraId="17227DDE" w14:textId="77777777" w:rsidTr="00850B67">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28FA6BCA"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II</w:t>
                  </w:r>
                </w:p>
              </w:tc>
              <w:tc>
                <w:tcPr>
                  <w:tcW w:w="0" w:type="auto"/>
                  <w:shd w:val="clear" w:color="auto" w:fill="BDD6EE" w:themeFill="accent5" w:themeFillTint="66"/>
                  <w:noWrap/>
                  <w:hideMark/>
                </w:tcPr>
                <w:p w14:paraId="2A05E772"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500%</w:t>
                  </w:r>
                </w:p>
              </w:tc>
              <w:tc>
                <w:tcPr>
                  <w:tcW w:w="0" w:type="auto"/>
                  <w:shd w:val="clear" w:color="auto" w:fill="BDD6EE" w:themeFill="accent5" w:themeFillTint="66"/>
                  <w:noWrap/>
                  <w:hideMark/>
                </w:tcPr>
                <w:p w14:paraId="3F8CC9B2" w14:textId="77777777" w:rsidR="006E2DB6" w:rsidRPr="002B5894" w:rsidRDefault="006E2DB6" w:rsidP="009C6CD0">
                  <w:pPr>
                    <w:spacing w:before="40" w:after="4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0.6</w:t>
                  </w:r>
                </w:p>
              </w:tc>
            </w:tr>
            <w:tr w:rsidR="006E2DB6" w:rsidRPr="002B5894" w14:paraId="7BEFFCDB" w14:textId="77777777" w:rsidTr="00850B67">
              <w:trPr>
                <w:trHeight w:val="206"/>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5B9BD5" w:themeFill="accent5"/>
                  <w:noWrap/>
                  <w:hideMark/>
                </w:tcPr>
                <w:p w14:paraId="21437D13" w14:textId="77777777" w:rsidR="006E2DB6" w:rsidRPr="002B5894" w:rsidRDefault="006E2DB6" w:rsidP="009C6CD0">
                  <w:pPr>
                    <w:spacing w:before="40" w:after="40"/>
                    <w:rPr>
                      <w:rFonts w:ascii="Calibri" w:eastAsia="Times New Roman" w:hAnsi="Calibri" w:cs="Calibri"/>
                      <w:color w:val="000000"/>
                      <w:lang w:eastAsia="hu-HU"/>
                    </w:rPr>
                  </w:pPr>
                  <w:r w:rsidRPr="002B5894">
                    <w:rPr>
                      <w:rFonts w:ascii="Calibri" w:eastAsia="Times New Roman" w:hAnsi="Calibri" w:cs="Calibri"/>
                      <w:color w:val="000000"/>
                      <w:lang w:eastAsia="hu-HU"/>
                    </w:rPr>
                    <w:t>JJ</w:t>
                  </w:r>
                </w:p>
              </w:tc>
              <w:tc>
                <w:tcPr>
                  <w:tcW w:w="0" w:type="auto"/>
                  <w:shd w:val="clear" w:color="auto" w:fill="DEEAF6" w:themeFill="accent5" w:themeFillTint="33"/>
                  <w:noWrap/>
                  <w:hideMark/>
                </w:tcPr>
                <w:p w14:paraId="35220A0F"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600%</w:t>
                  </w:r>
                </w:p>
              </w:tc>
              <w:tc>
                <w:tcPr>
                  <w:tcW w:w="0" w:type="auto"/>
                  <w:shd w:val="clear" w:color="auto" w:fill="DEEAF6" w:themeFill="accent5" w:themeFillTint="33"/>
                  <w:noWrap/>
                  <w:hideMark/>
                </w:tcPr>
                <w:p w14:paraId="75E8B837" w14:textId="77777777" w:rsidR="006E2DB6" w:rsidRPr="002B5894" w:rsidRDefault="006E2DB6" w:rsidP="009C6CD0">
                  <w:pPr>
                    <w:spacing w:before="40" w:after="4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B5894">
                    <w:rPr>
                      <w:rFonts w:ascii="Calibri" w:eastAsia="Times New Roman" w:hAnsi="Calibri" w:cs="Calibri"/>
                      <w:color w:val="000000"/>
                      <w:lang w:eastAsia="hu-HU"/>
                    </w:rPr>
                    <w:t>0.6</w:t>
                  </w:r>
                </w:p>
              </w:tc>
            </w:tr>
          </w:tbl>
          <w:p w14:paraId="44D2BBAD" w14:textId="77777777" w:rsidR="006E2DB6" w:rsidRDefault="006E2DB6" w:rsidP="00C1466E">
            <w:pPr>
              <w:pStyle w:val="Listaszerbekezds"/>
              <w:numPr>
                <w:ilvl w:val="0"/>
                <w:numId w:val="29"/>
              </w:numPr>
              <w:spacing w:before="0" w:after="160" w:line="259" w:lineRule="auto"/>
            </w:pPr>
            <w:r>
              <w:t>Ezen feltételezésekkel számítottuk ki a hőtechnikai és a hőszivattyús korszerűsítés értékét.</w:t>
            </w:r>
          </w:p>
          <w:p w14:paraId="6376C7BE" w14:textId="77777777" w:rsidR="006E2DB6" w:rsidRDefault="006E2DB6" w:rsidP="00C1466E">
            <w:pPr>
              <w:pStyle w:val="Listaszerbekezds"/>
              <w:numPr>
                <w:ilvl w:val="0"/>
                <w:numId w:val="29"/>
              </w:numPr>
              <w:spacing w:before="0" w:after="160" w:line="259" w:lineRule="auto"/>
            </w:pPr>
            <w:r>
              <w:t>A számítások további része megegyezik a mintaépületek számításaiban alkalmazott módszertannal.</w:t>
            </w:r>
          </w:p>
          <w:p w14:paraId="5ED9B371" w14:textId="77777777" w:rsidR="006E2DB6" w:rsidRDefault="006E2DB6" w:rsidP="00C1466E">
            <w:pPr>
              <w:pStyle w:val="Listaszerbekezds"/>
              <w:numPr>
                <w:ilvl w:val="0"/>
                <w:numId w:val="29"/>
              </w:numPr>
              <w:spacing w:before="0" w:after="160" w:line="259" w:lineRule="auto"/>
            </w:pPr>
            <w:r>
              <w:t>A napelem felszerelést a Nappal hajtva oldal kerületi adata alapján kalkuláltuk. Karbantartási költségeket a mintaépületek szerint.</w:t>
            </w:r>
          </w:p>
          <w:p w14:paraId="56DCF204" w14:textId="77777777" w:rsidR="006E2DB6" w:rsidRDefault="006E2DB6" w:rsidP="00C1466E">
            <w:pPr>
              <w:pStyle w:val="Listaszerbekezds"/>
              <w:numPr>
                <w:ilvl w:val="0"/>
                <w:numId w:val="29"/>
              </w:numPr>
              <w:spacing w:before="0" w:after="160" w:line="259" w:lineRule="auto"/>
            </w:pPr>
            <w:r>
              <w:lastRenderedPageBreak/>
              <w:t>A számítások további része megegyezik a mintaépületek számításaiban alkalmazott módszertannal.</w:t>
            </w:r>
          </w:p>
          <w:p w14:paraId="387C36B0" w14:textId="39C7A487" w:rsidR="00C07B77" w:rsidRPr="00C07B77" w:rsidRDefault="00C07B77" w:rsidP="00C1466E">
            <w:pPr>
              <w:spacing w:before="0" w:after="160" w:line="259" w:lineRule="auto"/>
              <w:rPr>
                <w:b/>
                <w:bCs/>
              </w:rPr>
            </w:pPr>
            <w:r>
              <w:rPr>
                <w:b/>
                <w:bCs/>
              </w:rPr>
              <w:t xml:space="preserve">IV. </w:t>
            </w:r>
            <w:r w:rsidRPr="00C07B77">
              <w:rPr>
                <w:b/>
                <w:bCs/>
              </w:rPr>
              <w:t xml:space="preserve">A </w:t>
            </w:r>
            <w:r w:rsidR="00C1466E" w:rsidRPr="00C1466E">
              <w:rPr>
                <w:b/>
                <w:bCs/>
              </w:rPr>
              <w:t>120</w:t>
            </w:r>
            <w:r w:rsidRPr="00C07B77">
              <w:rPr>
                <w:b/>
                <w:bCs/>
              </w:rPr>
              <w:t xml:space="preserve"> épületre vonatkozó számítások bemutatása a korábbi struktúrának megfelelően</w:t>
            </w:r>
          </w:p>
          <w:p w14:paraId="4753A11C" w14:textId="4ED73B4C" w:rsidR="00C07B77" w:rsidRDefault="00C07B77" w:rsidP="00C07B77">
            <w:pPr>
              <w:jc w:val="left"/>
              <w:rPr>
                <w:b/>
                <w:bCs/>
              </w:rPr>
            </w:pPr>
            <w:r>
              <w:rPr>
                <w:b/>
                <w:bCs/>
              </w:rPr>
              <w:t>IV</w:t>
            </w:r>
            <w:r w:rsidRPr="00822E24">
              <w:rPr>
                <w:b/>
                <w:bCs/>
              </w:rPr>
              <w:t>.</w:t>
            </w:r>
            <w:r>
              <w:rPr>
                <w:b/>
                <w:bCs/>
              </w:rPr>
              <w:t>1</w:t>
            </w:r>
            <w:r w:rsidRPr="00822E24">
              <w:rPr>
                <w:b/>
                <w:bCs/>
              </w:rPr>
              <w:t>. Épületek hőtechnikai felújítása</w:t>
            </w:r>
            <w:r w:rsidR="00856515">
              <w:rPr>
                <w:b/>
                <w:bCs/>
              </w:rPr>
              <w:t xml:space="preserve"> (120 épület)</w:t>
            </w:r>
          </w:p>
          <w:p w14:paraId="4637DD68" w14:textId="313F37E1" w:rsidR="00B53653" w:rsidRPr="00C1466E" w:rsidRDefault="00B53653" w:rsidP="00B53653">
            <w:pPr>
              <w:jc w:val="left"/>
            </w:pPr>
            <w:r w:rsidRPr="00C1466E">
              <w:t>Összes éves fűtési hőigény csökkenés, ƩΔQ</w:t>
            </w:r>
            <w:r w:rsidRPr="00C1466E">
              <w:rPr>
                <w:vertAlign w:val="subscript"/>
              </w:rPr>
              <w:t>F</w:t>
            </w:r>
            <w:r w:rsidRPr="00C1466E">
              <w:t xml:space="preserve"> = </w:t>
            </w:r>
            <w:r w:rsidR="00C1466E" w:rsidRPr="00C1466E">
              <w:t>29.231</w:t>
            </w:r>
            <w:r w:rsidR="00C1466E">
              <w:t xml:space="preserve"> </w:t>
            </w:r>
            <w:r w:rsidRPr="00C1466E">
              <w:t>MWh/év</w:t>
            </w:r>
          </w:p>
          <w:p w14:paraId="6B10A7EF" w14:textId="1E3BACC4" w:rsidR="00C07B77" w:rsidRDefault="00B53653" w:rsidP="00B53653">
            <w:pPr>
              <w:jc w:val="left"/>
              <w:rPr>
                <w:i/>
                <w:iCs/>
              </w:rPr>
            </w:pPr>
            <w:r w:rsidRPr="00C1466E">
              <w:t xml:space="preserve">Összes éves kibocsátás csökkenés: </w:t>
            </w:r>
            <w:r w:rsidR="00C1466E">
              <w:t>7.670</w:t>
            </w:r>
            <w:r w:rsidRPr="00C1466E">
              <w:t xml:space="preserve"> tonna CO</w:t>
            </w:r>
            <w:r w:rsidRPr="00C1466E">
              <w:rPr>
                <w:vertAlign w:val="subscript"/>
              </w:rPr>
              <w:t>2ekvivalens</w:t>
            </w:r>
            <w:r w:rsidRPr="00C1466E">
              <w:t>/év</w:t>
            </w:r>
          </w:p>
          <w:p w14:paraId="374E6F44" w14:textId="77777777" w:rsidR="00B53653" w:rsidRPr="00C1466E" w:rsidRDefault="00B53653" w:rsidP="00B53653">
            <w:pPr>
              <w:rPr>
                <w:i/>
                <w:iCs/>
              </w:rPr>
            </w:pPr>
            <w:r w:rsidRPr="00C1466E">
              <w:rPr>
                <w:i/>
                <w:iCs/>
              </w:rPr>
              <w:t>Minden költséget, árat bruttóban számoltunk.</w:t>
            </w:r>
          </w:p>
          <w:p w14:paraId="570F560C" w14:textId="5D68DCA7" w:rsidR="00B53653" w:rsidRPr="003D748F" w:rsidRDefault="00B53653" w:rsidP="00B53653">
            <w:pPr>
              <w:rPr>
                <w:bCs/>
              </w:rPr>
            </w:pPr>
            <w:r w:rsidRPr="003D748F">
              <w:rPr>
                <w:bCs/>
              </w:rPr>
              <w:t xml:space="preserve">Összes beruházási költség: </w:t>
            </w:r>
            <w:r w:rsidR="00C1466E" w:rsidRPr="00C1466E">
              <w:rPr>
                <w:bCs/>
              </w:rPr>
              <w:t>23</w:t>
            </w:r>
            <w:r w:rsidR="00C1466E">
              <w:rPr>
                <w:bCs/>
              </w:rPr>
              <w:t>.</w:t>
            </w:r>
            <w:r w:rsidR="00C1466E" w:rsidRPr="00C1466E">
              <w:rPr>
                <w:bCs/>
              </w:rPr>
              <w:t>854</w:t>
            </w:r>
            <w:r w:rsidR="00C1466E">
              <w:rPr>
                <w:bCs/>
              </w:rPr>
              <w:t>.</w:t>
            </w:r>
            <w:r w:rsidR="00C1466E" w:rsidRPr="00C1466E">
              <w:rPr>
                <w:bCs/>
              </w:rPr>
              <w:t>715</w:t>
            </w:r>
            <w:r w:rsidR="00C1466E">
              <w:rPr>
                <w:bCs/>
              </w:rPr>
              <w:t xml:space="preserve"> </w:t>
            </w:r>
            <w:r w:rsidRPr="003D748F">
              <w:rPr>
                <w:bCs/>
              </w:rPr>
              <w:t>bruttó EFt</w:t>
            </w:r>
          </w:p>
          <w:p w14:paraId="0264FC1B" w14:textId="3AECF788" w:rsidR="00B53653" w:rsidRPr="003D748F" w:rsidRDefault="00B53653" w:rsidP="00B53653">
            <w:pPr>
              <w:rPr>
                <w:bCs/>
              </w:rPr>
            </w:pPr>
            <w:r w:rsidRPr="003D748F">
              <w:rPr>
                <w:bCs/>
              </w:rPr>
              <w:t xml:space="preserve">Összes energiaköltség megtakarítás rezsicsökkentett áron: </w:t>
            </w:r>
            <w:r w:rsidR="00C1466E">
              <w:rPr>
                <w:bCs/>
              </w:rPr>
              <w:t>351.036</w:t>
            </w:r>
            <w:r>
              <w:rPr>
                <w:bCs/>
              </w:rPr>
              <w:t xml:space="preserve"> </w:t>
            </w:r>
            <w:r w:rsidRPr="003D748F">
              <w:rPr>
                <w:bCs/>
              </w:rPr>
              <w:t>bruttó E</w:t>
            </w:r>
            <w:r w:rsidR="00C1466E">
              <w:rPr>
                <w:bCs/>
              </w:rPr>
              <w:t>F</w:t>
            </w:r>
            <w:r w:rsidRPr="003D748F">
              <w:rPr>
                <w:bCs/>
              </w:rPr>
              <w:t>t</w:t>
            </w:r>
          </w:p>
          <w:p w14:paraId="772840F1" w14:textId="5C8D17E6" w:rsidR="00B53653" w:rsidRPr="003D748F" w:rsidRDefault="00B53653" w:rsidP="00B53653">
            <w:pPr>
              <w:rPr>
                <w:bCs/>
              </w:rPr>
            </w:pPr>
            <w:r w:rsidRPr="003D748F">
              <w:rPr>
                <w:bCs/>
              </w:rPr>
              <w:t xml:space="preserve">Eredő lineáris megtérülési idő: </w:t>
            </w:r>
            <w:r>
              <w:rPr>
                <w:bCs/>
              </w:rPr>
              <w:t>68</w:t>
            </w:r>
            <w:r w:rsidRPr="003D748F">
              <w:rPr>
                <w:bCs/>
              </w:rPr>
              <w:t xml:space="preserve"> év</w:t>
            </w:r>
          </w:p>
          <w:p w14:paraId="5E50530A" w14:textId="5DB9BB61" w:rsidR="00B53653" w:rsidRPr="003D748F" w:rsidRDefault="00B53653" w:rsidP="00B53653">
            <w:pPr>
              <w:rPr>
                <w:bCs/>
              </w:rPr>
            </w:pPr>
            <w:r w:rsidRPr="003D748F">
              <w:rPr>
                <w:bCs/>
              </w:rPr>
              <w:t xml:space="preserve">Összes energiaköltség megtakarítás </w:t>
            </w:r>
            <w:r w:rsidR="00D40275">
              <w:rPr>
                <w:bCs/>
              </w:rPr>
              <w:t>becsült</w:t>
            </w:r>
            <w:r w:rsidRPr="003D748F">
              <w:rPr>
                <w:bCs/>
              </w:rPr>
              <w:t xml:space="preserve"> piaci áron: </w:t>
            </w:r>
            <w:r w:rsidR="00C1466E" w:rsidRPr="00C1466E">
              <w:rPr>
                <w:bCs/>
              </w:rPr>
              <w:t>742</w:t>
            </w:r>
            <w:r w:rsidR="00C1466E">
              <w:rPr>
                <w:bCs/>
              </w:rPr>
              <w:t>.</w:t>
            </w:r>
            <w:r w:rsidR="00C1466E" w:rsidRPr="00C1466E">
              <w:rPr>
                <w:bCs/>
              </w:rPr>
              <w:t>461</w:t>
            </w:r>
            <w:r w:rsidR="00C1466E">
              <w:rPr>
                <w:bCs/>
              </w:rPr>
              <w:t xml:space="preserve"> </w:t>
            </w:r>
            <w:r w:rsidRPr="003D748F">
              <w:rPr>
                <w:bCs/>
              </w:rPr>
              <w:t>bruttó EFt</w:t>
            </w:r>
          </w:p>
          <w:p w14:paraId="110992B9" w14:textId="037AEC19" w:rsidR="00B53653" w:rsidRPr="00822E24" w:rsidRDefault="00B53653" w:rsidP="00B53653">
            <w:pPr>
              <w:jc w:val="left"/>
              <w:rPr>
                <w:b/>
                <w:bCs/>
              </w:rPr>
            </w:pPr>
            <w:r w:rsidRPr="003D748F">
              <w:rPr>
                <w:bCs/>
              </w:rPr>
              <w:t xml:space="preserve">Eredő lineáris megtérülési idő: </w:t>
            </w:r>
            <w:r>
              <w:rPr>
                <w:bCs/>
              </w:rPr>
              <w:t>32</w:t>
            </w:r>
            <w:r w:rsidRPr="003D748F">
              <w:rPr>
                <w:bCs/>
              </w:rPr>
              <w:t xml:space="preserve"> év</w:t>
            </w:r>
          </w:p>
          <w:p w14:paraId="7C931007" w14:textId="1E2CB26C" w:rsidR="00C07B77" w:rsidRDefault="00A07D8B" w:rsidP="00C07B77">
            <w:pPr>
              <w:spacing w:before="0" w:after="160" w:line="259" w:lineRule="auto"/>
              <w:jc w:val="left"/>
              <w:rPr>
                <w:b/>
                <w:bCs/>
              </w:rPr>
            </w:pPr>
            <w:r w:rsidRPr="00A07D8B">
              <w:rPr>
                <w:b/>
                <w:bCs/>
              </w:rPr>
              <w:t>IV.2.</w:t>
            </w:r>
            <w:r>
              <w:t xml:space="preserve"> </w:t>
            </w:r>
            <w:r w:rsidRPr="003D748F">
              <w:rPr>
                <w:b/>
                <w:bCs/>
              </w:rPr>
              <w:t>Hőszivattyús ellátás gáz/villamos energia fűtési ellátás helyett</w:t>
            </w:r>
            <w:r w:rsidR="00856515">
              <w:rPr>
                <w:b/>
                <w:bCs/>
              </w:rPr>
              <w:t xml:space="preserve"> (</w:t>
            </w:r>
            <w:r w:rsidR="00F857FF">
              <w:rPr>
                <w:b/>
                <w:bCs/>
              </w:rPr>
              <w:t>12</w:t>
            </w:r>
            <w:r w:rsidR="00856515">
              <w:rPr>
                <w:b/>
                <w:bCs/>
              </w:rPr>
              <w:t>0 épület)</w:t>
            </w:r>
          </w:p>
          <w:p w14:paraId="51FA176E" w14:textId="79828B93" w:rsidR="00A07D8B" w:rsidRDefault="00A07D8B" w:rsidP="00C07B77">
            <w:pPr>
              <w:spacing w:before="0" w:after="160" w:line="259" w:lineRule="auto"/>
              <w:jc w:val="left"/>
              <w:rPr>
                <w:bCs/>
              </w:rPr>
            </w:pPr>
            <w:r w:rsidRPr="00A07D8B">
              <w:rPr>
                <w:bCs/>
              </w:rPr>
              <w:t>A kivetítés során a</w:t>
            </w:r>
            <w:r>
              <w:rPr>
                <w:bCs/>
              </w:rPr>
              <w:t xml:space="preserve"> három korábban ismertetett opció közül a</w:t>
            </w:r>
            <w:r w:rsidRPr="00A07D8B">
              <w:rPr>
                <w:bCs/>
              </w:rPr>
              <w:t xml:space="preserve"> B verzió (VRF rendszerű központi HP ellátás) került kiszámolásra.</w:t>
            </w:r>
            <w:r w:rsidR="00744578">
              <w:rPr>
                <w:rStyle w:val="Lbjegyzet-hivatkozs"/>
                <w:bCs/>
              </w:rPr>
              <w:footnoteReference w:id="21"/>
            </w:r>
          </w:p>
          <w:p w14:paraId="5F762F7C" w14:textId="06CA94B9" w:rsidR="00A07D8B" w:rsidRPr="00E94F99" w:rsidRDefault="00A07D8B" w:rsidP="00A07D8B">
            <w:pPr>
              <w:rPr>
                <w:bCs/>
              </w:rPr>
            </w:pPr>
            <w:r w:rsidRPr="00E94F99">
              <w:rPr>
                <w:bCs/>
              </w:rPr>
              <w:t xml:space="preserve">Összes megújuló energia: </w:t>
            </w:r>
            <w:r w:rsidR="00F857FF">
              <w:rPr>
                <w:bCs/>
              </w:rPr>
              <w:t>1</w:t>
            </w:r>
            <w:r w:rsidR="00856515">
              <w:rPr>
                <w:bCs/>
              </w:rPr>
              <w:t>5.</w:t>
            </w:r>
            <w:r w:rsidR="00F857FF">
              <w:rPr>
                <w:bCs/>
              </w:rPr>
              <w:t>486</w:t>
            </w:r>
            <w:r w:rsidRPr="00E94F99">
              <w:rPr>
                <w:bCs/>
              </w:rPr>
              <w:t xml:space="preserve"> MWh/év</w:t>
            </w:r>
          </w:p>
          <w:p w14:paraId="70ED93F1" w14:textId="3EE572FC" w:rsidR="00A07D8B" w:rsidRDefault="00A07D8B" w:rsidP="00A07D8B">
            <w:pPr>
              <w:spacing w:before="0" w:after="160" w:line="259" w:lineRule="auto"/>
              <w:jc w:val="left"/>
              <w:rPr>
                <w:bCs/>
              </w:rPr>
            </w:pPr>
            <w:r w:rsidRPr="00E94F99">
              <w:rPr>
                <w:bCs/>
              </w:rPr>
              <w:t xml:space="preserve">Összes éves kibocsátás csökkenés: </w:t>
            </w:r>
            <w:r w:rsidR="00F857FF">
              <w:rPr>
                <w:bCs/>
              </w:rPr>
              <w:t>3</w:t>
            </w:r>
            <w:r w:rsidR="00856515">
              <w:rPr>
                <w:bCs/>
              </w:rPr>
              <w:t>.</w:t>
            </w:r>
            <w:r w:rsidR="00F857FF">
              <w:rPr>
                <w:bCs/>
              </w:rPr>
              <w:t>379</w:t>
            </w:r>
            <w:r w:rsidRPr="00E94F99">
              <w:rPr>
                <w:bCs/>
              </w:rPr>
              <w:t xml:space="preserve"> tonna CO</w:t>
            </w:r>
            <w:r w:rsidRPr="00E94F99">
              <w:rPr>
                <w:bCs/>
                <w:vertAlign w:val="subscript"/>
              </w:rPr>
              <w:t>2ekvivalens</w:t>
            </w:r>
            <w:r w:rsidRPr="00E94F99">
              <w:rPr>
                <w:bCs/>
              </w:rPr>
              <w:t>/év</w:t>
            </w:r>
          </w:p>
          <w:p w14:paraId="65517039" w14:textId="7782E0FC" w:rsidR="008F6786" w:rsidRPr="004C2F7C" w:rsidRDefault="008F6786" w:rsidP="008F6786">
            <w:pPr>
              <w:rPr>
                <w:bCs/>
              </w:rPr>
            </w:pPr>
            <w:r w:rsidRPr="004C2F7C">
              <w:rPr>
                <w:bCs/>
              </w:rPr>
              <w:t xml:space="preserve">Összes beruházási költség: </w:t>
            </w:r>
            <w:r w:rsidR="00F857FF" w:rsidRPr="00F857FF">
              <w:rPr>
                <w:bCs/>
              </w:rPr>
              <w:t>5</w:t>
            </w:r>
            <w:r w:rsidR="00F857FF">
              <w:rPr>
                <w:bCs/>
              </w:rPr>
              <w:t>.</w:t>
            </w:r>
            <w:r w:rsidR="00F857FF" w:rsidRPr="00F857FF">
              <w:rPr>
                <w:bCs/>
              </w:rPr>
              <w:t>828</w:t>
            </w:r>
            <w:r w:rsidR="00F857FF">
              <w:rPr>
                <w:bCs/>
              </w:rPr>
              <w:t>.</w:t>
            </w:r>
            <w:r w:rsidR="00F857FF" w:rsidRPr="00F857FF">
              <w:rPr>
                <w:bCs/>
              </w:rPr>
              <w:t>967</w:t>
            </w:r>
            <w:r w:rsidR="00F857FF">
              <w:rPr>
                <w:bCs/>
              </w:rPr>
              <w:t xml:space="preserve"> </w:t>
            </w:r>
            <w:r w:rsidRPr="004C2F7C">
              <w:rPr>
                <w:bCs/>
              </w:rPr>
              <w:t>bruttó EFt</w:t>
            </w:r>
          </w:p>
          <w:p w14:paraId="004B154D" w14:textId="0312D23B" w:rsidR="008F6786" w:rsidRPr="004C2F7C" w:rsidRDefault="008F6786" w:rsidP="008F6786">
            <w:pPr>
              <w:rPr>
                <w:bCs/>
              </w:rPr>
            </w:pPr>
            <w:r w:rsidRPr="004C2F7C">
              <w:rPr>
                <w:bCs/>
              </w:rPr>
              <w:t xml:space="preserve">Összes energiaköltség megtakarítás rezsicsökkentett áron: </w:t>
            </w:r>
            <w:r w:rsidR="00F857FF" w:rsidRPr="00F857FF">
              <w:rPr>
                <w:bCs/>
              </w:rPr>
              <w:t>114</w:t>
            </w:r>
            <w:r w:rsidR="00F857FF">
              <w:rPr>
                <w:bCs/>
              </w:rPr>
              <w:t>.</w:t>
            </w:r>
            <w:r w:rsidR="00F857FF" w:rsidRPr="00F857FF">
              <w:rPr>
                <w:bCs/>
              </w:rPr>
              <w:t>903</w:t>
            </w:r>
            <w:r w:rsidR="00856515">
              <w:rPr>
                <w:bCs/>
              </w:rPr>
              <w:t xml:space="preserve"> </w:t>
            </w:r>
            <w:r w:rsidRPr="004C2F7C">
              <w:rPr>
                <w:bCs/>
              </w:rPr>
              <w:t>bruttó EFt</w:t>
            </w:r>
          </w:p>
          <w:p w14:paraId="5B7CCF3D" w14:textId="16F89893" w:rsidR="008F6786" w:rsidRPr="004C2F7C" w:rsidRDefault="008F6786" w:rsidP="008F6786">
            <w:pPr>
              <w:rPr>
                <w:bCs/>
              </w:rPr>
            </w:pPr>
            <w:r w:rsidRPr="004C2F7C">
              <w:rPr>
                <w:bCs/>
              </w:rPr>
              <w:t>Lineáris megtérülési idő: 5</w:t>
            </w:r>
            <w:r>
              <w:rPr>
                <w:bCs/>
              </w:rPr>
              <w:t>1</w:t>
            </w:r>
            <w:r w:rsidRPr="004C2F7C">
              <w:rPr>
                <w:bCs/>
                <w:sz w:val="18"/>
                <w:szCs w:val="18"/>
              </w:rPr>
              <w:t xml:space="preserve"> </w:t>
            </w:r>
            <w:r w:rsidRPr="004C2F7C">
              <w:rPr>
                <w:bCs/>
              </w:rPr>
              <w:t>év</w:t>
            </w:r>
          </w:p>
          <w:p w14:paraId="5E272DB4" w14:textId="659A3500" w:rsidR="008F6786" w:rsidRPr="004C2F7C" w:rsidRDefault="008F6786" w:rsidP="008F6786">
            <w:pPr>
              <w:rPr>
                <w:bCs/>
              </w:rPr>
            </w:pPr>
            <w:r w:rsidRPr="004C2F7C">
              <w:rPr>
                <w:bCs/>
              </w:rPr>
              <w:t xml:space="preserve">Összes energiaköltség megtakarítás </w:t>
            </w:r>
            <w:r w:rsidR="00D40275">
              <w:rPr>
                <w:bCs/>
              </w:rPr>
              <w:t>becsült</w:t>
            </w:r>
            <w:r w:rsidRPr="004C2F7C">
              <w:rPr>
                <w:bCs/>
              </w:rPr>
              <w:t xml:space="preserve"> piaci áron: </w:t>
            </w:r>
            <w:r w:rsidR="00F857FF" w:rsidRPr="00F857FF">
              <w:rPr>
                <w:bCs/>
              </w:rPr>
              <w:t>407</w:t>
            </w:r>
            <w:r w:rsidR="00F857FF">
              <w:rPr>
                <w:bCs/>
              </w:rPr>
              <w:t>.</w:t>
            </w:r>
            <w:r w:rsidR="00F857FF" w:rsidRPr="00F857FF">
              <w:rPr>
                <w:bCs/>
              </w:rPr>
              <w:t>609</w:t>
            </w:r>
            <w:r w:rsidR="00F857FF">
              <w:rPr>
                <w:bCs/>
              </w:rPr>
              <w:t xml:space="preserve"> </w:t>
            </w:r>
            <w:r w:rsidRPr="004C2F7C">
              <w:rPr>
                <w:bCs/>
              </w:rPr>
              <w:t>bruttó EFt</w:t>
            </w:r>
          </w:p>
          <w:p w14:paraId="3A238604" w14:textId="5ADA0870" w:rsidR="008F6786" w:rsidRDefault="008F6786" w:rsidP="00744578">
            <w:pPr>
              <w:tabs>
                <w:tab w:val="left" w:pos="3270"/>
              </w:tabs>
              <w:spacing w:before="0" w:after="160" w:line="259" w:lineRule="auto"/>
              <w:jc w:val="left"/>
              <w:rPr>
                <w:bCs/>
              </w:rPr>
            </w:pPr>
            <w:r w:rsidRPr="004C2F7C">
              <w:rPr>
                <w:bCs/>
              </w:rPr>
              <w:t>Lineáris megtérülési idő: 14</w:t>
            </w:r>
            <w:r>
              <w:rPr>
                <w:bCs/>
              </w:rPr>
              <w:t xml:space="preserve"> év</w:t>
            </w:r>
            <w:r w:rsidR="00744578">
              <w:rPr>
                <w:bCs/>
              </w:rPr>
              <w:tab/>
            </w:r>
          </w:p>
          <w:p w14:paraId="73370A8E" w14:textId="41B655F0" w:rsidR="002E2DA3" w:rsidRDefault="002E2DA3" w:rsidP="008F6786">
            <w:pPr>
              <w:spacing w:before="0" w:after="160" w:line="259" w:lineRule="auto"/>
              <w:jc w:val="left"/>
              <w:rPr>
                <w:b/>
              </w:rPr>
            </w:pPr>
            <w:r w:rsidRPr="002E2DA3">
              <w:rPr>
                <w:b/>
              </w:rPr>
              <w:t xml:space="preserve">IV.3. PV napelemek telepítése </w:t>
            </w:r>
            <w:r w:rsidR="00A46C1E">
              <w:rPr>
                <w:b/>
              </w:rPr>
              <w:t>(120</w:t>
            </w:r>
            <w:r w:rsidRPr="002E2DA3">
              <w:rPr>
                <w:b/>
              </w:rPr>
              <w:t xml:space="preserve"> lakóépületre</w:t>
            </w:r>
            <w:r w:rsidR="00A46C1E">
              <w:rPr>
                <w:b/>
              </w:rPr>
              <w:t>)</w:t>
            </w:r>
          </w:p>
          <w:p w14:paraId="35F9BF71" w14:textId="76FCA4D1" w:rsidR="002E2DA3" w:rsidRPr="00E94F99" w:rsidRDefault="002E2DA3" w:rsidP="002E2DA3">
            <w:pPr>
              <w:rPr>
                <w:bCs/>
              </w:rPr>
            </w:pPr>
            <w:r w:rsidRPr="00E94F99">
              <w:rPr>
                <w:bCs/>
              </w:rPr>
              <w:t xml:space="preserve">Összes éves megtermelt megújuló villamos energia: </w:t>
            </w:r>
            <w:r w:rsidR="00A46C1E">
              <w:rPr>
                <w:bCs/>
              </w:rPr>
              <w:t>5.712</w:t>
            </w:r>
            <w:r w:rsidRPr="00E94F99">
              <w:rPr>
                <w:bCs/>
              </w:rPr>
              <w:t xml:space="preserve"> MWh/év</w:t>
            </w:r>
          </w:p>
          <w:p w14:paraId="617A003D" w14:textId="64FAC1AB" w:rsidR="002E2DA3" w:rsidRDefault="002E2DA3" w:rsidP="002E2DA3">
            <w:pPr>
              <w:spacing w:before="0" w:after="160" w:line="259" w:lineRule="auto"/>
              <w:jc w:val="left"/>
              <w:rPr>
                <w:bCs/>
              </w:rPr>
            </w:pPr>
            <w:r w:rsidRPr="00E94F99">
              <w:rPr>
                <w:bCs/>
              </w:rPr>
              <w:t xml:space="preserve">Összes éves kibocsátás csökkenés: </w:t>
            </w:r>
            <w:r w:rsidR="00A46C1E">
              <w:rPr>
                <w:bCs/>
              </w:rPr>
              <w:t>2.112</w:t>
            </w:r>
            <w:r w:rsidRPr="00E94F99">
              <w:rPr>
                <w:bCs/>
              </w:rPr>
              <w:t xml:space="preserve"> tonna CO</w:t>
            </w:r>
            <w:r w:rsidRPr="00E94F99">
              <w:rPr>
                <w:bCs/>
                <w:vertAlign w:val="subscript"/>
              </w:rPr>
              <w:t>2ekvivalens</w:t>
            </w:r>
            <w:r w:rsidRPr="00E94F99">
              <w:rPr>
                <w:bCs/>
              </w:rPr>
              <w:t>/év</w:t>
            </w:r>
          </w:p>
          <w:p w14:paraId="32CC5748" w14:textId="793DE0D3" w:rsidR="002E2DA3" w:rsidRPr="00A8300F" w:rsidRDefault="002E2DA3" w:rsidP="002E2DA3">
            <w:pPr>
              <w:rPr>
                <w:bCs/>
              </w:rPr>
            </w:pPr>
            <w:r w:rsidRPr="00A8300F">
              <w:rPr>
                <w:bCs/>
              </w:rPr>
              <w:t xml:space="preserve">Összes beruházási költség: </w:t>
            </w:r>
            <w:r w:rsidR="00A46C1E" w:rsidRPr="00A46C1E">
              <w:rPr>
                <w:bCs/>
              </w:rPr>
              <w:t>2</w:t>
            </w:r>
            <w:r w:rsidR="00A46C1E">
              <w:rPr>
                <w:bCs/>
              </w:rPr>
              <w:t>.</w:t>
            </w:r>
            <w:r w:rsidR="00A46C1E" w:rsidRPr="00A46C1E">
              <w:rPr>
                <w:bCs/>
              </w:rPr>
              <w:t>901</w:t>
            </w:r>
            <w:r w:rsidR="00A46C1E">
              <w:rPr>
                <w:bCs/>
              </w:rPr>
              <w:t>.</w:t>
            </w:r>
            <w:r w:rsidR="00A46C1E" w:rsidRPr="00A46C1E">
              <w:rPr>
                <w:bCs/>
              </w:rPr>
              <w:t>696</w:t>
            </w:r>
            <w:r w:rsidR="00A46C1E">
              <w:rPr>
                <w:bCs/>
              </w:rPr>
              <w:t xml:space="preserve"> </w:t>
            </w:r>
            <w:r w:rsidRPr="00A8300F">
              <w:rPr>
                <w:bCs/>
              </w:rPr>
              <w:t>bruttó EFt</w:t>
            </w:r>
          </w:p>
          <w:p w14:paraId="643D45A9" w14:textId="6AFA106A" w:rsidR="002E2DA3" w:rsidRPr="00A8300F" w:rsidRDefault="002E2DA3" w:rsidP="002E2DA3">
            <w:pPr>
              <w:rPr>
                <w:bCs/>
              </w:rPr>
            </w:pPr>
            <w:r w:rsidRPr="00A8300F">
              <w:rPr>
                <w:bCs/>
              </w:rPr>
              <w:t xml:space="preserve">Összes </w:t>
            </w:r>
            <w:r w:rsidR="00A8300F" w:rsidRPr="00A8300F">
              <w:rPr>
                <w:bCs/>
              </w:rPr>
              <w:t>eredő megtakarítás rezsicsökkentett energia áron</w:t>
            </w:r>
            <w:r w:rsidRPr="00A8300F">
              <w:rPr>
                <w:bCs/>
              </w:rPr>
              <w:t xml:space="preserve">: </w:t>
            </w:r>
            <w:r w:rsidR="00A46C1E" w:rsidRPr="00A46C1E">
              <w:rPr>
                <w:bCs/>
              </w:rPr>
              <w:t>204</w:t>
            </w:r>
            <w:r w:rsidR="00A46C1E">
              <w:rPr>
                <w:bCs/>
              </w:rPr>
              <w:t>.</w:t>
            </w:r>
            <w:r w:rsidR="00A46C1E" w:rsidRPr="00A46C1E">
              <w:rPr>
                <w:bCs/>
              </w:rPr>
              <w:t>783</w:t>
            </w:r>
            <w:r w:rsidR="00A46C1E">
              <w:rPr>
                <w:bCs/>
              </w:rPr>
              <w:t xml:space="preserve"> </w:t>
            </w:r>
            <w:r w:rsidRPr="00A8300F">
              <w:rPr>
                <w:bCs/>
              </w:rPr>
              <w:t>bruttó EFt/év</w:t>
            </w:r>
          </w:p>
          <w:p w14:paraId="1DA662CD" w14:textId="4DB428E7" w:rsidR="002E2DA3" w:rsidRPr="00A8300F" w:rsidRDefault="002E2DA3" w:rsidP="002E2DA3">
            <w:pPr>
              <w:rPr>
                <w:bCs/>
              </w:rPr>
            </w:pPr>
            <w:r w:rsidRPr="00A8300F">
              <w:rPr>
                <w:bCs/>
              </w:rPr>
              <w:t>Lineáris megtérülés</w:t>
            </w:r>
            <w:r w:rsidR="00A8300F">
              <w:rPr>
                <w:bCs/>
              </w:rPr>
              <w:t>i idő</w:t>
            </w:r>
            <w:r w:rsidRPr="00A8300F">
              <w:rPr>
                <w:bCs/>
              </w:rPr>
              <w:t>: 14 év</w:t>
            </w:r>
          </w:p>
          <w:p w14:paraId="1329165C" w14:textId="4268B3D3" w:rsidR="002E2DA3" w:rsidRPr="00A8300F" w:rsidRDefault="002E2DA3" w:rsidP="002E2DA3">
            <w:pPr>
              <w:rPr>
                <w:bCs/>
              </w:rPr>
            </w:pPr>
            <w:r w:rsidRPr="00A8300F">
              <w:rPr>
                <w:bCs/>
              </w:rPr>
              <w:t xml:space="preserve">Összes </w:t>
            </w:r>
            <w:r w:rsidR="00A8300F" w:rsidRPr="00A8300F">
              <w:rPr>
                <w:bCs/>
              </w:rPr>
              <w:t>eredő megtakarítás piaci energia áron</w:t>
            </w:r>
            <w:r w:rsidRPr="00A8300F">
              <w:rPr>
                <w:bCs/>
              </w:rPr>
              <w:t xml:space="preserve">: </w:t>
            </w:r>
            <w:r w:rsidR="00A46C1E" w:rsidRPr="00A46C1E">
              <w:rPr>
                <w:bCs/>
              </w:rPr>
              <w:t>381</w:t>
            </w:r>
            <w:r w:rsidR="00A46C1E">
              <w:rPr>
                <w:bCs/>
              </w:rPr>
              <w:t>.</w:t>
            </w:r>
            <w:r w:rsidR="00A46C1E" w:rsidRPr="00A46C1E">
              <w:rPr>
                <w:bCs/>
              </w:rPr>
              <w:t>027</w:t>
            </w:r>
            <w:r w:rsidR="00A46C1E">
              <w:rPr>
                <w:bCs/>
              </w:rPr>
              <w:t xml:space="preserve"> </w:t>
            </w:r>
            <w:r w:rsidRPr="00A8300F">
              <w:rPr>
                <w:bCs/>
              </w:rPr>
              <w:t>bruttó EFt/év</w:t>
            </w:r>
          </w:p>
          <w:p w14:paraId="4F15CF56" w14:textId="289B0E07" w:rsidR="002E2DA3" w:rsidRPr="002E2DA3" w:rsidRDefault="00A8300F" w:rsidP="002E2DA3">
            <w:pPr>
              <w:spacing w:before="0" w:after="160" w:line="259" w:lineRule="auto"/>
              <w:jc w:val="left"/>
            </w:pPr>
            <w:r w:rsidRPr="00A8300F">
              <w:rPr>
                <w:bCs/>
              </w:rPr>
              <w:t>Lineáris megtérülési idő</w:t>
            </w:r>
            <w:r w:rsidR="002E2DA3" w:rsidRPr="00A8300F">
              <w:rPr>
                <w:bCs/>
              </w:rPr>
              <w:t xml:space="preserve">: </w:t>
            </w:r>
            <w:r w:rsidRPr="00A8300F">
              <w:rPr>
                <w:bCs/>
              </w:rPr>
              <w:t>8</w:t>
            </w:r>
            <w:r w:rsidR="002E2DA3" w:rsidRPr="00A8300F">
              <w:rPr>
                <w:bCs/>
              </w:rPr>
              <w:t xml:space="preserve"> év</w:t>
            </w:r>
          </w:p>
        </w:tc>
      </w:tr>
      <w:tr w:rsidR="00CA2CF4" w14:paraId="5EB5B137" w14:textId="77777777" w:rsidTr="00CA2CF4">
        <w:tc>
          <w:tcPr>
            <w:tcW w:w="9062" w:type="dxa"/>
            <w:gridSpan w:val="3"/>
            <w:shd w:val="clear" w:color="auto" w:fill="F2F2F2" w:themeFill="background1" w:themeFillShade="F2"/>
          </w:tcPr>
          <w:p w14:paraId="6AFF498E" w14:textId="383CE0BA" w:rsidR="00CA2CF4" w:rsidRPr="009A5D57" w:rsidRDefault="00CA2CF4" w:rsidP="00917508">
            <w:pPr>
              <w:pStyle w:val="Cmsor2"/>
              <w:outlineLvl w:val="1"/>
            </w:pPr>
            <w:bookmarkStart w:id="7" w:name="_Toc133510160"/>
            <w:r w:rsidRPr="009A5D57">
              <w:lastRenderedPageBreak/>
              <w:t>1.4. Piaci elemzés és korlátok</w:t>
            </w:r>
            <w:bookmarkEnd w:id="7"/>
          </w:p>
        </w:tc>
      </w:tr>
      <w:tr w:rsidR="00CA2CF4" w14:paraId="22442196" w14:textId="77777777" w:rsidTr="00091390">
        <w:tblPrEx>
          <w:tblCellMar>
            <w:left w:w="70" w:type="dxa"/>
            <w:right w:w="70" w:type="dxa"/>
          </w:tblCellMar>
        </w:tblPrEx>
        <w:tc>
          <w:tcPr>
            <w:tcW w:w="9062" w:type="dxa"/>
            <w:gridSpan w:val="3"/>
          </w:tcPr>
          <w:p w14:paraId="684E9FF1" w14:textId="38B8B8F5" w:rsidR="00C945F0" w:rsidRDefault="00C945F0" w:rsidP="00C945F0">
            <w:r>
              <w:t>A projekt a kerületi épületek energiafogyasztásának csökentését és az ép</w:t>
            </w:r>
            <w:r w:rsidR="001E49E9">
              <w:t>ü</w:t>
            </w:r>
            <w:r>
              <w:t>letek által felhasznált energia minél nagyobb arányú megújuló energiaforrásokon alapokra helyezését tűzte ki célul. A projektbe bevonható potenciális épületek villamosenergia- és füldgáz-fogyasztással rendelkeznek, ebből fakadóan a piaci elemzés során ezt a két szegmenst vizsgáljuk.</w:t>
            </w:r>
          </w:p>
          <w:p w14:paraId="7C4ABB35" w14:textId="3F778C50" w:rsidR="00BC5377" w:rsidRPr="008317C1" w:rsidRDefault="00BC5377" w:rsidP="00BC5377">
            <w:pPr>
              <w:pStyle w:val="Cmsor3"/>
              <w:outlineLvl w:val="2"/>
            </w:pPr>
            <w:bookmarkStart w:id="8" w:name="_Toc133510161"/>
            <w:r>
              <w:t>Magyar v</w:t>
            </w:r>
            <w:r w:rsidRPr="002E3B52">
              <w:t>illamosenergia-piac</w:t>
            </w:r>
            <w:bookmarkEnd w:id="8"/>
          </w:p>
          <w:p w14:paraId="59FCCE9F" w14:textId="77777777" w:rsidR="00BC5377" w:rsidRDefault="00BC5377" w:rsidP="00BC5377">
            <w:pPr>
              <w:rPr>
                <w:u w:val="single"/>
              </w:rPr>
            </w:pPr>
            <w:r>
              <w:rPr>
                <w:u w:val="single"/>
              </w:rPr>
              <w:t>Villamosenergia-f</w:t>
            </w:r>
            <w:r w:rsidRPr="002E3B52">
              <w:rPr>
                <w:u w:val="single"/>
              </w:rPr>
              <w:t>ogyasztás</w:t>
            </w:r>
          </w:p>
          <w:p w14:paraId="528F9908" w14:textId="219C506B" w:rsidR="00BC5377" w:rsidRDefault="00BC5377" w:rsidP="00BC5377">
            <w:r w:rsidRPr="003A0F85">
              <w:t>A MEKH adatai</w:t>
            </w:r>
            <w:r>
              <w:rPr>
                <w:rStyle w:val="Lbjegyzet-hivatkozs"/>
              </w:rPr>
              <w:footnoteReference w:id="22"/>
            </w:r>
            <w:r w:rsidRPr="003A0F85">
              <w:t xml:space="preserve"> alapján 202</w:t>
            </w:r>
            <w:r>
              <w:t>1</w:t>
            </w:r>
            <w:r w:rsidRPr="003A0F85">
              <w:t>-b</w:t>
            </w:r>
            <w:r>
              <w:t>e</w:t>
            </w:r>
            <w:r w:rsidRPr="003A0F85">
              <w:t>n a magyarországi belföldi villamosenergia-fogyasztás összesen 4</w:t>
            </w:r>
            <w:r>
              <w:t>8,874</w:t>
            </w:r>
            <w:r w:rsidRPr="003A0F85">
              <w:t xml:space="preserve"> GWh volt, </w:t>
            </w:r>
            <w:r>
              <w:t>melybe a 3,052 GWh hálózati veszteség és 1,972 GWh önfogyasztás is beleértendő</w:t>
            </w:r>
            <w:r w:rsidRPr="003A0F85">
              <w:t xml:space="preserve">. Az ország villamosenergia-igénye </w:t>
            </w:r>
            <w:r>
              <w:t xml:space="preserve">szinte </w:t>
            </w:r>
            <w:r w:rsidRPr="003A0F85">
              <w:t>folyamatosan növekszik (a koronavírus-járvány miatt enyhén megtört a trend), amit az alábbi ábra is jól mutat.</w:t>
            </w:r>
          </w:p>
          <w:p w14:paraId="69EE97A1" w14:textId="77777777" w:rsidR="00BC5377" w:rsidRDefault="00BC5377" w:rsidP="00BC5377">
            <w:pPr>
              <w:keepNext/>
              <w:jc w:val="center"/>
            </w:pPr>
            <w:r w:rsidRPr="00B07E3F">
              <w:rPr>
                <w:noProof/>
                <w:shd w:val="clear" w:color="auto" w:fill="D9D9D9" w:themeFill="background1" w:themeFillShade="D9"/>
                <w:lang w:eastAsia="hu-HU"/>
              </w:rPr>
              <w:drawing>
                <wp:inline distT="0" distB="0" distL="0" distR="0" wp14:anchorId="3C69DAA6" wp14:editId="57798AC8">
                  <wp:extent cx="4572000" cy="1999397"/>
                  <wp:effectExtent l="0" t="0" r="0" b="1270"/>
                  <wp:docPr id="1" name="Diagram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387107A-EC37-DE3D-FFDD-5F2B2A9A7B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13BDF86" w14:textId="55574893" w:rsidR="00BC5377" w:rsidRDefault="00BC5377" w:rsidP="00BC5377">
            <w:pPr>
              <w:pStyle w:val="Kpalrs"/>
              <w:jc w:val="center"/>
            </w:pPr>
            <w:r>
              <w:fldChar w:fldCharType="begin"/>
            </w:r>
            <w:r>
              <w:instrText xml:space="preserve"> SEQ Táblázat \* ARABIC </w:instrText>
            </w:r>
            <w:r>
              <w:fldChar w:fldCharType="separate"/>
            </w:r>
            <w:r w:rsidR="009175BF">
              <w:rPr>
                <w:noProof/>
              </w:rPr>
              <w:t>1</w:t>
            </w:r>
            <w:r>
              <w:fldChar w:fldCharType="end"/>
            </w:r>
            <w:r>
              <w:t xml:space="preserve">. Táblázat: </w:t>
            </w:r>
            <w:r w:rsidRPr="00F12D40">
              <w:t xml:space="preserve">Éves belföldi villamosenergia-felhasználás, </w:t>
            </w:r>
            <w:r>
              <w:br/>
            </w:r>
            <w:r w:rsidRPr="00F12D40">
              <w:t>forrás: MEKH</w:t>
            </w:r>
            <w:r>
              <w:t xml:space="preserve">, </w:t>
            </w:r>
            <w:r w:rsidRPr="00F12D40">
              <w:t>2014-2021</w:t>
            </w:r>
            <w:r>
              <w:t>.</w:t>
            </w:r>
          </w:p>
          <w:p w14:paraId="70FAB799" w14:textId="77777777" w:rsidR="00BC5377" w:rsidRDefault="00BC5377" w:rsidP="00BC5377">
            <w:r w:rsidRPr="00F12D40">
              <w:t>A Nemzeti Energiastratégia 2030</w:t>
            </w:r>
            <w:r>
              <w:rPr>
                <w:rStyle w:val="Lbjegyzet-hivatkozs"/>
              </w:rPr>
              <w:footnoteReference w:id="23"/>
            </w:r>
            <w:r w:rsidRPr="00F12D40">
              <w:t xml:space="preserve">  előre vetíti a villamosenergia-fogyasztás jövőbeli lehetséges alakulását, az előrejelzések szerint folyamatos növekedés várható, 2030-ra 57.839 GWh, 2040-re már 66.681 GWh mennyiségű fogyasztást becsül a stratégia, ami a 2020-as értékhez képest 43%-nyi többletigényt jelent.</w:t>
            </w:r>
          </w:p>
          <w:p w14:paraId="1FC8AD6F" w14:textId="77777777" w:rsidR="00BC5377" w:rsidRDefault="00BC5377" w:rsidP="00BC5377">
            <w:pPr>
              <w:rPr>
                <w:u w:val="single"/>
              </w:rPr>
            </w:pPr>
            <w:r>
              <w:rPr>
                <w:u w:val="single"/>
              </w:rPr>
              <w:t>Villamosenergia-termelés</w:t>
            </w:r>
          </w:p>
          <w:p w14:paraId="70B23A69" w14:textId="77777777" w:rsidR="00BC5377" w:rsidRPr="00C57AC8" w:rsidRDefault="00BC5377" w:rsidP="00BC5377">
            <w:r w:rsidRPr="00C57AC8">
              <w:t>Szintén a MEKH statisztikái szerint Magyarország villamosenergia-termelése 202</w:t>
            </w:r>
            <w:r>
              <w:t>1</w:t>
            </w:r>
            <w:r w:rsidRPr="00C57AC8">
              <w:t>-r</w:t>
            </w:r>
            <w:r>
              <w:t>e</w:t>
            </w:r>
            <w:r w:rsidRPr="00C57AC8">
              <w:t xml:space="preserve"> </w:t>
            </w:r>
            <w:r>
              <w:t>elérte a</w:t>
            </w:r>
            <w:r w:rsidRPr="00C57AC8">
              <w:t xml:space="preserve"> 3</w:t>
            </w:r>
            <w:r>
              <w:t>6 120 </w:t>
            </w:r>
            <w:r w:rsidRPr="00C57AC8">
              <w:t>GWh</w:t>
            </w:r>
            <w:r>
              <w:t>-t</w:t>
            </w:r>
            <w:r w:rsidRPr="00C57AC8">
              <w:t>. A megtermelt energia mennyisége évről-évre nagyobb – a 2021-es érték a 2014-ben előállított mennyiség 122%-a.</w:t>
            </w:r>
          </w:p>
          <w:p w14:paraId="0077CC1A" w14:textId="77777777" w:rsidR="00BC5377" w:rsidRDefault="00BC5377" w:rsidP="00BC5377">
            <w:r w:rsidRPr="004750C6">
              <w:t>A fokozódó energiaigény növekményének kiszolgálását nem az import fedezi, hiszen az elmúlt éveksorán értéke konzisztens: 18-20 ezer GWh között mozgott 2014 és 2021 között. A stabilitás egyébként elmondható az energiaexportra is, kisebb volumenben: a fenti időszakban – 2018-at kivéve – 5-7,5 ezer GWh közti összérték volt jellemző. Hozzáteendő, hogy a napenergia jelentős erősödése (2019-től) javította az importarányt, valamint hozzájárult Magyarország energiafüggőségének mérsékléséhez.</w:t>
            </w:r>
          </w:p>
          <w:p w14:paraId="0EDDC1F6" w14:textId="77777777" w:rsidR="00BC5377" w:rsidRDefault="00BC5377" w:rsidP="00BC5377">
            <w:pPr>
              <w:keepNext/>
              <w:jc w:val="center"/>
            </w:pPr>
            <w:r>
              <w:rPr>
                <w:noProof/>
                <w:lang w:eastAsia="hu-HU"/>
              </w:rPr>
              <w:lastRenderedPageBreak/>
              <w:drawing>
                <wp:inline distT="0" distB="0" distL="0" distR="0" wp14:anchorId="4B2F2799" wp14:editId="0CEABE34">
                  <wp:extent cx="4838700" cy="2689225"/>
                  <wp:effectExtent l="0" t="0" r="0" b="15875"/>
                  <wp:docPr id="6" name="Diagram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F6DD81-4BE3-991B-DCCF-720423D596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C66BCE7" w14:textId="716FE120" w:rsidR="00BC5377" w:rsidRDefault="00BC5377" w:rsidP="00BC5377">
            <w:pPr>
              <w:pStyle w:val="Kpalrs"/>
              <w:jc w:val="center"/>
            </w:pPr>
            <w:r>
              <w:fldChar w:fldCharType="begin"/>
            </w:r>
            <w:r>
              <w:instrText xml:space="preserve"> SEQ Táblázat \* ARABIC </w:instrText>
            </w:r>
            <w:r>
              <w:fldChar w:fldCharType="separate"/>
            </w:r>
            <w:r w:rsidR="009175BF">
              <w:rPr>
                <w:noProof/>
              </w:rPr>
              <w:t>2</w:t>
            </w:r>
            <w:r>
              <w:fldChar w:fldCharType="end"/>
            </w:r>
            <w:r>
              <w:t xml:space="preserve">. Táblázat: </w:t>
            </w:r>
            <w:r w:rsidRPr="00382249">
              <w:t xml:space="preserve">A bruttó villamosenergia-termelés és az energiaimport, -export alakulása Magyarországon, </w:t>
            </w:r>
            <w:r>
              <w:br/>
            </w:r>
            <w:r w:rsidRPr="00382249">
              <w:t>forrás: MEKH</w:t>
            </w:r>
            <w:r>
              <w:t xml:space="preserve">, </w:t>
            </w:r>
            <w:r w:rsidRPr="00382249">
              <w:t>2014-2021</w:t>
            </w:r>
            <w:r>
              <w:t>.</w:t>
            </w:r>
          </w:p>
          <w:p w14:paraId="097AE430" w14:textId="47085150" w:rsidR="008317C1" w:rsidRDefault="008317C1" w:rsidP="008317C1">
            <w:pPr>
              <w:rPr>
                <w:u w:val="single"/>
              </w:rPr>
            </w:pPr>
            <w:r w:rsidRPr="004750C6">
              <w:rPr>
                <w:u w:val="single"/>
              </w:rPr>
              <w:t xml:space="preserve">Magyarország </w:t>
            </w:r>
            <w:r w:rsidR="00BC5377">
              <w:rPr>
                <w:u w:val="single"/>
              </w:rPr>
              <w:t>villamos</w:t>
            </w:r>
            <w:r w:rsidRPr="004750C6">
              <w:rPr>
                <w:u w:val="single"/>
              </w:rPr>
              <w:t>energia</w:t>
            </w:r>
            <w:r w:rsidR="00BC5377">
              <w:rPr>
                <w:u w:val="single"/>
              </w:rPr>
              <w:t>-</w:t>
            </w:r>
            <w:r w:rsidRPr="004750C6">
              <w:rPr>
                <w:u w:val="single"/>
              </w:rPr>
              <w:t>mixe</w:t>
            </w:r>
          </w:p>
          <w:p w14:paraId="4A90C367" w14:textId="2207F875" w:rsidR="008317C1" w:rsidRDefault="008317C1" w:rsidP="008317C1">
            <w:r w:rsidRPr="004750C6">
              <w:t xml:space="preserve">Az energiamix megmutatja, hogy az adott ország milyen forrásokból állítja elő villamosenergiáját; az elmúlt évek során (2020-ig) a három </w:t>
            </w:r>
            <w:r>
              <w:t>legjelentősebb forrás</w:t>
            </w:r>
            <w:r w:rsidRPr="004750C6">
              <w:t xml:space="preserve"> rendre ugyanaz volt. A MEKH 2020-as adatai – az ábrán is láthatóan – szerint 46%-ért felel a paksi atomerőmű, megközelítőleg az energia-előállítás negyedét a földgáz fedezi, míg 11% a szénhez köthető. 2020 volt az első év, amikor a napenergia (7%) aránya meghaladta a biomassza és biogáz (6%) részesedését. A napenergia erősödése egyértelmű, ami a 2021-es adatok szerint már a harmadik legfontosabb (11%-kal) energiaforrás lesz hazánkban felváltva a sz</w:t>
            </w:r>
            <w:r w:rsidR="00CA513C">
              <w:t>enet</w:t>
            </w:r>
            <w:r w:rsidRPr="004750C6">
              <w:t xml:space="preserve"> és széntermékeket.</w:t>
            </w:r>
          </w:p>
          <w:p w14:paraId="730EF8F4" w14:textId="4BD4D965" w:rsidR="00BC5377" w:rsidRDefault="008317C1" w:rsidP="00BC5377">
            <w:r>
              <w:rPr>
                <w:noProof/>
                <w:lang w:eastAsia="hu-HU"/>
              </w:rPr>
              <w:drawing>
                <wp:anchor distT="0" distB="0" distL="114300" distR="114300" simplePos="0" relativeHeight="251671552" behindDoc="0" locked="0" layoutInCell="1" allowOverlap="1" wp14:anchorId="491EFF2D" wp14:editId="03BFAF5E">
                  <wp:simplePos x="0" y="0"/>
                  <wp:positionH relativeFrom="column">
                    <wp:posOffset>2914896</wp:posOffset>
                  </wp:positionH>
                  <wp:positionV relativeFrom="paragraph">
                    <wp:posOffset>-995</wp:posOffset>
                  </wp:positionV>
                  <wp:extent cx="2760345" cy="2771775"/>
                  <wp:effectExtent l="0" t="0" r="1905" b="9525"/>
                  <wp:wrapNone/>
                  <wp:docPr id="8" name="Diagram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A9174B3-8B6F-791E-96FF-67A8E381B5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Pr="00181D5F">
              <w:rPr>
                <w:noProof/>
                <w:szCs w:val="18"/>
                <w:lang w:eastAsia="hu-HU"/>
              </w:rPr>
              <w:drawing>
                <wp:inline distT="0" distB="0" distL="0" distR="0" wp14:anchorId="6597FAE7" wp14:editId="06F65A96">
                  <wp:extent cx="2880000" cy="2772000"/>
                  <wp:effectExtent l="0" t="0" r="15875" b="9525"/>
                  <wp:docPr id="9" name="Diagram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735D10D-E8B6-4942-9466-F8C24ACCD6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2CBA368" w14:textId="518D734D" w:rsidR="008317C1" w:rsidRDefault="00BC5377" w:rsidP="00BC5377">
            <w:pPr>
              <w:pStyle w:val="Kpalrs"/>
              <w:jc w:val="center"/>
            </w:pPr>
            <w:r>
              <w:fldChar w:fldCharType="begin"/>
            </w:r>
            <w:r>
              <w:instrText xml:space="preserve"> SEQ Ábra: \* ARABIC </w:instrText>
            </w:r>
            <w:r>
              <w:fldChar w:fldCharType="separate"/>
            </w:r>
            <w:r w:rsidR="009175BF">
              <w:rPr>
                <w:noProof/>
              </w:rPr>
              <w:t>1</w:t>
            </w:r>
            <w:r>
              <w:fldChar w:fldCharType="end"/>
            </w:r>
            <w:r>
              <w:t>. Ábra:</w:t>
            </w:r>
            <w:r w:rsidRPr="00EC0972">
              <w:t xml:space="preserve"> Magyarország energiamixe</w:t>
            </w:r>
            <w:r>
              <w:rPr>
                <w:rStyle w:val="Lbjegyzet-hivatkozs"/>
              </w:rPr>
              <w:footnoteReference w:id="24"/>
            </w:r>
            <w:r>
              <w:br/>
            </w:r>
            <w:r w:rsidRPr="00EC0972">
              <w:t>forrás: MEKH</w:t>
            </w:r>
            <w:r>
              <w:t xml:space="preserve">, </w:t>
            </w:r>
            <w:r w:rsidRPr="00EC0972">
              <w:t>2020 és 2021</w:t>
            </w:r>
          </w:p>
          <w:p w14:paraId="71860A31" w14:textId="77777777" w:rsidR="00BC5377" w:rsidRDefault="008317C1" w:rsidP="00BC5377">
            <w:r w:rsidRPr="00EC0972">
              <w:t>2014-től jelentős változások figyelhetőek meg a négy legfontosabb energiaforrásban – amire már korábban is utalás történt. Ez elsősorban a megújuló napenergia (főként 2018-2019-re datálható a „berobbanása”) és a földgáz erősödésének köszönhető, illetve a szén mérséklődő szerepének.</w:t>
            </w:r>
          </w:p>
          <w:p w14:paraId="4EBCDE95" w14:textId="3E41FDE6" w:rsidR="00BC5377" w:rsidRDefault="008317C1" w:rsidP="00BC5377">
            <w:pPr>
              <w:jc w:val="center"/>
            </w:pPr>
            <w:r>
              <w:rPr>
                <w:noProof/>
                <w:lang w:eastAsia="hu-HU"/>
              </w:rPr>
              <w:lastRenderedPageBreak/>
              <w:drawing>
                <wp:inline distT="0" distB="0" distL="0" distR="0" wp14:anchorId="06A695C1" wp14:editId="768BAB80">
                  <wp:extent cx="4572000" cy="2210937"/>
                  <wp:effectExtent l="0" t="0" r="0" b="18415"/>
                  <wp:docPr id="10" name="Diagram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EF0FFAA-6495-C817-7C73-887B286A58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5E68F95" w14:textId="1273EE04" w:rsidR="008317C1" w:rsidRDefault="00BC5377" w:rsidP="00BC5377">
            <w:pPr>
              <w:pStyle w:val="Kpalrs"/>
              <w:jc w:val="center"/>
            </w:pPr>
            <w:r>
              <w:fldChar w:fldCharType="begin"/>
            </w:r>
            <w:r>
              <w:instrText xml:space="preserve"> SEQ Ábra: \* ARABIC </w:instrText>
            </w:r>
            <w:r>
              <w:fldChar w:fldCharType="separate"/>
            </w:r>
            <w:r w:rsidR="009175BF">
              <w:rPr>
                <w:noProof/>
              </w:rPr>
              <w:t>2</w:t>
            </w:r>
            <w:r>
              <w:fldChar w:fldCharType="end"/>
            </w:r>
            <w:r>
              <w:t xml:space="preserve">. Ábra: </w:t>
            </w:r>
            <w:r w:rsidR="008317C1" w:rsidRPr="006B03F3">
              <w:t>A négy legfontosabb energiaforrás alakulása 2014-2021 között</w:t>
            </w:r>
            <w:r w:rsidR="008317C1">
              <w:br/>
            </w:r>
            <w:r w:rsidR="008317C1" w:rsidRPr="006B03F3">
              <w:t>forrás: MEKH</w:t>
            </w:r>
          </w:p>
          <w:p w14:paraId="6ECF8638" w14:textId="6CCDED60" w:rsidR="008317C1" w:rsidRDefault="008317C1" w:rsidP="008317C1">
            <w:r w:rsidRPr="008317C1">
              <w:t>A magyarországi napenergia-piac lendületes fejlődése prognosztizálható volt egészen egy egészen friss fejleményig: a MAVIR (Magyar Villamosenergia-ipari Átviteli Rendszerirányító Zrt.) 2022. május 10-én közleményében naperőmű csatlakozási stopot hirdetett: „A villamosenergiáról szóló 2007. évi LXXXVI. törvény (Vet.) 35.§ (8) bekezdés alapján a hálózati engedélyesek 2022. május 2-án közzétették a nagyfeszültségű és a nagy/középfeszültségű transzformátorállomásokhoz rendelt aktuális szabad kapacitásokat 0 megavoltamper (MVA) mértékben. Az érvényes jogszabályi előírások alapján, az átviteli rendszerirányító, a villamosenergia-rendszer teljesítmény-egyensúlyának és a kiegyenlítő szabályozási kapacitásoknak a biztosíthatósága szempontjából a villamosenergia-rendszerbe befogadható időjárásfüggő erőművi kapacitás mértékét (korlátját) ugyancsak 0 MVA-ban állapítja meg. A már befogadott csatlakozási igényeken túl, újabb csatlakozási igény egyedi eljárás keretében, valamint az időjárásfüggő erőművek esetén a jogszabályi előírások szerinti, úgynevezett mentességi feltételek vállalása esetén fogadható be.”</w:t>
            </w:r>
          </w:p>
          <w:p w14:paraId="33186A18" w14:textId="5F25DDDE" w:rsidR="00B07E3F" w:rsidRPr="008317C1" w:rsidRDefault="00B07E3F" w:rsidP="008317C1">
            <w:r w:rsidRPr="00B07E3F">
              <w:t xml:space="preserve">Ez a fejlemény gyakorlatilag azt jelentette, hogy Magyarországon </w:t>
            </w:r>
            <w:r w:rsidR="00F62023">
              <w:t xml:space="preserve">már </w:t>
            </w:r>
            <w:r w:rsidRPr="00B07E3F">
              <w:t xml:space="preserve">nem lehetett pénzügyi szempontból megtérülő kereskedelmi célú naperőművet telepíteni. Ezt a helyzetet súlyosbította egy </w:t>
            </w:r>
            <w:r>
              <w:t>újabb</w:t>
            </w:r>
            <w:r w:rsidRPr="00B07E3F">
              <w:t xml:space="preserve"> rendelet. A 413/2022. (X. 26.) Korm. rendelet kijelentette, hogy a „villamos energiáról szóló 2007. évi LXXXVI. törvény egyes rendelkezéseinek végrehajtásáról szóló 273/2007.  (X.  19.) Korm. rendelet 5. § (4)–(6) bekezdésében foglalt rendelkezésektől eltérően csak az a háztartási méretű kiserőmű helyezhető üzembe, amely kizárólag saját villamosenergia-fogyasztásának kielégítése érdekében termel villamos energiát, az  így üzembe helyezett háztartási méretű kiserőművek közcélú hálózatba történő feltáplálásának lehetősége ideiglenesen felfüggesztésre kerül. </w:t>
            </w:r>
            <w:r w:rsidR="00D377C7">
              <w:t>A</w:t>
            </w:r>
            <w:r w:rsidRPr="00B07E3F">
              <w:t xml:space="preserve"> koncepcióban szereplő napelemes rendszerek kizárólag saját fogyasztást fedezhetnek a jogszabály módosulásáig.  Az ideiglenes felfüggesztés megszüntetésére és a megszüntetés ütemezésére a közcélú hálózat- és rendszerfejlesztés függvényében a Magyar Energetikai és Közmű-szabályozási Hivatal tehet javaslatot a technológiai és ipari miniszter részére, aki az ideiglenes felfüggesztés megszüntetésének időpontjáról és ütemezéséről rendeletben határoz majd.</w:t>
            </w:r>
          </w:p>
          <w:p w14:paraId="2EDEB424" w14:textId="5F340B6A" w:rsidR="00D377C7" w:rsidRPr="00D377C7" w:rsidRDefault="00D377C7" w:rsidP="00D377C7">
            <w:r w:rsidRPr="00D377C7">
              <w:t xml:space="preserve">A hazai villamosenergia-rendszer napjainkban megközelítőleg 3000 MW ipari és háztartási napenergia kapacitással rendelkezik, melynek mértéke várhatóan erősen fog növekedni – az elmúlt öt évben megtízszereződött a beépített napelemek összes kapacitása. A hálózati engedélyesek a meglévő megújuló kapacitásokon túl legalább 5000 MW megújuló csatlakozási igényt tartanak nyilván. A Technológiai és Ipari Minisztérium 2030-ig 12 GW teljesítményű napelemes kapacitással számol országosan, míg Budapest 1,5 GW napelemes kapacitást szeretne kiépíteni. Ebből fakadóan </w:t>
            </w:r>
            <w:r w:rsidRPr="00D377C7">
              <w:lastRenderedPageBreak/>
              <w:t>mind országos, mind fővárosi szinten látható a politikai szándék az említett kapacitások kiépítésére. Azonban a megfelelő működés és energiaellátás érdekében feltétlenül szükséges a rendszer infrastruktúrájának és rugalmasságának javítása, a hálózatfejlesztés.</w:t>
            </w:r>
          </w:p>
          <w:p w14:paraId="65C83867" w14:textId="616D1694" w:rsidR="008317C1" w:rsidRDefault="00D377C7" w:rsidP="00D377C7">
            <w:r w:rsidRPr="00D377C7">
              <w:t>Az infrastruktúrafejlesztés azért is (lesz) kiemelten fontos, mert az Európai Unió minden eddiginél ambiciózusabb tervvel állt elő a zöld átállás felgyorsítására. Az Európai Bizottság 2022. május 18-án terjesztette elő a REPowerEu tervet, amely úgy állít fel nagy terveket, hogy közben 2027-ig függetleníteni az uniót az orosz energiaforrásoktól. A grandiózus terv várhatóan 210 milliárd euró addicionális forrást igényel, és négy fő területre fókuszál:</w:t>
            </w:r>
          </w:p>
          <w:p w14:paraId="2213AA59" w14:textId="7EE13A7D" w:rsidR="00950E30" w:rsidRPr="00950E30" w:rsidRDefault="00950E30" w:rsidP="009C6CD0">
            <w:pPr>
              <w:pStyle w:val="Listaszerbekezds"/>
              <w:numPr>
                <w:ilvl w:val="0"/>
                <w:numId w:val="10"/>
              </w:numPr>
            </w:pPr>
            <w:r w:rsidRPr="00950E30">
              <w:t>A fosszilistüzelőanyag-fogyasztás csökkentése az iparban és a közlekedésben;</w:t>
            </w:r>
          </w:p>
          <w:p w14:paraId="677AEF19" w14:textId="5621A849" w:rsidR="00950E30" w:rsidRPr="00950E30" w:rsidRDefault="00950E30" w:rsidP="009C6CD0">
            <w:pPr>
              <w:pStyle w:val="Listaszerbekezds"/>
              <w:numPr>
                <w:ilvl w:val="0"/>
                <w:numId w:val="10"/>
              </w:numPr>
            </w:pPr>
            <w:r w:rsidRPr="00950E30">
              <w:t>Az ellátás diverzifikálása és nemzetközi partnerek támogatása;</w:t>
            </w:r>
          </w:p>
          <w:p w14:paraId="723378F5" w14:textId="4B63CE47" w:rsidR="00950E30" w:rsidRPr="00950E30" w:rsidRDefault="00950E30" w:rsidP="009C6CD0">
            <w:pPr>
              <w:pStyle w:val="Listaszerbekezds"/>
              <w:numPr>
                <w:ilvl w:val="0"/>
                <w:numId w:val="10"/>
              </w:numPr>
            </w:pPr>
            <w:r w:rsidRPr="00950E30">
              <w:t>Energiatakarékosság és energiamegtakarítás;</w:t>
            </w:r>
          </w:p>
          <w:p w14:paraId="31081EB5" w14:textId="7553FCED" w:rsidR="00950E30" w:rsidRDefault="00950E30" w:rsidP="009C6CD0">
            <w:pPr>
              <w:pStyle w:val="Listaszerbekezds"/>
              <w:numPr>
                <w:ilvl w:val="0"/>
                <w:numId w:val="10"/>
              </w:numPr>
            </w:pPr>
            <w:r w:rsidRPr="00950E30">
              <w:t>A megújuló energiaforrások elterjedésének felgyorsítása.</w:t>
            </w:r>
          </w:p>
          <w:p w14:paraId="321B19BE" w14:textId="15B06085" w:rsidR="00950E30" w:rsidRDefault="00950E30" w:rsidP="00950E30">
            <w:r w:rsidRPr="00950E30">
              <w:t>Az utolsó ponthoz kapcsolódik, hogy a megújuló energiaforrások arányát a teljes energiamixen belül 45%-ra emelnék 2030-ig, ami már a tavaly nyáron meghatározottnál is magasabb érték. A cél elér</w:t>
            </w:r>
            <w:r w:rsidR="00E01A78">
              <w:t>é</w:t>
            </w:r>
            <w:r w:rsidRPr="00950E30">
              <w:t>sében kiemelt szerepet kap a napenergia, amelyet az EU első napenergia-stratégiája támogat. Ennek értelmében 2025-ig 320 GW-ra bővítené az unió a fotovoltaikus kapacitását, míg 2030-ra már 600 GW-ra. Ezek eléréséhez a napenergia-stratégia négy ajánlást mutat be, amiből egy kulcsfontosságú jelen koncepció szempontjából: a Solar Rooftop Initiative (Napelemes Tető Kezdeményezés). Azért is lényeges ez az elem, mert számítások szerint az EU-ban lévő ingatlanok tetőfelületére telepíthető napelemes rendszerek a közösség villamosenergia-fogyasztásának közel 25%-át is képesek lehetnek fedezni (ami meghaladja a földgáz arányát). A kezdeményezés legelemibb pontja, hogy a napelemek ingatlanokra való telepítését fokozatosan kötelezné:</w:t>
            </w:r>
          </w:p>
          <w:p w14:paraId="146926E3" w14:textId="6DB2C846" w:rsidR="00B541F5" w:rsidRPr="00B541F5" w:rsidRDefault="00B541F5" w:rsidP="009C6CD0">
            <w:pPr>
              <w:pStyle w:val="Listaszerbekezds"/>
              <w:numPr>
                <w:ilvl w:val="0"/>
                <w:numId w:val="11"/>
              </w:numPr>
            </w:pPr>
            <w:r w:rsidRPr="00B541F5">
              <w:t>2026-ig minden új, 250 négyzetméternél nagyobb hasznos alapterületű középület és kereskedelmi épület esetében;</w:t>
            </w:r>
          </w:p>
          <w:p w14:paraId="2105887E" w14:textId="447F3DFA" w:rsidR="00B541F5" w:rsidRPr="00B541F5" w:rsidRDefault="00B541F5" w:rsidP="009C6CD0">
            <w:pPr>
              <w:pStyle w:val="Listaszerbekezds"/>
              <w:numPr>
                <w:ilvl w:val="0"/>
                <w:numId w:val="11"/>
              </w:numPr>
            </w:pPr>
            <w:r w:rsidRPr="00B541F5">
              <w:t>2027-ig minden meglévő, 250 négyzetméternél nagyobb hasznos alapterületű középület és kereskedelmi épület számára;</w:t>
            </w:r>
          </w:p>
          <w:p w14:paraId="5EF3D24C" w14:textId="657D22F2" w:rsidR="00B541F5" w:rsidRDefault="00B541F5" w:rsidP="009C6CD0">
            <w:pPr>
              <w:pStyle w:val="Listaszerbekezds"/>
              <w:numPr>
                <w:ilvl w:val="0"/>
                <w:numId w:val="11"/>
              </w:numPr>
            </w:pPr>
            <w:r w:rsidRPr="00B541F5">
              <w:t>2029-ig minden új lakóépületen.</w:t>
            </w:r>
          </w:p>
          <w:p w14:paraId="2B2E01A3" w14:textId="4E281D03" w:rsidR="00B541F5" w:rsidRPr="00B541F5" w:rsidRDefault="00B541F5" w:rsidP="00B541F5">
            <w:r w:rsidRPr="00B541F5">
              <w:t>A napelemek terjedését olyan megoldásokkal is támogatnák továbbá, mint az engedélyeztetési folyamat maximalizálása (3 hónap), valamint az új épületek tervezési metódusának „napelem-pozitív” szemléletű megváltoztatása (besugárzási adottságok figyelembevétele, napenergia-potenciál legmagasabb kihasználása).</w:t>
            </w:r>
          </w:p>
          <w:p w14:paraId="0CB29A26" w14:textId="1F01A4A8" w:rsidR="00B541F5" w:rsidRPr="00B541F5" w:rsidRDefault="00B541F5" w:rsidP="00B541F5">
            <w:r w:rsidRPr="00B541F5">
              <w:t>Az Európai Unió ezen ambiciózus céljainak megvalósításához jelen koncepció elképzelései is hozzájárulnak, így remélhetőleg a jövőben nem lesznek olyan jogszabályi vagy infrastrukturális akadályok, amik hazánkban akadályoznák a megújulók – és így a napenergia – előretörését.</w:t>
            </w:r>
          </w:p>
          <w:p w14:paraId="2E87E711" w14:textId="77777777" w:rsidR="008317C1" w:rsidRPr="008317C1" w:rsidRDefault="008317C1" w:rsidP="008317C1"/>
          <w:p w14:paraId="1057E67F" w14:textId="360B7D3C" w:rsidR="008317C1" w:rsidRDefault="00BC5377" w:rsidP="00B541F5">
            <w:pPr>
              <w:pStyle w:val="Cmsor3"/>
              <w:outlineLvl w:val="2"/>
            </w:pPr>
            <w:bookmarkStart w:id="9" w:name="_Toc133510162"/>
            <w:r>
              <w:t>Magyar f</w:t>
            </w:r>
            <w:r w:rsidR="008317C1" w:rsidRPr="00BC5377">
              <w:t>öldgáz</w:t>
            </w:r>
            <w:r w:rsidRPr="00BC5377">
              <w:t>piac</w:t>
            </w:r>
            <w:bookmarkEnd w:id="9"/>
          </w:p>
          <w:p w14:paraId="71D03133" w14:textId="5CAD962E" w:rsidR="009D310E" w:rsidRPr="009D310E" w:rsidRDefault="009D310E" w:rsidP="009D310E">
            <w:r>
              <w:t xml:space="preserve">A földgáz jelenti az </w:t>
            </w:r>
            <w:r w:rsidRPr="009D310E">
              <w:t xml:space="preserve">egyik </w:t>
            </w:r>
            <w:r>
              <w:t>legfontosabb</w:t>
            </w:r>
            <w:r w:rsidRPr="009D310E">
              <w:t xml:space="preserve"> </w:t>
            </w:r>
            <w:r>
              <w:t>komponensét</w:t>
            </w:r>
            <w:r w:rsidRPr="009D310E">
              <w:t xml:space="preserve"> a Magyarországon és Európában tomboló energiaválság</w:t>
            </w:r>
            <w:r>
              <w:t xml:space="preserve">nak, amely </w:t>
            </w:r>
            <w:r w:rsidRPr="009D310E">
              <w:t>egyenes következménye az orosz-ukrán háborúnak. Magyarország azonban jobban érintett az európai átlagnál: mivel az elmúlt időszakban nem fordított kellő hangsúlyt az energetikai függetlenség kiépítésére, illetve a függőségi viszony még erősebbé vált az orosz energiahordozóktól</w:t>
            </w:r>
            <w:r>
              <w:t xml:space="preserve"> a közelmúltban</w:t>
            </w:r>
            <w:r w:rsidRPr="009D310E">
              <w:t>.</w:t>
            </w:r>
          </w:p>
          <w:p w14:paraId="647C70E5" w14:textId="040BA7B9" w:rsidR="008317C1" w:rsidRPr="00BC5377" w:rsidRDefault="00BC5377" w:rsidP="002E3B52">
            <w:pPr>
              <w:rPr>
                <w:u w:val="single"/>
              </w:rPr>
            </w:pPr>
            <w:r>
              <w:rPr>
                <w:u w:val="single"/>
              </w:rPr>
              <w:t>Földgáz fogyasztás</w:t>
            </w:r>
          </w:p>
          <w:p w14:paraId="73EE6DEC" w14:textId="0793374F" w:rsidR="00BC5377" w:rsidRPr="00DD7092" w:rsidRDefault="00DD7092" w:rsidP="002E3B52">
            <w:r>
              <w:lastRenderedPageBreak/>
              <w:t xml:space="preserve">A magyar háztartások 73,2%-a, azaz </w:t>
            </w:r>
            <w:r w:rsidRPr="00DD7092">
              <w:t>3 301</w:t>
            </w:r>
            <w:r>
              <w:t> </w:t>
            </w:r>
            <w:r w:rsidRPr="00DD7092">
              <w:t>882</w:t>
            </w:r>
            <w:r>
              <w:t xml:space="preserve"> háztartás fogyaszt földgázt. Egy </w:t>
            </w:r>
            <w:r w:rsidRPr="00DD7092">
              <w:t>háztartási fogyasztóra jutó évi vezetékes gázfogyasztás</w:t>
            </w:r>
            <w:r>
              <w:t xml:space="preserve"> </w:t>
            </w:r>
            <w:r w:rsidRPr="00DD7092">
              <w:t>1 189,1</w:t>
            </w:r>
            <w:r>
              <w:t xml:space="preserve"> m</w:t>
            </w:r>
            <w:r>
              <w:rPr>
                <w:vertAlign w:val="superscript"/>
              </w:rPr>
              <w:t>3</w:t>
            </w:r>
            <w:r>
              <w:t>.</w:t>
            </w:r>
            <w:r w:rsidR="00C9536B">
              <w:rPr>
                <w:rStyle w:val="Lbjegyzet-hivatkozs"/>
              </w:rPr>
              <w:footnoteReference w:id="25"/>
            </w:r>
          </w:p>
          <w:p w14:paraId="52B6D3E4" w14:textId="1B8B8D17" w:rsidR="008317C1" w:rsidRDefault="008317C1" w:rsidP="002E3B52">
            <w:pPr>
              <w:rPr>
                <w:u w:val="single"/>
              </w:rPr>
            </w:pPr>
            <w:r>
              <w:rPr>
                <w:u w:val="single"/>
              </w:rPr>
              <w:t>Földgáz forrása</w:t>
            </w:r>
          </w:p>
          <w:p w14:paraId="00EB2A71" w14:textId="2713AC8B" w:rsidR="008317C1" w:rsidRDefault="00DD7092" w:rsidP="002E3B52">
            <w:r>
              <w:t xml:space="preserve">Magyarország </w:t>
            </w:r>
            <w:r w:rsidRPr="00DD7092">
              <w:t>48,9</w:t>
            </w:r>
            <w:r>
              <w:t xml:space="preserve"> PJ értékben termelt ki földgázt 2021-ben a KSH adatai szerint. A kitermelt földgáz fűtőértéke 2009 óta folyamatosan csökkent, közel felére esett (2009: 95,7 PJ).  </w:t>
            </w:r>
          </w:p>
          <w:p w14:paraId="335E20B3" w14:textId="77777777" w:rsidR="00434501" w:rsidRPr="008317C1" w:rsidRDefault="00434501" w:rsidP="002E3B52"/>
          <w:p w14:paraId="4C65A0EC" w14:textId="122E699A" w:rsidR="00EC0972" w:rsidRPr="00B541F5" w:rsidRDefault="00B541F5" w:rsidP="00B541F5">
            <w:pPr>
              <w:pStyle w:val="Cmsor3"/>
              <w:outlineLvl w:val="2"/>
            </w:pPr>
            <w:bookmarkStart w:id="10" w:name="_Toc133510163"/>
            <w:r w:rsidRPr="00B541F5">
              <w:t>Magyar energiapiac szereplői</w:t>
            </w:r>
            <w:bookmarkEnd w:id="10"/>
          </w:p>
          <w:p w14:paraId="2AB4C7D0" w14:textId="77777777" w:rsidR="00B541F5" w:rsidRPr="00B541F5" w:rsidRDefault="00B541F5" w:rsidP="00B541F5">
            <w:pPr>
              <w:rPr>
                <w:u w:val="single"/>
              </w:rPr>
            </w:pPr>
            <w:r w:rsidRPr="00B541F5">
              <w:rPr>
                <w:u w:val="single"/>
              </w:rPr>
              <w:t>MAVIR</w:t>
            </w:r>
          </w:p>
          <w:p w14:paraId="08BB1D0F" w14:textId="7462483B" w:rsidR="00EC0972" w:rsidRDefault="00B541F5" w:rsidP="00B541F5">
            <w:r w:rsidRPr="00B541F5">
              <w:t>A Magyar Villamosenergia-ipari Átviteli Rendszerirányító Zrt. 2006. január 1-től látja el a villamosenergia-rendszer irányítását, miután elődeinek összeolvadásával létrejött az új integrált átviteli rendszerirányító. A MAVIR kiemelkedően fontos szereppel bír, főbb feladataik a következők:</w:t>
            </w:r>
          </w:p>
          <w:p w14:paraId="13B5103F" w14:textId="063F6781" w:rsidR="00B541F5" w:rsidRPr="00B541F5" w:rsidRDefault="00B541F5" w:rsidP="009C6CD0">
            <w:pPr>
              <w:pStyle w:val="Listaszerbekezds"/>
              <w:numPr>
                <w:ilvl w:val="0"/>
                <w:numId w:val="10"/>
              </w:numPr>
            </w:pPr>
            <w:r w:rsidRPr="00B541F5">
              <w:t>villamosenergia-rendszer hatékony működésének irányítása;</w:t>
            </w:r>
          </w:p>
          <w:p w14:paraId="243D0200" w14:textId="5D1A0CFB" w:rsidR="00B541F5" w:rsidRPr="00B541F5" w:rsidRDefault="00B541F5" w:rsidP="009C6CD0">
            <w:pPr>
              <w:pStyle w:val="Listaszerbekezds"/>
              <w:numPr>
                <w:ilvl w:val="0"/>
                <w:numId w:val="10"/>
              </w:numPr>
            </w:pPr>
            <w:r w:rsidRPr="00B541F5">
              <w:t>megfelelő mennyiségű tartalékok biztosítása a hálózaton és az erőművekben;</w:t>
            </w:r>
          </w:p>
          <w:p w14:paraId="53828DEB" w14:textId="669178EF" w:rsidR="00B541F5" w:rsidRPr="00B541F5" w:rsidRDefault="00B541F5" w:rsidP="009C6CD0">
            <w:pPr>
              <w:pStyle w:val="Listaszerbekezds"/>
              <w:numPr>
                <w:ilvl w:val="0"/>
                <w:numId w:val="10"/>
              </w:numPr>
            </w:pPr>
            <w:r w:rsidRPr="00B541F5">
              <w:t>a működéshez kapcsolódó karbantartások, fejlesztések elvégzése;</w:t>
            </w:r>
          </w:p>
          <w:p w14:paraId="528B5AFE" w14:textId="785CF835" w:rsidR="00B541F5" w:rsidRPr="00B541F5" w:rsidRDefault="00B541F5" w:rsidP="009C6CD0">
            <w:pPr>
              <w:pStyle w:val="Listaszerbekezds"/>
              <w:numPr>
                <w:ilvl w:val="0"/>
                <w:numId w:val="10"/>
              </w:numPr>
            </w:pPr>
            <w:r w:rsidRPr="00B541F5">
              <w:t>a hálózati vagyon ellenőrzése és növelése;</w:t>
            </w:r>
          </w:p>
          <w:p w14:paraId="472EAE52" w14:textId="3A5BD0C4" w:rsidR="00B541F5" w:rsidRPr="00B541F5" w:rsidRDefault="00B541F5" w:rsidP="009C6CD0">
            <w:pPr>
              <w:pStyle w:val="Listaszerbekezds"/>
              <w:numPr>
                <w:ilvl w:val="0"/>
                <w:numId w:val="10"/>
              </w:numPr>
            </w:pPr>
            <w:r w:rsidRPr="00B541F5">
              <w:t>a villamosenergia-piac zavartalan működésének, valamint a rendszerhasználók számára egyenlő hozzáférés biztosítása;</w:t>
            </w:r>
          </w:p>
          <w:p w14:paraId="64E256C7" w14:textId="12353AF3" w:rsidR="00B541F5" w:rsidRPr="00B541F5" w:rsidRDefault="00B541F5" w:rsidP="009C6CD0">
            <w:pPr>
              <w:pStyle w:val="Listaszerbekezds"/>
              <w:numPr>
                <w:ilvl w:val="0"/>
                <w:numId w:val="10"/>
              </w:numPr>
            </w:pPr>
            <w:r w:rsidRPr="00B541F5">
              <w:t>a villamosenergia-ellátás szereplőitől kapott információk és adatok feldolgozása, összegzése;</w:t>
            </w:r>
          </w:p>
          <w:p w14:paraId="5A280C13" w14:textId="56054E9D" w:rsidR="00B541F5" w:rsidRPr="00B541F5" w:rsidRDefault="00B541F5" w:rsidP="009C6CD0">
            <w:pPr>
              <w:pStyle w:val="Listaszerbekezds"/>
              <w:numPr>
                <w:ilvl w:val="0"/>
                <w:numId w:val="10"/>
              </w:numPr>
            </w:pPr>
            <w:r w:rsidRPr="00B541F5">
              <w:t>szomszédos hálózatok működésének összehangolása a magyar villamosenergia-rendszerrel;</w:t>
            </w:r>
          </w:p>
          <w:p w14:paraId="4D641170" w14:textId="56F8486D" w:rsidR="00B541F5" w:rsidRPr="00B541F5" w:rsidRDefault="00B541F5" w:rsidP="009C6CD0">
            <w:pPr>
              <w:pStyle w:val="Listaszerbekezds"/>
              <w:numPr>
                <w:ilvl w:val="0"/>
                <w:numId w:val="10"/>
              </w:numPr>
            </w:pPr>
            <w:r w:rsidRPr="00B541F5">
              <w:t>a nemzetközi szakmai együttműködések irányítása;</w:t>
            </w:r>
          </w:p>
          <w:p w14:paraId="49198D90" w14:textId="3AFB8D51" w:rsidR="00EC0972" w:rsidRDefault="00B541F5" w:rsidP="009C6CD0">
            <w:pPr>
              <w:pStyle w:val="Listaszerbekezds"/>
              <w:numPr>
                <w:ilvl w:val="0"/>
                <w:numId w:val="10"/>
              </w:numPr>
            </w:pPr>
            <w:r w:rsidRPr="00B541F5">
              <w:t>az erőműpark fejlesztésére vonatkozó tervek és a hálózatfejlesztési stratégia elkészítése.</w:t>
            </w:r>
          </w:p>
          <w:p w14:paraId="22744EC4" w14:textId="77777777" w:rsidR="00B541F5" w:rsidRPr="00B541F5" w:rsidRDefault="00B541F5" w:rsidP="00B541F5">
            <w:pPr>
              <w:rPr>
                <w:u w:val="single"/>
              </w:rPr>
            </w:pPr>
            <w:r w:rsidRPr="00B541F5">
              <w:rPr>
                <w:u w:val="single"/>
              </w:rPr>
              <w:t>MEKH</w:t>
            </w:r>
          </w:p>
          <w:p w14:paraId="62FE7F4E" w14:textId="77777777" w:rsidR="00B541F5" w:rsidRPr="00B541F5" w:rsidRDefault="00B541F5" w:rsidP="00B541F5">
            <w:r w:rsidRPr="00B541F5">
              <w:t xml:space="preserve">A Magyar Energetikai és Közmű-szabályozási Hivatal (MEKH) mint rendeletalkotási jogkörrel felruházott önálló szabályozó szerv a 2013. évi XXII. törvénnyel jött létre, a Magyar Energetikai Hivatal (MEH) jogutódjaként. A MEKH a hazai energia- és közszolgáltatások piacának szabályozó hatósága, a nemzetgazdaság stratégiai jelentőségű ágazatait felügyeli. A Hivatal engedélyezési, felügyeleti, árszabályozási, ár- és díjelőkészítői feladatokat lát el a villamosenergia-, a földgáz- és a távhőellátás, illetve a víziközmű-szolgáltatás területén, valamint előkészíti a hulladékgazdálkodási közszolgáltatás díjszabását.  Az átalakítás illeszkedett az Európai Uniós ajánláshoz, megteremtve az erős piacszabályozó állami szerepvállalást. Tekintettel arra, hogy az új Hivatal az Országgyűlésnek tartozik beszámolással, csak törvény vagy törvényi felhatalmazás alapján kiadott jogszabály írhat elő feladatot számára, vezetőjét a Miniszterelnök nevezi ki, döntéseit a bíróságon nem, csak az Alkotmánybíróságon lehetséges jogorvoslatnak alávetni.  </w:t>
            </w:r>
          </w:p>
          <w:p w14:paraId="5866C5D3" w14:textId="77777777" w:rsidR="00B541F5" w:rsidRPr="00B541F5" w:rsidRDefault="00B541F5" w:rsidP="00B541F5">
            <w:pPr>
              <w:rPr>
                <w:u w:val="single"/>
              </w:rPr>
            </w:pPr>
            <w:r w:rsidRPr="00B541F5">
              <w:rPr>
                <w:u w:val="single"/>
              </w:rPr>
              <w:t>Villamosenergia-ipar szereplői</w:t>
            </w:r>
          </w:p>
          <w:p w14:paraId="79C01E78" w14:textId="77777777" w:rsidR="00B541F5" w:rsidRPr="00B541F5" w:rsidRDefault="00B541F5" w:rsidP="00B541F5">
            <w:r w:rsidRPr="00B541F5">
              <w:t>Magyarországon jelenleg egy egyetemes szolgáltató van, miután az MVM csoport 2022 februárjában az E.ON Áramszolgáltató Kft. megvásárlásával kizárólagos egyetemes szolgáltatóvá vált.</w:t>
            </w:r>
          </w:p>
          <w:p w14:paraId="5F691D16" w14:textId="6391D31F" w:rsidR="00B541F5" w:rsidRPr="00B541F5" w:rsidRDefault="00B541F5" w:rsidP="00B541F5">
            <w:r w:rsidRPr="00B541F5">
              <w:t xml:space="preserve">A hálózatüzemeltetők (vagy más néven elosztó hálózati engedélyesek) nélkülözhetetlen elemei a rendszernek, hiszen rajtuk keresztül jut el a villamosenergia a felhasználókhoz. Leglényegesebb feladatai közé tartozik a hálózat karbantartása és fejlesztése, a csatlakozási pontokon felszerelt mérők üzemeltetése és leolvasása, illetve a termelők által a hálózatba betáplált és a kereskedők által vásárolt villamosenergia eljuttatása a fogyasztó csatlakozási pontokra. Magyarországon </w:t>
            </w:r>
            <w:r w:rsidR="00A24042">
              <w:t>2023 márciusában</w:t>
            </w:r>
            <w:r w:rsidRPr="00B541F5">
              <w:t xml:space="preserve"> 6 elosztó hálózati engedélyes cég működik:</w:t>
            </w:r>
          </w:p>
          <w:p w14:paraId="08A31524" w14:textId="6F3DA02E" w:rsidR="00A24042" w:rsidRDefault="00A24042" w:rsidP="009C6CD0">
            <w:pPr>
              <w:pStyle w:val="Listaszerbekezds"/>
              <w:numPr>
                <w:ilvl w:val="0"/>
                <w:numId w:val="8"/>
              </w:numPr>
            </w:pPr>
            <w:r w:rsidRPr="00A24042">
              <w:t>E.ON Dél-dunántúli Áramhálózati Zrt.</w:t>
            </w:r>
            <w:r>
              <w:t>;</w:t>
            </w:r>
            <w:r w:rsidRPr="00A24042">
              <w:t xml:space="preserve"> </w:t>
            </w:r>
          </w:p>
          <w:p w14:paraId="59374DA9" w14:textId="077F6812" w:rsidR="00B541F5" w:rsidRPr="00B541F5" w:rsidRDefault="00A24042" w:rsidP="009C6CD0">
            <w:pPr>
              <w:pStyle w:val="Listaszerbekezds"/>
              <w:numPr>
                <w:ilvl w:val="0"/>
                <w:numId w:val="8"/>
              </w:numPr>
            </w:pPr>
            <w:r w:rsidRPr="00A24042">
              <w:lastRenderedPageBreak/>
              <w:t>E.ON Észak-dunántúli Áramhálózati Zrt.</w:t>
            </w:r>
            <w:r w:rsidR="00B541F5" w:rsidRPr="00B541F5">
              <w:t>;</w:t>
            </w:r>
          </w:p>
          <w:p w14:paraId="39AB4002" w14:textId="663C8FD0" w:rsidR="00B541F5" w:rsidRPr="00B541F5" w:rsidRDefault="00A24042" w:rsidP="009C6CD0">
            <w:pPr>
              <w:pStyle w:val="Listaszerbekezds"/>
              <w:numPr>
                <w:ilvl w:val="0"/>
                <w:numId w:val="8"/>
              </w:numPr>
            </w:pPr>
            <w:r w:rsidRPr="00A24042">
              <w:t>OPUS TITÁSZ Áramhálózati Zrt.</w:t>
            </w:r>
            <w:r>
              <w:t> ;</w:t>
            </w:r>
          </w:p>
          <w:p w14:paraId="79C370FA" w14:textId="750A868C" w:rsidR="00B541F5" w:rsidRPr="00B541F5" w:rsidRDefault="00B541F5" w:rsidP="009C6CD0">
            <w:pPr>
              <w:pStyle w:val="Listaszerbekezds"/>
              <w:numPr>
                <w:ilvl w:val="0"/>
                <w:numId w:val="8"/>
              </w:numPr>
            </w:pPr>
            <w:r w:rsidRPr="00B541F5">
              <w:t>ELMŰ Hálózati Kft. (E.ON Hungária);</w:t>
            </w:r>
          </w:p>
          <w:p w14:paraId="59D2285F" w14:textId="701607EE" w:rsidR="00B541F5" w:rsidRPr="00B541F5" w:rsidRDefault="00B541F5" w:rsidP="009C6CD0">
            <w:pPr>
              <w:pStyle w:val="Listaszerbekezds"/>
              <w:numPr>
                <w:ilvl w:val="0"/>
                <w:numId w:val="8"/>
              </w:numPr>
            </w:pPr>
            <w:r w:rsidRPr="00B541F5">
              <w:t>MVM DÉMÁSZ Áramhálózati Kft.;</w:t>
            </w:r>
          </w:p>
          <w:p w14:paraId="09C08172" w14:textId="0095E0E1" w:rsidR="00EC0972" w:rsidRPr="00B541F5" w:rsidRDefault="00A24042" w:rsidP="009C6CD0">
            <w:pPr>
              <w:pStyle w:val="Listaszerbekezds"/>
              <w:numPr>
                <w:ilvl w:val="0"/>
                <w:numId w:val="8"/>
              </w:numPr>
            </w:pPr>
            <w:r w:rsidRPr="00A24042">
              <w:t>MVM Émász Áramhálózati Kft</w:t>
            </w:r>
            <w:r w:rsidR="00B541F5" w:rsidRPr="00B541F5">
              <w:t>.</w:t>
            </w:r>
          </w:p>
          <w:p w14:paraId="2EE17029" w14:textId="79D1002D" w:rsidR="00D5364E" w:rsidRDefault="00B541F5" w:rsidP="00B541F5">
            <w:r w:rsidRPr="00B541F5">
              <w:t>Termelői engedéllyel a következő cégek rendelkeznek</w:t>
            </w:r>
            <w:r w:rsidR="00D5364E">
              <w:t xml:space="preserve"> a MEKH 2023-as listája alapján</w:t>
            </w:r>
            <w:r w:rsidRPr="00B541F5">
              <w:t xml:space="preserve">: </w:t>
            </w:r>
            <w:r w:rsidR="00D5364E" w:rsidRPr="00D5364E">
              <w:t>Alpiq Csepel Kft.</w:t>
            </w:r>
            <w:r w:rsidR="00D5364E">
              <w:t xml:space="preserve">, </w:t>
            </w:r>
            <w:r w:rsidR="00D5364E" w:rsidRPr="00D5364E">
              <w:t>Bakonyi Erőmű Zrt.</w:t>
            </w:r>
            <w:r w:rsidR="00D5364E">
              <w:t xml:space="preserve">, </w:t>
            </w:r>
            <w:r w:rsidR="00D5364E" w:rsidRPr="00D5364E">
              <w:t>Budapesti Erőmű Zrt.</w:t>
            </w:r>
            <w:r w:rsidR="00D5364E">
              <w:t xml:space="preserve">, </w:t>
            </w:r>
            <w:r w:rsidR="00D5364E" w:rsidRPr="00D5364E">
              <w:t>MVM Balance Zrt.</w:t>
            </w:r>
            <w:r w:rsidR="00D5364E">
              <w:t xml:space="preserve">, </w:t>
            </w:r>
            <w:r w:rsidR="00D5364E" w:rsidRPr="00D5364E">
              <w:t>PANNONGREEN Megújuló Energia Termelő és Szolgáltató Kft.</w:t>
            </w:r>
            <w:r w:rsidR="00D5364E">
              <w:t xml:space="preserve">, </w:t>
            </w:r>
            <w:r w:rsidR="00D5364E" w:rsidRPr="00D5364E">
              <w:t>Dunamenti Erőmű Zrt.</w:t>
            </w:r>
            <w:r w:rsidR="00D5364E">
              <w:t xml:space="preserve">, </w:t>
            </w:r>
            <w:r w:rsidR="00D5364E" w:rsidRPr="00D5364E">
              <w:t>Uniper Hungary Energetikai Kft.</w:t>
            </w:r>
            <w:r w:rsidR="00D5364E">
              <w:t xml:space="preserve">, </w:t>
            </w:r>
            <w:r w:rsidR="00D5364E" w:rsidRPr="00D5364E">
              <w:t>ISD POWER Energiatermelő és Szolgáltató Kft.</w:t>
            </w:r>
            <w:r w:rsidR="00D5364E">
              <w:t xml:space="preserve">, </w:t>
            </w:r>
            <w:r w:rsidR="00D5364E" w:rsidRPr="00D5364E">
              <w:t>MVM Mátra Energia Zrt.</w:t>
            </w:r>
            <w:r w:rsidR="00D5364E">
              <w:t xml:space="preserve">, </w:t>
            </w:r>
            <w:r w:rsidR="00D5364E" w:rsidRPr="00D5364E">
              <w:t>MVM Paksi Atomerőmű Zrt</w:t>
            </w:r>
            <w:r w:rsidR="00D5364E">
              <w:t>.</w:t>
            </w:r>
          </w:p>
          <w:p w14:paraId="47066BF9" w14:textId="77777777" w:rsidR="00B541F5" w:rsidRPr="00B541F5" w:rsidRDefault="00B541F5" w:rsidP="00B541F5">
            <w:r w:rsidRPr="00B541F5">
              <w:t>Jelenleg hazánkban több mint 60 villamosenergia-kereskedői engedéllyel (rendelkeznek hazai, és külföldi villamos energia kereskedelemmel, illetve a fogyasztók ellátásához is joguk van) rendelkező cég található, de csak töredékük vállal aktív szerepet a kiskereskedelmi tevékenységben.</w:t>
            </w:r>
          </w:p>
          <w:p w14:paraId="5C690985" w14:textId="77777777" w:rsidR="00B541F5" w:rsidRPr="00B541F5" w:rsidRDefault="00B541F5" w:rsidP="00B541F5">
            <w:pPr>
              <w:rPr>
                <w:u w:val="single"/>
              </w:rPr>
            </w:pPr>
            <w:r w:rsidRPr="00B541F5">
              <w:rPr>
                <w:u w:val="single"/>
              </w:rPr>
              <w:t>Földgáz szolgáltatás szereplői</w:t>
            </w:r>
          </w:p>
          <w:p w14:paraId="665AF5C6" w14:textId="449F19E5" w:rsidR="00EC0972" w:rsidRDefault="00B541F5" w:rsidP="00B541F5">
            <w:r w:rsidRPr="00B541F5">
              <w:t>Az egyetemes szolgáltatást a földgáz esetében szintén az MVM csoport teljesíti. Az elosztótársaságok csoportját pedig a következő szolgáltatók alkotják:</w:t>
            </w:r>
          </w:p>
          <w:p w14:paraId="084ECD81" w14:textId="6F220F15" w:rsidR="00B541F5" w:rsidRPr="00B541F5" w:rsidRDefault="00B541F5" w:rsidP="009C6CD0">
            <w:pPr>
              <w:pStyle w:val="Listaszerbekezds"/>
              <w:numPr>
                <w:ilvl w:val="0"/>
                <w:numId w:val="8"/>
              </w:numPr>
            </w:pPr>
            <w:r w:rsidRPr="00B541F5">
              <w:t>E.ON Dél-dunántúli Gázhálózati Zrt.;</w:t>
            </w:r>
          </w:p>
          <w:p w14:paraId="522E77E6" w14:textId="0F050506" w:rsidR="00B541F5" w:rsidRPr="00B541F5" w:rsidRDefault="00B541F5" w:rsidP="009C6CD0">
            <w:pPr>
              <w:pStyle w:val="Listaszerbekezds"/>
              <w:numPr>
                <w:ilvl w:val="0"/>
                <w:numId w:val="8"/>
              </w:numPr>
            </w:pPr>
            <w:r w:rsidRPr="00B541F5">
              <w:t>E.ON Közép-dunántúli Gázhálózati Zrt.;</w:t>
            </w:r>
          </w:p>
          <w:p w14:paraId="5BBA8892" w14:textId="30F492A7" w:rsidR="00B541F5" w:rsidRPr="00B541F5" w:rsidRDefault="00B541F5" w:rsidP="009C6CD0">
            <w:pPr>
              <w:pStyle w:val="Listaszerbekezds"/>
              <w:numPr>
                <w:ilvl w:val="0"/>
                <w:numId w:val="8"/>
              </w:numPr>
            </w:pPr>
            <w:r w:rsidRPr="00B541F5">
              <w:t>Magyar Gázszolgáltató Kft.;</w:t>
            </w:r>
          </w:p>
          <w:p w14:paraId="1E1636F6" w14:textId="5A5B3BBF" w:rsidR="00B541F5" w:rsidRPr="00B541F5" w:rsidRDefault="00B541F5" w:rsidP="009C6CD0">
            <w:pPr>
              <w:pStyle w:val="Listaszerbekezds"/>
              <w:numPr>
                <w:ilvl w:val="0"/>
                <w:numId w:val="8"/>
              </w:numPr>
            </w:pPr>
            <w:r w:rsidRPr="00B541F5">
              <w:t>MVM FŐGÁZ Földgázhálózati Kft.;</w:t>
            </w:r>
          </w:p>
          <w:p w14:paraId="554740C0" w14:textId="7C8DF018" w:rsidR="00B541F5" w:rsidRPr="00B541F5" w:rsidRDefault="00B541F5" w:rsidP="009C6CD0">
            <w:pPr>
              <w:pStyle w:val="Listaszerbekezds"/>
              <w:numPr>
                <w:ilvl w:val="0"/>
                <w:numId w:val="8"/>
              </w:numPr>
            </w:pPr>
            <w:r w:rsidRPr="00B541F5">
              <w:t>MVM Égáz-Dégáz Földgázhálózati Zrt.;</w:t>
            </w:r>
          </w:p>
          <w:p w14:paraId="298BE73C" w14:textId="5A8908DE" w:rsidR="00B541F5" w:rsidRPr="00B541F5" w:rsidRDefault="00B541F5" w:rsidP="009C6CD0">
            <w:pPr>
              <w:pStyle w:val="Listaszerbekezds"/>
              <w:numPr>
                <w:ilvl w:val="0"/>
                <w:numId w:val="8"/>
              </w:numPr>
            </w:pPr>
            <w:r w:rsidRPr="00B541F5">
              <w:t>OPUS TIGÁZ Zrt.</w:t>
            </w:r>
          </w:p>
          <w:p w14:paraId="7732A855" w14:textId="5E07083F" w:rsidR="00B541F5" w:rsidRPr="00B541F5" w:rsidRDefault="00B541F5" w:rsidP="009C6CD0">
            <w:pPr>
              <w:pStyle w:val="Listaszerbekezds"/>
              <w:numPr>
                <w:ilvl w:val="0"/>
                <w:numId w:val="8"/>
              </w:numPr>
            </w:pPr>
            <w:r w:rsidRPr="00B541F5">
              <w:t>Natural Gas Service Kft.</w:t>
            </w:r>
          </w:p>
          <w:p w14:paraId="6D70C647" w14:textId="67B353C3" w:rsidR="00B541F5" w:rsidRPr="00B541F5" w:rsidRDefault="00B541F5" w:rsidP="009C6CD0">
            <w:pPr>
              <w:pStyle w:val="Listaszerbekezds"/>
              <w:numPr>
                <w:ilvl w:val="0"/>
                <w:numId w:val="8"/>
              </w:numPr>
            </w:pPr>
            <w:r w:rsidRPr="00B541F5">
              <w:t>Csepeli Erőmű Kft. (nem egyetemes elosztó)</w:t>
            </w:r>
          </w:p>
          <w:p w14:paraId="1A73864F" w14:textId="13277ABB" w:rsidR="00B541F5" w:rsidRPr="00B541F5" w:rsidRDefault="00B541F5" w:rsidP="009C6CD0">
            <w:pPr>
              <w:pStyle w:val="Listaszerbekezds"/>
              <w:numPr>
                <w:ilvl w:val="0"/>
                <w:numId w:val="8"/>
              </w:numPr>
            </w:pPr>
            <w:r w:rsidRPr="00B541F5">
              <w:t>ISD POWER Kft. (nem egyetemes elosztó)</w:t>
            </w:r>
          </w:p>
          <w:p w14:paraId="1D9C8C14" w14:textId="397B4E13" w:rsidR="00EC0972" w:rsidRDefault="00B541F5" w:rsidP="009C6CD0">
            <w:pPr>
              <w:pStyle w:val="Listaszerbekezds"/>
              <w:numPr>
                <w:ilvl w:val="0"/>
                <w:numId w:val="8"/>
              </w:numPr>
            </w:pPr>
            <w:r w:rsidRPr="00B541F5">
              <w:t>Ózdi Energiaszolgáltató és Kereskedelmi Kft. (nem egyetemes elosztó).</w:t>
            </w:r>
            <w:r>
              <w:rPr>
                <w:rStyle w:val="Lbjegyzet-hivatkozs"/>
              </w:rPr>
              <w:footnoteReference w:id="26"/>
            </w:r>
          </w:p>
          <w:p w14:paraId="025CAC10" w14:textId="28A629EE" w:rsidR="00B541F5" w:rsidRPr="00B541F5" w:rsidRDefault="00B541F5" w:rsidP="00B541F5">
            <w:r w:rsidRPr="00B541F5">
              <w:t>A hazai földgázkitermelést a MOL Csoport végzi. A 2022. augusztusi adatok alapján Magyarországon földgázipar szállítási engedéllyel egy vállalat, az FGSZ Földgázszállító Zrt. rendelkezik, ők egyben a hazai szállítási rendszer-üzemeltetők. Tárolói engedéllyel kettő, földgáz-kereskedelmi engedéllyel 42 vállalat rendelkezik.</w:t>
            </w:r>
            <w:r w:rsidR="00C80BC8">
              <w:rPr>
                <w:rStyle w:val="Lbjegyzet-hivatkozs"/>
              </w:rPr>
              <w:footnoteReference w:id="27"/>
            </w:r>
          </w:p>
          <w:p w14:paraId="0E7A3F13" w14:textId="5EDDA54B" w:rsidR="00EC0972" w:rsidRPr="00B541F5" w:rsidRDefault="00B541F5" w:rsidP="00B541F5">
            <w:pPr>
              <w:pStyle w:val="Cmsor3"/>
              <w:outlineLvl w:val="2"/>
            </w:pPr>
            <w:bookmarkStart w:id="11" w:name="_Toc133510164"/>
            <w:r w:rsidRPr="00B541F5">
              <w:t>Rezsicsökkentés</w:t>
            </w:r>
            <w:r w:rsidR="0055144F">
              <w:rPr>
                <w:rStyle w:val="Lbjegyzet-hivatkozs"/>
              </w:rPr>
              <w:footnoteReference w:id="28"/>
            </w:r>
            <w:bookmarkEnd w:id="11"/>
          </w:p>
          <w:p w14:paraId="2823ED50" w14:textId="31A94D4D" w:rsidR="00B541F5" w:rsidRPr="00B541F5" w:rsidRDefault="00B541F5" w:rsidP="00B541F5">
            <w:r w:rsidRPr="00B541F5">
              <w:t>A beruházási koncepció kapcsán érdemes kitérni a magyarországi végfelhasználói energiaárakra. A villamos energia és a földgáz lakosság számára elérhető árai tulajdonképpen évek óta változatlanok – jogszabályban fixáltak – voltak. Azonban a globális energiapiaci változások (jelentős áremelkedések) hatása olyan mértékben terhelte meg a magyar költségvetést, amely a közel egy évtizede fixált árakat tarthatatlanná tette</w:t>
            </w:r>
            <w:r w:rsidR="00D40085">
              <w:t xml:space="preserve"> és az átlagfogyasztás felett felhasznált energi</w:t>
            </w:r>
            <w:r w:rsidR="00E01A78">
              <w:t>a</w:t>
            </w:r>
            <w:r w:rsidR="00D40085">
              <w:t>mennyiség esetében áremelés történt a lakossági fogyasztók számára (is)</w:t>
            </w:r>
            <w:r w:rsidRPr="00B541F5">
              <w:t>.</w:t>
            </w:r>
          </w:p>
          <w:p w14:paraId="6EC0ABF9" w14:textId="27897A12" w:rsidR="00F04394" w:rsidRDefault="00B541F5" w:rsidP="00B541F5">
            <w:r w:rsidRPr="00B541F5">
              <w:t xml:space="preserve">Az áremelkedés nagysága </w:t>
            </w:r>
            <w:r w:rsidR="003A06E0">
              <w:t xml:space="preserve">az </w:t>
            </w:r>
            <w:r w:rsidRPr="00B541F5">
              <w:t>Európa</w:t>
            </w:r>
            <w:r w:rsidR="003A06E0">
              <w:t>i Unió</w:t>
            </w:r>
            <w:r w:rsidRPr="00B541F5">
              <w:t xml:space="preserve"> országaiban </w:t>
            </w:r>
            <w:r w:rsidR="00E77707">
              <w:t>igen</w:t>
            </w:r>
            <w:r w:rsidRPr="00B541F5">
              <w:t xml:space="preserve"> jelentős méreteket ölt</w:t>
            </w:r>
            <w:r w:rsidR="00E77707">
              <w:t>ött</w:t>
            </w:r>
            <w:r w:rsidRPr="00B541F5">
              <w:t xml:space="preserve">: a MEKH </w:t>
            </w:r>
            <w:r w:rsidR="00E77707">
              <w:t>2022 decemberi</w:t>
            </w:r>
            <w:r w:rsidRPr="00B541F5">
              <w:t xml:space="preserve"> nemzetközi ár-összehasonlító vizsgálata</w:t>
            </w:r>
            <w:r w:rsidR="00E77707">
              <w:rPr>
                <w:rStyle w:val="Lbjegyzet-hivatkozs"/>
              </w:rPr>
              <w:footnoteReference w:id="29"/>
            </w:r>
            <w:r w:rsidRPr="00B541F5">
              <w:t xml:space="preserve">  alapján az európai uniós fővárosokban </w:t>
            </w:r>
            <w:r w:rsidR="00C71444">
              <w:t>12,32-54,44</w:t>
            </w:r>
            <w:r w:rsidRPr="00B541F5">
              <w:t xml:space="preserve"> eurócent/kWh összeget kellett fizetni a lakosoknak a villamos energiáért. Ezzel szemben</w:t>
            </w:r>
            <w:r w:rsidR="00F04394">
              <w:t xml:space="preserve"> </w:t>
            </w:r>
            <w:r w:rsidR="00F04394" w:rsidRPr="00F04394">
              <w:t xml:space="preserve">Budapesten 9,02 eurócent/kWh </w:t>
            </w:r>
            <w:r w:rsidR="00F04394">
              <w:t xml:space="preserve">volt </w:t>
            </w:r>
            <w:r w:rsidR="003A06E0">
              <w:t>az villamosenergia ára, legalábbis a</w:t>
            </w:r>
            <w:r w:rsidR="00F04394">
              <w:t xml:space="preserve"> hazai </w:t>
            </w:r>
            <w:r w:rsidR="003A06E0">
              <w:t xml:space="preserve">lakossági </w:t>
            </w:r>
            <w:r w:rsidR="00F04394">
              <w:lastRenderedPageBreak/>
              <w:t>átlagfogyasztás mértékéig</w:t>
            </w:r>
            <w:r w:rsidR="00F04394">
              <w:rPr>
                <w:rStyle w:val="Lbjegyzet-hivatkozs"/>
              </w:rPr>
              <w:footnoteReference w:id="30"/>
            </w:r>
            <w:r w:rsidR="00F04394">
              <w:t>.</w:t>
            </w:r>
            <w:r w:rsidR="003A06E0">
              <w:t xml:space="preserve"> A villamos energia lakossági költségei vásárlóerő-paritás alapján mérve minimálisan kevésbé kedvező képet mutat</w:t>
            </w:r>
            <w:r w:rsidR="00D02656">
              <w:t>, bár ebben a szegmensben is csupán</w:t>
            </w:r>
            <w:r w:rsidR="003A06E0">
              <w:t xml:space="preserve"> Valletta lakos</w:t>
            </w:r>
            <w:r w:rsidR="00D02656">
              <w:t>ai számára kedvezőbb a villamos energia piac helyzete</w:t>
            </w:r>
            <w:r w:rsidR="00A441F9">
              <w:rPr>
                <w:rStyle w:val="Lbjegyzet-hivatkozs"/>
              </w:rPr>
              <w:footnoteReference w:id="31"/>
            </w:r>
            <w:r w:rsidR="00D02656">
              <w:t>.</w:t>
            </w:r>
            <w:r w:rsidR="003A06E0">
              <w:t xml:space="preserve"> </w:t>
            </w:r>
          </w:p>
          <w:p w14:paraId="7D0DE648" w14:textId="74DA45EA" w:rsidR="00B541F5" w:rsidRPr="00B541F5" w:rsidRDefault="00B541F5" w:rsidP="00B541F5">
            <w:r w:rsidRPr="00B541F5">
              <w:t xml:space="preserve">A földgáz lakossági ára is hasonló képet mutat: 2022 </w:t>
            </w:r>
            <w:r w:rsidR="00F86DB9">
              <w:t>decemberében</w:t>
            </w:r>
            <w:r w:rsidRPr="00B541F5">
              <w:t xml:space="preserve"> Budapesten 2,</w:t>
            </w:r>
            <w:r w:rsidR="00F86DB9">
              <w:t>48</w:t>
            </w:r>
            <w:r w:rsidRPr="00B541F5">
              <w:t xml:space="preserve"> eurócent/kWh volt az átlagár, amely a legalacsonyabb érték a felmérésben szereplő fővárosok között</w:t>
            </w:r>
            <w:r w:rsidR="00F86DB9">
              <w:t>. A vizsgált uniós fővárosok lakossági villamos áram ára 5,23-30</w:t>
            </w:r>
            <w:r w:rsidRPr="00B541F5">
              <w:t>,</w:t>
            </w:r>
            <w:r w:rsidR="00F86DB9">
              <w:t>02</w:t>
            </w:r>
            <w:r w:rsidRPr="00B541F5">
              <w:t xml:space="preserve"> eurócent/kWh volt.</w:t>
            </w:r>
            <w:r w:rsidR="00F86DB9">
              <w:t xml:space="preserve"> Bár a</w:t>
            </w:r>
            <w:r w:rsidR="00F86DB9" w:rsidRPr="00F86DB9">
              <w:t>z átlagos fogyasztás felett elfogyasztott energiamennyiség növekedésével az átlagár folyamatosan növekedik</w:t>
            </w:r>
            <w:r w:rsidR="00F86DB9">
              <w:t xml:space="preserve"> a öldgáz esetében is</w:t>
            </w:r>
            <w:r w:rsidR="00F86DB9" w:rsidRPr="00F86DB9">
              <w:t xml:space="preserve">, pl. az átlagfogyasztásnál nagyobb, az átlagfogyasztás 120%-át elérő </w:t>
            </w:r>
            <w:r w:rsidR="00F86DB9">
              <w:t>földgáz</w:t>
            </w:r>
            <w:r w:rsidR="00F86DB9" w:rsidRPr="00F86DB9">
              <w:t xml:space="preserve"> mennyiség esetében </w:t>
            </w:r>
            <w:r w:rsidR="00F86DB9">
              <w:t>5,04</w:t>
            </w:r>
            <w:r w:rsidR="00F86DB9" w:rsidRPr="00F86DB9">
              <w:t xml:space="preserve"> eurocent/kWh a budapesti lakossági egységköltség.</w:t>
            </w:r>
            <w:r w:rsidR="00215B04">
              <w:t xml:space="preserve"> Vásárlóerő-paritáson szemlélve a földgázárakat hasonló összkép adódik</w:t>
            </w:r>
            <w:r w:rsidR="00E55383">
              <w:t>, mint a villamos energia esetében, bár az átlagfogyasztás növekedésével már több európai főv</w:t>
            </w:r>
            <w:r w:rsidR="00E76CF3">
              <w:t>á</w:t>
            </w:r>
            <w:r w:rsidR="00E55383">
              <w:t>ros lakossága is jobb helyzetbe kerül, a budapestinél</w:t>
            </w:r>
            <w:r w:rsidR="00E55383">
              <w:rPr>
                <w:rStyle w:val="Lbjegyzet-hivatkozs"/>
              </w:rPr>
              <w:footnoteReference w:id="32"/>
            </w:r>
            <w:r w:rsidR="00215B04">
              <w:t xml:space="preserve">. </w:t>
            </w:r>
          </w:p>
          <w:p w14:paraId="19484A6D" w14:textId="77777777" w:rsidR="00B541F5" w:rsidRPr="00B541F5" w:rsidRDefault="00B541F5" w:rsidP="00B541F5">
            <w:r w:rsidRPr="00B541F5">
              <w:t>A 2013-ban bevezetésre került rezsicsökkentés (2013. évi LIV. törvény) által meghatározott energiaárak azonban 2022. augusztus elsejétől megváltoztak. A 2022. július 21-én közzétett változásokat – és azok negyedévenkénti felülvizsgálatának kötelezettségét - a 259/2022. (VII. 21.) kormányrendelet, és a 6/2022. (VII. 21.), illetve a 7/2022. (VII. 21.) MEKH rendelet és a részletszabályozások rögzítik.</w:t>
            </w:r>
          </w:p>
          <w:p w14:paraId="055BEB3A" w14:textId="77777777" w:rsidR="00B541F5" w:rsidRPr="00B541F5" w:rsidRDefault="00B541F5" w:rsidP="00B541F5">
            <w:r w:rsidRPr="00B541F5">
              <w:t xml:space="preserve">Az új szabályozás a lakossági fogyasztókat érinti. A rendeletet nem kell alkalmazni a lakossági fogyasztó által igénybe vett B GEO árszabásra, illetve a lakossági fogyasztó által fűtési idényben igénybe vett H árszabásra, továbbá az ezen árszabásokkal elszámolt villamosenergia-mennyiséget a rendelet alkalmazása során nem kell figyelembe venni. </w:t>
            </w:r>
          </w:p>
          <w:p w14:paraId="325BC951" w14:textId="74B92368" w:rsidR="00B541F5" w:rsidRPr="00B541F5" w:rsidRDefault="00B541F5" w:rsidP="00B541F5">
            <w:r w:rsidRPr="00B541F5">
              <w:t>A kormányrendelet értelmében a lakossági fogyasztó a hatálybelépéstől az egyetemes szolgáltatótól 2523 kWh/év/mérési pont (felhasználási hely) fogyasztásig a villamos energia egyetemes szolgáltatás árképzéséről szóló miniszteri rendeletben meghatározott áron jogosult villamos energiát vételezni, ezen fogyasztási mérték felett a lakossági fogyasztó a Vet. 141. § (7) bekezdésétől és 145. § (3) és (4) bekezdésétől eltérően lakossági piaci áron jogosult villamos energiát vételezni. A földgázpiacon a &lt;20 m</w:t>
            </w:r>
            <w:r w:rsidRPr="00E76CF3">
              <w:rPr>
                <w:rFonts w:cstheme="minorHAnsi"/>
                <w:vertAlign w:val="superscript"/>
              </w:rPr>
              <w:t>3</w:t>
            </w:r>
            <w:r w:rsidRPr="00B541F5">
              <w:t>/h gázmérővel rendelkező lakossági felhasználók, (kivéve fogyasztói közösségek) számára meghatározott küszöbérték 1729 m</w:t>
            </w:r>
            <w:r w:rsidRPr="00E76CF3">
              <w:rPr>
                <w:rFonts w:cstheme="minorHAnsi"/>
                <w:vertAlign w:val="superscript"/>
              </w:rPr>
              <w:t>3</w:t>
            </w:r>
            <w:r w:rsidRPr="00B541F5">
              <w:t xml:space="preserve"> /év/mérési pont (felhasználási hely), azaz 59 132 MJ/év/mérési pont (felhasználási hely). Ezen mennyiségen felül a fogyasztó a Get. 104. § (7) bekezdésétől és 107. § (3) bekezdésétől eltérően versenypiaci költségeket tükröző áron jogosult földgázt vételezni. </w:t>
            </w:r>
          </w:p>
          <w:p w14:paraId="0646F994" w14:textId="5B35E937" w:rsidR="00B541F5" w:rsidRPr="00B541F5" w:rsidRDefault="00B541F5" w:rsidP="00B541F5">
            <w:r w:rsidRPr="00B541F5">
              <w:t>A MEKH rendeletek rögzíti az új árszabást. Ezek szerint 2022. augusztus 1-től az átlag feletti fogyasztásra eső rész esetén a földgáz ára a lakossági fogyasztók számára 2022. augusztus–szeptember hónapok vonatkozásában: 21,416 Ft/MJ, 2022. október–december hónapok vonatkozásában: 22,002 Ft/MJ (102 Ft/ m3 helyett 747 Ft/ m</w:t>
            </w:r>
            <w:r w:rsidRPr="004A1318">
              <w:rPr>
                <w:vertAlign w:val="superscript"/>
              </w:rPr>
              <w:t>3</w:t>
            </w:r>
            <w:r w:rsidRPr="00B541F5">
              <w:t>) ; míg a villamos energia átlagfogyasztás feletti része az A1 és A2 árszabás esetén 70,104 Ft/kWh, B (alap) árszabás esetén 62,884 Ft/kWh (36 Ft/KWh helyett 70,1 Ft/KWh).</w:t>
            </w:r>
          </w:p>
          <w:p w14:paraId="7B5C62B8" w14:textId="3D158CF3" w:rsidR="004750C6" w:rsidRPr="004750C6" w:rsidRDefault="00B541F5" w:rsidP="002E3B52">
            <w:r w:rsidRPr="00B541F5">
              <w:t>Az egyes egyetemes szolgáltatási árszabások meghatározásáról szóló kormányrendelet tartalmazza a lakossági fogyasztónak minősülő társasházakat érintő kedvezményeket. Az újonnan megállapításra került árszabályozás nem érinti a távhővel fűtött társasházakat, lakásokat, melyek továbbra is kedvezményes árszabásban részesülnek. A nem lakossági fogyasztók a rendelet alapján nem tartoznak a kedvezményezett egyetemes árszabású kategóriába.</w:t>
            </w:r>
          </w:p>
        </w:tc>
      </w:tr>
      <w:tr w:rsidR="00CA2CF4" w14:paraId="246DF91B" w14:textId="77777777" w:rsidTr="00CA2CF4">
        <w:tc>
          <w:tcPr>
            <w:tcW w:w="9062" w:type="dxa"/>
            <w:gridSpan w:val="3"/>
            <w:shd w:val="clear" w:color="auto" w:fill="F2F2F2" w:themeFill="background1" w:themeFillShade="F2"/>
          </w:tcPr>
          <w:p w14:paraId="3F65189C" w14:textId="0999FBE0" w:rsidR="00CA2CF4" w:rsidRPr="00917508" w:rsidRDefault="00CA2CF4" w:rsidP="00917508">
            <w:pPr>
              <w:pStyle w:val="Cmsor2"/>
              <w:outlineLvl w:val="1"/>
            </w:pPr>
            <w:bookmarkStart w:id="12" w:name="_Toc133510165"/>
            <w:r w:rsidRPr="00917508">
              <w:lastRenderedPageBreak/>
              <w:t>1.5. Várható hatások összegzése</w:t>
            </w:r>
            <w:bookmarkEnd w:id="12"/>
          </w:p>
        </w:tc>
      </w:tr>
      <w:tr w:rsidR="00CA2CF4" w14:paraId="7D503C90" w14:textId="77777777" w:rsidTr="00BD6513">
        <w:trPr>
          <w:trHeight w:val="275"/>
        </w:trPr>
        <w:tc>
          <w:tcPr>
            <w:tcW w:w="3397" w:type="dxa"/>
            <w:shd w:val="clear" w:color="auto" w:fill="DEEAF6" w:themeFill="accent5" w:themeFillTint="33"/>
            <w:vAlign w:val="center"/>
          </w:tcPr>
          <w:p w14:paraId="1F6CAFFD" w14:textId="2698F84F" w:rsidR="00CA2CF4" w:rsidRPr="009A5D57" w:rsidRDefault="00BD6513" w:rsidP="00BD6513">
            <w:pPr>
              <w:jc w:val="left"/>
              <w:rPr>
                <w:b/>
                <w:bCs/>
              </w:rPr>
            </w:pPr>
            <w:r w:rsidRPr="00BD6513">
              <w:rPr>
                <w:b/>
                <w:bCs/>
              </w:rPr>
              <w:t>Energiamegtakarítás</w:t>
            </w:r>
            <w:r>
              <w:rPr>
                <w:b/>
                <w:bCs/>
              </w:rPr>
              <w:t xml:space="preserve"> </w:t>
            </w:r>
            <w:r w:rsidRPr="00BD6513">
              <w:rPr>
                <w:b/>
                <w:bCs/>
              </w:rPr>
              <w:t>(fűtési hőigény megtakarítás</w:t>
            </w:r>
            <w:r w:rsidR="007E2F34">
              <w:rPr>
                <w:b/>
                <w:bCs/>
              </w:rPr>
              <w:t>)</w:t>
            </w:r>
          </w:p>
        </w:tc>
        <w:tc>
          <w:tcPr>
            <w:tcW w:w="4253" w:type="dxa"/>
            <w:vAlign w:val="center"/>
          </w:tcPr>
          <w:p w14:paraId="27A832EF" w14:textId="5BD36BF3" w:rsidR="00CA2CF4" w:rsidRDefault="005862DB" w:rsidP="00BD6513">
            <w:pPr>
              <w:jc w:val="left"/>
            </w:pPr>
            <w:r>
              <w:t>33</w:t>
            </w:r>
            <w:r w:rsidR="00BD6513" w:rsidRPr="00BD6513">
              <w:t>,</w:t>
            </w:r>
            <w:r>
              <w:t>1</w:t>
            </w:r>
          </w:p>
        </w:tc>
        <w:tc>
          <w:tcPr>
            <w:tcW w:w="1412" w:type="dxa"/>
            <w:vAlign w:val="center"/>
          </w:tcPr>
          <w:p w14:paraId="39794B73" w14:textId="3E799139" w:rsidR="00CA2CF4" w:rsidRDefault="00CA2CF4" w:rsidP="00BD6513">
            <w:pPr>
              <w:jc w:val="center"/>
            </w:pPr>
            <w:r w:rsidRPr="005D6ABD">
              <w:t>GWh/év</w:t>
            </w:r>
          </w:p>
        </w:tc>
      </w:tr>
      <w:tr w:rsidR="00CA2CF4" w14:paraId="733A0DDC" w14:textId="77777777" w:rsidTr="00BD6513">
        <w:trPr>
          <w:trHeight w:val="275"/>
        </w:trPr>
        <w:tc>
          <w:tcPr>
            <w:tcW w:w="3397" w:type="dxa"/>
            <w:shd w:val="clear" w:color="auto" w:fill="DEEAF6" w:themeFill="accent5" w:themeFillTint="33"/>
          </w:tcPr>
          <w:p w14:paraId="364DBECF" w14:textId="668EE493" w:rsidR="00CA2CF4" w:rsidRPr="009A5D57" w:rsidRDefault="00CA2CF4" w:rsidP="00CA2CF4">
            <w:pPr>
              <w:rPr>
                <w:b/>
                <w:bCs/>
              </w:rPr>
            </w:pPr>
            <w:r w:rsidRPr="009A5D57">
              <w:rPr>
                <w:b/>
                <w:bCs/>
              </w:rPr>
              <w:t>Megújuló energia</w:t>
            </w:r>
          </w:p>
        </w:tc>
        <w:tc>
          <w:tcPr>
            <w:tcW w:w="4253" w:type="dxa"/>
          </w:tcPr>
          <w:p w14:paraId="5F9DD886" w14:textId="71D20A6F" w:rsidR="00CA2CF4" w:rsidRDefault="007E2F34" w:rsidP="00CA2CF4">
            <w:r>
              <w:t>23,2</w:t>
            </w:r>
          </w:p>
        </w:tc>
        <w:tc>
          <w:tcPr>
            <w:tcW w:w="1412" w:type="dxa"/>
          </w:tcPr>
          <w:p w14:paraId="3A6942F2" w14:textId="58C5184A" w:rsidR="00CA2CF4" w:rsidRDefault="00CA2CF4" w:rsidP="00CA2CF4">
            <w:pPr>
              <w:jc w:val="center"/>
            </w:pPr>
            <w:r w:rsidRPr="005D6ABD">
              <w:t>GWh/év</w:t>
            </w:r>
          </w:p>
        </w:tc>
      </w:tr>
      <w:tr w:rsidR="00CA2CF4" w14:paraId="53AB16FE" w14:textId="77777777" w:rsidTr="00BD6513">
        <w:trPr>
          <w:trHeight w:val="275"/>
        </w:trPr>
        <w:tc>
          <w:tcPr>
            <w:tcW w:w="3397" w:type="dxa"/>
            <w:shd w:val="clear" w:color="auto" w:fill="DEEAF6" w:themeFill="accent5" w:themeFillTint="33"/>
          </w:tcPr>
          <w:p w14:paraId="0F7B5804" w14:textId="3EFE3240" w:rsidR="00CA2CF4" w:rsidRPr="009A5D57" w:rsidRDefault="00CA2CF4" w:rsidP="00CA2CF4">
            <w:pPr>
              <w:rPr>
                <w:b/>
                <w:bCs/>
              </w:rPr>
            </w:pPr>
            <w:r w:rsidRPr="009A5D57">
              <w:rPr>
                <w:b/>
                <w:bCs/>
              </w:rPr>
              <w:t>Elkerült CO</w:t>
            </w:r>
            <w:r w:rsidRPr="009A5D57">
              <w:rPr>
                <w:b/>
                <w:bCs/>
                <w:vertAlign w:val="subscript"/>
              </w:rPr>
              <w:t>2</w:t>
            </w:r>
            <w:r w:rsidRPr="009A5D57">
              <w:rPr>
                <w:b/>
                <w:bCs/>
              </w:rPr>
              <w:t xml:space="preserve"> kibocsátás</w:t>
            </w:r>
          </w:p>
        </w:tc>
        <w:tc>
          <w:tcPr>
            <w:tcW w:w="4253" w:type="dxa"/>
          </w:tcPr>
          <w:p w14:paraId="09EC4C6D" w14:textId="5A5FD80C" w:rsidR="00CA2CF4" w:rsidRDefault="007E2F34" w:rsidP="00CA2CF4">
            <w:r>
              <w:t>14.682</w:t>
            </w:r>
          </w:p>
        </w:tc>
        <w:tc>
          <w:tcPr>
            <w:tcW w:w="1412" w:type="dxa"/>
          </w:tcPr>
          <w:p w14:paraId="1532A9DC" w14:textId="1C41ADE5" w:rsidR="00CA2CF4" w:rsidRDefault="00CA2CF4" w:rsidP="00CA2CF4">
            <w:pPr>
              <w:jc w:val="center"/>
            </w:pPr>
            <w:r w:rsidRPr="005D6ABD">
              <w:t>tCO</w:t>
            </w:r>
            <w:r w:rsidRPr="00CA2CF4">
              <w:rPr>
                <w:vertAlign w:val="subscript"/>
              </w:rPr>
              <w:t>2eq</w:t>
            </w:r>
            <w:r w:rsidRPr="005D6ABD">
              <w:t>/év</w:t>
            </w:r>
          </w:p>
        </w:tc>
      </w:tr>
      <w:tr w:rsidR="008E623D" w14:paraId="748E2156" w14:textId="77777777" w:rsidTr="00BD6513">
        <w:trPr>
          <w:trHeight w:val="275"/>
        </w:trPr>
        <w:tc>
          <w:tcPr>
            <w:tcW w:w="3397" w:type="dxa"/>
            <w:shd w:val="clear" w:color="auto" w:fill="DEEAF6" w:themeFill="accent5" w:themeFillTint="33"/>
          </w:tcPr>
          <w:p w14:paraId="4FDB22C8" w14:textId="38DA880F" w:rsidR="008E623D" w:rsidRPr="009A5D57" w:rsidRDefault="008E623D" w:rsidP="00BD6513">
            <w:pPr>
              <w:jc w:val="left"/>
              <w:rPr>
                <w:b/>
                <w:bCs/>
              </w:rPr>
            </w:pPr>
            <w:r w:rsidRPr="009A5D57">
              <w:rPr>
                <w:b/>
                <w:bCs/>
              </w:rPr>
              <w:t>Egyéb (társadalmi, éghajlati) hatások</w:t>
            </w:r>
          </w:p>
        </w:tc>
        <w:tc>
          <w:tcPr>
            <w:tcW w:w="5665" w:type="dxa"/>
            <w:gridSpan w:val="2"/>
          </w:tcPr>
          <w:p w14:paraId="574E8581" w14:textId="77777777" w:rsidR="004A1318" w:rsidRPr="004A1318" w:rsidRDefault="004A1318" w:rsidP="004A1318">
            <w:r w:rsidRPr="004A1318">
              <w:t>A megtakarított energiamennyiség hozzájárul a fenntarthatóbb környezet, valamint egy modernebb energiaellátási rendszer kialakulásához.</w:t>
            </w:r>
          </w:p>
          <w:p w14:paraId="7A647D87" w14:textId="77777777" w:rsidR="004A1318" w:rsidRPr="004A1318" w:rsidRDefault="004A1318" w:rsidP="004A1318">
            <w:r w:rsidRPr="004A1318">
              <w:t>A projektben tervezett megoldások által egyre szélesebb társadalmi rétegek találkozhatnak a klímaváltozás, az energiahatékonyság és a megújuló energiaforrások témaköreivel, ismereteik jelentősen bővülhetnek ezeken a területeken, a klímaváltozással és légszennyezéssel kapcsolatos felelősségtudatuk felerősödhet, illetve a projekt katalizátora lehet további kezdeményezések elindításának.</w:t>
            </w:r>
          </w:p>
          <w:p w14:paraId="7C3091CF" w14:textId="77777777" w:rsidR="004A1318" w:rsidRPr="004A1318" w:rsidRDefault="004A1318" w:rsidP="004A1318">
            <w:r w:rsidRPr="004A1318">
              <w:t>A fosszilis tüzelőanyagok kiváltása és használatuk csökkentése javítja a térség levegőminőségét. A légszennyezés visszafogása támogatja az épített és a természeti környezet megóvását, minőségi javítását, illetve általánosságban az egészséges környezet felé történő elmozdulást.</w:t>
            </w:r>
          </w:p>
          <w:p w14:paraId="6E56B672" w14:textId="77777777" w:rsidR="004A1318" w:rsidRPr="004A1318" w:rsidRDefault="004A1318" w:rsidP="004A1318">
            <w:r w:rsidRPr="004A1318">
              <w:t>Az ÜHG kibocsátás csökkentésével a projekt a klímaváltozás lassításában is szerepet vállal.</w:t>
            </w:r>
          </w:p>
          <w:p w14:paraId="20730D71" w14:textId="77777777" w:rsidR="008E623D" w:rsidRDefault="004A1318" w:rsidP="004A1318">
            <w:r w:rsidRPr="004A1318">
              <w:t>A projekt hozzájárul a helyi lakosság megélhetési költségeinek leredukálásához, az energiaszegénység csökkentéséhez.</w:t>
            </w:r>
          </w:p>
          <w:p w14:paraId="398F8CE5" w14:textId="2F29F18F" w:rsidR="00C1697A" w:rsidRDefault="00C1697A" w:rsidP="004A1318">
            <w:r>
              <w:t>A lakásokban a</w:t>
            </w:r>
            <w:r w:rsidRPr="00C1697A">
              <w:t xml:space="preserve"> penész és </w:t>
            </w:r>
            <w:r>
              <w:t xml:space="preserve">a </w:t>
            </w:r>
            <w:r w:rsidRPr="00C1697A">
              <w:t>doh megszűnésé</w:t>
            </w:r>
            <w:r>
              <w:t>hez vezethetnek a fejlesztések</w:t>
            </w:r>
            <w:r w:rsidRPr="00C1697A">
              <w:t xml:space="preserve">, ami jelentős </w:t>
            </w:r>
            <w:r>
              <w:t xml:space="preserve">javulást eredményezhet a lakosok </w:t>
            </w:r>
            <w:r w:rsidRPr="00C1697A">
              <w:t>egészségügyi állapot</w:t>
            </w:r>
            <w:r>
              <w:t>ában</w:t>
            </w:r>
            <w:r w:rsidRPr="00C1697A">
              <w:t>, komfort</w:t>
            </w:r>
            <w:r>
              <w:t>érzetében</w:t>
            </w:r>
            <w:r w:rsidRPr="00C1697A">
              <w:t xml:space="preserve">. </w:t>
            </w:r>
          </w:p>
          <w:p w14:paraId="659DDF58" w14:textId="062BDAB0" w:rsidR="00C1697A" w:rsidRDefault="00C1697A" w:rsidP="004A1318">
            <w:r w:rsidRPr="00C1697A">
              <w:t xml:space="preserve">Továbbá az ingatlanok felújítása </w:t>
            </w:r>
            <w:r>
              <w:t xml:space="preserve">az </w:t>
            </w:r>
            <w:r w:rsidRPr="00C1697A">
              <w:t>érték</w:t>
            </w:r>
            <w:r>
              <w:t xml:space="preserve">ük </w:t>
            </w:r>
            <w:r w:rsidRPr="00C1697A">
              <w:t>növekedés</w:t>
            </w:r>
            <w:r>
              <w:t>év</w:t>
            </w:r>
            <w:r w:rsidRPr="00C1697A">
              <w:t>el jár, ami önkormányzati épületeknél az önkormányzati vagyon értékének növekedését is jelenti. Ennek mértéke akár 25-40% is lehet</w:t>
            </w:r>
            <w:r>
              <w:t>.</w:t>
            </w:r>
            <w:r>
              <w:rPr>
                <w:rStyle w:val="Lbjegyzet-hivatkozs"/>
              </w:rPr>
              <w:footnoteReference w:id="33"/>
            </w:r>
          </w:p>
        </w:tc>
      </w:tr>
      <w:tr w:rsidR="00CA2CF4" w14:paraId="443DACEE" w14:textId="77777777" w:rsidTr="00CA2CF4">
        <w:tc>
          <w:tcPr>
            <w:tcW w:w="9062" w:type="dxa"/>
            <w:gridSpan w:val="3"/>
            <w:shd w:val="clear" w:color="auto" w:fill="F2F2F2" w:themeFill="background1" w:themeFillShade="F2"/>
          </w:tcPr>
          <w:p w14:paraId="506EC30D" w14:textId="45E65BE2" w:rsidR="00CA2CF4" w:rsidRPr="009A5D57" w:rsidRDefault="00CA2CF4" w:rsidP="00917508">
            <w:pPr>
              <w:pStyle w:val="Cmsor2"/>
              <w:outlineLvl w:val="1"/>
            </w:pPr>
            <w:bookmarkStart w:id="13" w:name="_Toc133510166"/>
            <w:r w:rsidRPr="009A5D57">
              <w:t>1.6. Megismételhetőség és/vagy továbbfejlesztési lehetőségek</w:t>
            </w:r>
            <w:bookmarkEnd w:id="13"/>
          </w:p>
        </w:tc>
      </w:tr>
      <w:tr w:rsidR="00CA2CF4" w14:paraId="7F1D16C1" w14:textId="77777777" w:rsidTr="00CA2CF4">
        <w:tc>
          <w:tcPr>
            <w:tcW w:w="9062" w:type="dxa"/>
            <w:gridSpan w:val="3"/>
          </w:tcPr>
          <w:p w14:paraId="55CE3079" w14:textId="77777777" w:rsidR="004A1318" w:rsidRPr="004A1318" w:rsidRDefault="004A1318" w:rsidP="004A1318">
            <w:r w:rsidRPr="004A1318">
              <w:t>A megújuló energiaforrások aránya továbbra is alacsony az energiatermelésben, szerepük növelése az egyik legégetőbb feladat a klímaváltozás elleni harcban. A következő években, évtizedekben így kiemelt jelentőségűek lesznek az energetikai, a mitigációs és az alkalmazkodást segítő beruházások, programok. A célok elérése érdekében az infrastrukturális elemek átalakítása mellett elengedhetetlenek a szoft projektek is, melyek támogathatják a környezeti nevelés, az energetikai oktatás, a szemléletformálás és az ismeretterjesztés egyre széleskörűbb elterjedését.</w:t>
            </w:r>
          </w:p>
          <w:p w14:paraId="622673E3" w14:textId="77777777" w:rsidR="004A1318" w:rsidRPr="004A1318" w:rsidRDefault="004A1318" w:rsidP="004A1318">
            <w:r w:rsidRPr="004A1318">
              <w:lastRenderedPageBreak/>
              <w:t>Az önkormányzatok megkerülhetetlen szereplői a zöld átállásnak: nem csupán saját energiatermelésükkel és -felhasználásukkal befolyásolják azt, hanem jelentős hatással vannak a lakosságra, a piaci szereplőkre, illetve egyéb szervezetekre is. Emellett szintén az önkormányzatok dolgozzák ki a helyi jogszabályokat és terveket úgy, hogy azok az országos és európai uniós céloknak, törekvéseknek megfeleljenek.</w:t>
            </w:r>
          </w:p>
          <w:p w14:paraId="7838B4D0" w14:textId="18823CAC" w:rsidR="004A1318" w:rsidRPr="004A1318" w:rsidRDefault="004A1318" w:rsidP="004A1318">
            <w:r w:rsidRPr="004A1318">
              <w:t xml:space="preserve">Ezért kulcsfontosságú, hogy a klímára pozitív hatással bíró projektekben és a zöld átállásban tapasztalatot szerző önkormányzatok megosszák a szerzett tudást, valamint a jó gyakorlatokat nemcsak </w:t>
            </w:r>
            <w:r w:rsidR="00201A2F">
              <w:t>a városban</w:t>
            </w:r>
            <w:r w:rsidRPr="004A1318">
              <w:t>, hanem országos vagy akár európai/globális szinteken. Szakmai konferenciákkal és előadásokkal, műhelytalálkozókkal, valamint különböző platformokon keresztül történő egyeztetésekkel – melyeken a szakmabelieken túl a döntéshozók, politikusok is részt vesznek – lehetőség nyílhat a projekt más szereplők általi lemásolására. A sokszorosítás érdekében célszerű lehet egyfajta útmutató vagy kézikönyv megvalósítása, amely bemutatja a projekt menetét már a kezdeti lépésektől (politikai/stakeholder szándék megszületése, akcióterület kijelölése és felmérése stb.), mind szakmai, mind pénzügyi oldalról. Mindemellett hangsúlyos szerep hárulhat a médiára, amelynek bevonása, alkalmazása jelentősen növelheti a koncepció elterjedését, megismerését.</w:t>
            </w:r>
          </w:p>
          <w:p w14:paraId="327D783D" w14:textId="2B19612F" w:rsidR="004A1318" w:rsidRPr="004A1318" w:rsidRDefault="004A1318" w:rsidP="004A1318">
            <w:r w:rsidRPr="004A1318">
              <w:t xml:space="preserve">A belső megismétlés kapcsán kézenfekvő a beruházástípusok átültetése újabb </w:t>
            </w:r>
            <w:r w:rsidR="00201A2F">
              <w:t>ingatlanokra, ingatlancsoportokra</w:t>
            </w:r>
            <w:r w:rsidRPr="004A1318">
              <w:t xml:space="preserve">. Az olyan passzív épületenergetikai megoldások, mint a szigetelés vagy a nyílászárók cseréje, mindig relevánsak lesznek, hiszen rengeteg energia vész kárba a </w:t>
            </w:r>
            <w:r w:rsidR="0086224C">
              <w:t>korszerűtlen</w:t>
            </w:r>
            <w:r w:rsidRPr="004A1318">
              <w:t xml:space="preserve"> épületek esetében. Ez nem csupán </w:t>
            </w:r>
            <w:r w:rsidR="00201A2F">
              <w:t>Erzsébetvárosra</w:t>
            </w:r>
            <w:r w:rsidRPr="004A1318">
              <w:t xml:space="preserve"> igaz, hanem </w:t>
            </w:r>
            <w:r w:rsidR="00201A2F">
              <w:t>a főváros és az ország egyéb területeire</w:t>
            </w:r>
            <w:r w:rsidRPr="004A1318">
              <w:t xml:space="preserve">, </w:t>
            </w:r>
            <w:r w:rsidR="00201A2F">
              <w:t>illetve</w:t>
            </w:r>
            <w:r w:rsidRPr="004A1318">
              <w:t xml:space="preserve"> a világ nagy részére egyaránt. A koncepció megismétlése vagy kibővítése a Fővárosi Önkormányzattal való együttműködés (pl. „Budapest - Nappal hajtva”) keretei között is megvalósulhat.</w:t>
            </w:r>
          </w:p>
          <w:p w14:paraId="127A8C90" w14:textId="2B7E65F7" w:rsidR="004A1318" w:rsidRPr="004A1318" w:rsidRDefault="004A1318" w:rsidP="004A1318">
            <w:r w:rsidRPr="00F70915">
              <w:t xml:space="preserve">A továbbfejlesztés kapcsán számos lehetőség elérhető a koncepció tartalmához igazodóan. </w:t>
            </w:r>
            <w:r w:rsidRPr="004A1318">
              <w:t xml:space="preserve">A </w:t>
            </w:r>
            <w:r w:rsidR="00F70915">
              <w:t xml:space="preserve">nyári </w:t>
            </w:r>
            <w:r w:rsidRPr="004A1318">
              <w:t xml:space="preserve">hőérzet javítása érdekében </w:t>
            </w:r>
            <w:r w:rsidR="00F70915">
              <w:t>célszerű</w:t>
            </w:r>
            <w:r w:rsidR="00F70915" w:rsidRPr="004A1318">
              <w:t xml:space="preserve"> </w:t>
            </w:r>
            <w:r w:rsidR="00F70915">
              <w:t>a nyári napsütéssel érintett felületek árnyékolása élettelen, vagy élő felületekkel</w:t>
            </w:r>
            <w:r w:rsidRPr="004A1318">
              <w:t>. Emellett a klímastratégia és a SECAP egyéb intézkedéseinek megvalósítása a kijelölt területeken, továbbá az elektromobilitás eszközparkjának és infrastruktúrájának támogatása.</w:t>
            </w:r>
          </w:p>
          <w:p w14:paraId="026F1FF9" w14:textId="27EA5D5B" w:rsidR="004A1318" w:rsidRPr="004A1318" w:rsidRDefault="004A1318" w:rsidP="004A1318">
            <w:r w:rsidRPr="004A1318">
              <w:t xml:space="preserve">Az épületeken belül kialakuló energiaközösségeknek/együttműködő fogyasztói közösségeknek és a projekt </w:t>
            </w:r>
            <w:r w:rsidRPr="0036252C">
              <w:t xml:space="preserve">egyéb szereplőinek (közintézmények, vállalkozói </w:t>
            </w:r>
            <w:r w:rsidR="0097204F" w:rsidRPr="0036252C">
              <w:t>ingatlanok</w:t>
            </w:r>
            <w:r w:rsidRPr="0036252C">
              <w:t>, közszolgáltatók)</w:t>
            </w:r>
            <w:r w:rsidRPr="004A1318">
              <w:t xml:space="preserve"> célszerű lesz szélesebb körben is összefogniuk a jövőben és egy nagyobb léptékű energiaközösségbe tömörülniük. Ez az energiaköltségek és a hálózathasználati díjak csökkenését eredményezheti, illetve a villamosenergia-rendszer irányítójának munkáját is segítheti, ha az energiaközösségre vonatkozó szabályokat kidolgozza a jogalkotó.</w:t>
            </w:r>
          </w:p>
          <w:p w14:paraId="1CCCFD46" w14:textId="7C2A34A6" w:rsidR="00CA2CF4" w:rsidRDefault="004A1318" w:rsidP="004A1318">
            <w:r w:rsidRPr="004A1318">
              <w:t>Ahhoz, hogy a projekt kiterjesztése megvalósulhasson további szervezetek bevonásával, lényeges, hogy a koncepció prezentálása megtörténjen a piaci szféra szereplői felé, legyen közös gondolkodás, ezek során akár új ötletek gyűjtése, megvalósítása. A fenntarthatóbb eljárások és módszerek kialakításában a vállalatok érdekeltek, emellett a megújuló energiatermelés, valamint az energiamegtakarítással járó pénzügyi előnyök is ösztönzőek lehetnek számukra.</w:t>
            </w:r>
          </w:p>
        </w:tc>
      </w:tr>
    </w:tbl>
    <w:p w14:paraId="1C649398" w14:textId="6BDB46C4" w:rsidR="00115E1F" w:rsidRDefault="00115E1F" w:rsidP="00CA2CF4"/>
    <w:p w14:paraId="6AA10742" w14:textId="77777777" w:rsidR="00115E1F" w:rsidRDefault="00115E1F">
      <w:pPr>
        <w:jc w:val="left"/>
      </w:pPr>
      <w:r>
        <w:br w:type="page"/>
      </w:r>
    </w:p>
    <w:p w14:paraId="2C9383A9" w14:textId="77777777" w:rsidR="00115E1F" w:rsidRDefault="00115E1F">
      <w:pPr>
        <w:jc w:val="left"/>
        <w:sectPr w:rsidR="00115E1F" w:rsidSect="001C71F4">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pPr>
    </w:p>
    <w:p w14:paraId="22A3A6E0" w14:textId="77A14682" w:rsidR="00115E1F" w:rsidRPr="00917508" w:rsidRDefault="00115E1F" w:rsidP="009C6CD0">
      <w:pPr>
        <w:pStyle w:val="Cmsor2"/>
        <w:numPr>
          <w:ilvl w:val="1"/>
          <w:numId w:val="2"/>
        </w:numPr>
      </w:pPr>
      <w:bookmarkStart w:id="14" w:name="_Toc133510167"/>
      <w:r w:rsidRPr="00917508">
        <w:lastRenderedPageBreak/>
        <w:t>A táblázat - A beruházási elemek összegzése</w:t>
      </w:r>
      <w:bookmarkEnd w:id="14"/>
    </w:p>
    <w:tbl>
      <w:tblPr>
        <w:tblStyle w:val="Rcsostblzat"/>
        <w:tblW w:w="0" w:type="auto"/>
        <w:tblLook w:val="04A0" w:firstRow="1" w:lastRow="0" w:firstColumn="1" w:lastColumn="0" w:noHBand="0" w:noVBand="1"/>
      </w:tblPr>
      <w:tblGrid>
        <w:gridCol w:w="388"/>
        <w:gridCol w:w="1636"/>
        <w:gridCol w:w="3302"/>
        <w:gridCol w:w="1610"/>
        <w:gridCol w:w="1595"/>
        <w:gridCol w:w="1306"/>
        <w:gridCol w:w="1127"/>
        <w:gridCol w:w="1605"/>
        <w:gridCol w:w="1423"/>
      </w:tblGrid>
      <w:tr w:rsidR="00115E1F" w:rsidRPr="007668C1" w14:paraId="75C08EF0" w14:textId="77777777" w:rsidTr="000A511D">
        <w:tc>
          <w:tcPr>
            <w:tcW w:w="13992" w:type="dxa"/>
            <w:gridSpan w:val="9"/>
            <w:shd w:val="clear" w:color="auto" w:fill="BDD6EE" w:themeFill="accent5" w:themeFillTint="66"/>
          </w:tcPr>
          <w:p w14:paraId="69301C74" w14:textId="2047F78C" w:rsidR="00115E1F" w:rsidRPr="007668C1" w:rsidRDefault="00115E1F" w:rsidP="00AD7EAF">
            <w:pPr>
              <w:spacing w:before="60" w:after="60"/>
              <w:jc w:val="left"/>
              <w:rPr>
                <w:b/>
                <w:bCs/>
                <w:sz w:val="20"/>
                <w:szCs w:val="20"/>
              </w:rPr>
            </w:pPr>
            <w:r w:rsidRPr="007668C1">
              <w:rPr>
                <w:b/>
                <w:bCs/>
                <w:sz w:val="20"/>
                <w:szCs w:val="20"/>
              </w:rPr>
              <w:t>Beruházási elemek:</w:t>
            </w:r>
          </w:p>
        </w:tc>
      </w:tr>
      <w:tr w:rsidR="00AD7EAF" w:rsidRPr="007668C1" w14:paraId="37C9FA56" w14:textId="77777777" w:rsidTr="007668C1">
        <w:tc>
          <w:tcPr>
            <w:tcW w:w="402" w:type="dxa"/>
            <w:shd w:val="clear" w:color="auto" w:fill="BDD6EE" w:themeFill="accent5" w:themeFillTint="66"/>
            <w:vAlign w:val="center"/>
          </w:tcPr>
          <w:p w14:paraId="1CB9185B" w14:textId="20E00F95" w:rsidR="00115E1F" w:rsidRPr="007668C1" w:rsidRDefault="00115E1F" w:rsidP="00AD7EAF">
            <w:pPr>
              <w:spacing w:before="60" w:after="60"/>
              <w:jc w:val="center"/>
              <w:rPr>
                <w:b/>
                <w:bCs/>
                <w:sz w:val="20"/>
                <w:szCs w:val="20"/>
              </w:rPr>
            </w:pPr>
            <w:r w:rsidRPr="007668C1">
              <w:rPr>
                <w:b/>
                <w:bCs/>
                <w:sz w:val="20"/>
                <w:szCs w:val="20"/>
              </w:rPr>
              <w:t>#</w:t>
            </w:r>
          </w:p>
        </w:tc>
        <w:tc>
          <w:tcPr>
            <w:tcW w:w="1720" w:type="dxa"/>
            <w:shd w:val="clear" w:color="auto" w:fill="BDD6EE" w:themeFill="accent5" w:themeFillTint="66"/>
            <w:vAlign w:val="center"/>
          </w:tcPr>
          <w:p w14:paraId="03E81AD4" w14:textId="3C5F4471" w:rsidR="00115E1F" w:rsidRPr="007668C1" w:rsidRDefault="00115E1F" w:rsidP="00AD7EAF">
            <w:pPr>
              <w:spacing w:before="60" w:after="60"/>
              <w:jc w:val="center"/>
              <w:rPr>
                <w:b/>
                <w:bCs/>
                <w:sz w:val="20"/>
                <w:szCs w:val="20"/>
              </w:rPr>
            </w:pPr>
            <w:r w:rsidRPr="007668C1">
              <w:rPr>
                <w:b/>
                <w:bCs/>
                <w:sz w:val="20"/>
                <w:szCs w:val="20"/>
              </w:rPr>
              <w:t>Beruházási elem</w:t>
            </w:r>
          </w:p>
        </w:tc>
        <w:tc>
          <w:tcPr>
            <w:tcW w:w="3679" w:type="dxa"/>
            <w:shd w:val="clear" w:color="auto" w:fill="BDD6EE" w:themeFill="accent5" w:themeFillTint="66"/>
            <w:vAlign w:val="center"/>
          </w:tcPr>
          <w:p w14:paraId="7A59DA3B" w14:textId="0DC3E1C1" w:rsidR="00115E1F" w:rsidRPr="007668C1" w:rsidRDefault="00115E1F" w:rsidP="00AD7EAF">
            <w:pPr>
              <w:spacing w:before="60" w:after="60"/>
              <w:jc w:val="center"/>
              <w:rPr>
                <w:b/>
                <w:bCs/>
                <w:sz w:val="20"/>
                <w:szCs w:val="20"/>
              </w:rPr>
            </w:pPr>
            <w:r w:rsidRPr="007668C1">
              <w:rPr>
                <w:b/>
                <w:bCs/>
                <w:sz w:val="20"/>
                <w:szCs w:val="20"/>
              </w:rPr>
              <w:t>A beruházási elem ismertetése</w:t>
            </w:r>
          </w:p>
        </w:tc>
        <w:tc>
          <w:tcPr>
            <w:tcW w:w="1077" w:type="dxa"/>
            <w:shd w:val="clear" w:color="auto" w:fill="BDD6EE" w:themeFill="accent5" w:themeFillTint="66"/>
            <w:vAlign w:val="center"/>
          </w:tcPr>
          <w:p w14:paraId="6415F182" w14:textId="2DD16DD5" w:rsidR="00115E1F" w:rsidRPr="007668C1" w:rsidRDefault="00115E1F" w:rsidP="00AD7EAF">
            <w:pPr>
              <w:spacing w:before="60" w:after="60"/>
              <w:jc w:val="center"/>
              <w:rPr>
                <w:b/>
                <w:bCs/>
                <w:sz w:val="20"/>
                <w:szCs w:val="20"/>
              </w:rPr>
            </w:pPr>
            <w:r w:rsidRPr="007668C1">
              <w:rPr>
                <w:b/>
                <w:bCs/>
                <w:sz w:val="20"/>
                <w:szCs w:val="20"/>
              </w:rPr>
              <w:t>Egység</w:t>
            </w:r>
          </w:p>
        </w:tc>
        <w:tc>
          <w:tcPr>
            <w:tcW w:w="1705" w:type="dxa"/>
            <w:shd w:val="clear" w:color="auto" w:fill="BDD6EE" w:themeFill="accent5" w:themeFillTint="66"/>
            <w:vAlign w:val="center"/>
          </w:tcPr>
          <w:p w14:paraId="38DEED9B" w14:textId="2BC70157" w:rsidR="00115E1F" w:rsidRPr="007668C1" w:rsidRDefault="00115E1F" w:rsidP="00AD7EAF">
            <w:pPr>
              <w:spacing w:before="60" w:after="60"/>
              <w:jc w:val="center"/>
              <w:rPr>
                <w:b/>
                <w:bCs/>
                <w:sz w:val="20"/>
                <w:szCs w:val="20"/>
              </w:rPr>
            </w:pPr>
            <w:r w:rsidRPr="007668C1">
              <w:rPr>
                <w:b/>
                <w:bCs/>
                <w:sz w:val="20"/>
                <w:szCs w:val="20"/>
              </w:rPr>
              <w:t xml:space="preserve">Jelenlegi </w:t>
            </w:r>
            <w:r w:rsidR="00C32E33">
              <w:rPr>
                <w:b/>
                <w:bCs/>
                <w:sz w:val="20"/>
                <w:szCs w:val="20"/>
              </w:rPr>
              <w:t>fűtési hőigény</w:t>
            </w:r>
            <w:r w:rsidRPr="007668C1">
              <w:rPr>
                <w:b/>
                <w:bCs/>
                <w:sz w:val="20"/>
                <w:szCs w:val="20"/>
              </w:rPr>
              <w:t xml:space="preserve"> (</w:t>
            </w:r>
            <w:r w:rsidR="00C32E33">
              <w:rPr>
                <w:b/>
                <w:bCs/>
                <w:sz w:val="20"/>
                <w:szCs w:val="20"/>
              </w:rPr>
              <w:t>M</w:t>
            </w:r>
            <w:r w:rsidRPr="007668C1">
              <w:rPr>
                <w:b/>
                <w:bCs/>
                <w:sz w:val="20"/>
                <w:szCs w:val="20"/>
              </w:rPr>
              <w:t>Wh/év)</w:t>
            </w:r>
          </w:p>
        </w:tc>
        <w:tc>
          <w:tcPr>
            <w:tcW w:w="1306" w:type="dxa"/>
            <w:shd w:val="clear" w:color="auto" w:fill="BDD6EE" w:themeFill="accent5" w:themeFillTint="66"/>
            <w:vAlign w:val="center"/>
          </w:tcPr>
          <w:p w14:paraId="5B4E23EE" w14:textId="49F25D06" w:rsidR="00115E1F" w:rsidRPr="007668C1" w:rsidRDefault="00DE40C7" w:rsidP="00AD7EAF">
            <w:pPr>
              <w:spacing w:before="60" w:after="60"/>
              <w:jc w:val="center"/>
              <w:rPr>
                <w:b/>
                <w:bCs/>
                <w:sz w:val="20"/>
                <w:szCs w:val="20"/>
              </w:rPr>
            </w:pPr>
            <w:r>
              <w:rPr>
                <w:b/>
                <w:bCs/>
                <w:sz w:val="20"/>
                <w:szCs w:val="20"/>
              </w:rPr>
              <w:t>F</w:t>
            </w:r>
            <w:r w:rsidRPr="00DE40C7">
              <w:rPr>
                <w:b/>
                <w:bCs/>
                <w:sz w:val="20"/>
                <w:szCs w:val="20"/>
              </w:rPr>
              <w:t xml:space="preserve">űtési hőigény </w:t>
            </w:r>
            <w:r w:rsidR="00115E1F" w:rsidRPr="007668C1">
              <w:rPr>
                <w:b/>
                <w:bCs/>
                <w:sz w:val="20"/>
                <w:szCs w:val="20"/>
              </w:rPr>
              <w:t>megtakarítás (%)</w:t>
            </w:r>
          </w:p>
        </w:tc>
        <w:tc>
          <w:tcPr>
            <w:tcW w:w="1136" w:type="dxa"/>
            <w:shd w:val="clear" w:color="auto" w:fill="BDD6EE" w:themeFill="accent5" w:themeFillTint="66"/>
            <w:vAlign w:val="center"/>
          </w:tcPr>
          <w:p w14:paraId="3C479BE4" w14:textId="77777777" w:rsidR="00115E1F" w:rsidRDefault="00115E1F" w:rsidP="00AD7EAF">
            <w:pPr>
              <w:spacing w:before="60" w:after="60"/>
              <w:jc w:val="center"/>
              <w:rPr>
                <w:b/>
                <w:bCs/>
                <w:sz w:val="20"/>
                <w:szCs w:val="20"/>
              </w:rPr>
            </w:pPr>
            <w:r w:rsidRPr="007668C1">
              <w:rPr>
                <w:b/>
                <w:bCs/>
                <w:sz w:val="20"/>
                <w:szCs w:val="20"/>
              </w:rPr>
              <w:t>Megújuló energia termelés</w:t>
            </w:r>
          </w:p>
          <w:p w14:paraId="5FC54C62" w14:textId="223456D1" w:rsidR="00C9280B" w:rsidRPr="007668C1" w:rsidRDefault="00C9280B" w:rsidP="00AD7EAF">
            <w:pPr>
              <w:spacing w:before="60" w:after="60"/>
              <w:jc w:val="center"/>
              <w:rPr>
                <w:b/>
                <w:bCs/>
                <w:sz w:val="20"/>
                <w:szCs w:val="20"/>
              </w:rPr>
            </w:pPr>
            <w:r w:rsidRPr="007668C1">
              <w:rPr>
                <w:b/>
                <w:bCs/>
                <w:sz w:val="20"/>
                <w:szCs w:val="20"/>
              </w:rPr>
              <w:t>(</w:t>
            </w:r>
            <w:r>
              <w:rPr>
                <w:b/>
                <w:bCs/>
                <w:sz w:val="20"/>
                <w:szCs w:val="20"/>
              </w:rPr>
              <w:t>M</w:t>
            </w:r>
            <w:r w:rsidRPr="007668C1">
              <w:rPr>
                <w:b/>
                <w:bCs/>
                <w:sz w:val="20"/>
                <w:szCs w:val="20"/>
              </w:rPr>
              <w:t>Wh/év)</w:t>
            </w:r>
          </w:p>
        </w:tc>
        <w:tc>
          <w:tcPr>
            <w:tcW w:w="1487" w:type="dxa"/>
            <w:shd w:val="clear" w:color="auto" w:fill="BDD6EE" w:themeFill="accent5" w:themeFillTint="66"/>
            <w:vAlign w:val="center"/>
          </w:tcPr>
          <w:p w14:paraId="2F102D29" w14:textId="61118793" w:rsidR="00115E1F" w:rsidRPr="007668C1" w:rsidRDefault="00115E1F" w:rsidP="00AD7EAF">
            <w:pPr>
              <w:spacing w:before="60" w:after="60"/>
              <w:jc w:val="center"/>
              <w:rPr>
                <w:b/>
                <w:bCs/>
                <w:sz w:val="20"/>
                <w:szCs w:val="20"/>
              </w:rPr>
            </w:pPr>
            <w:r w:rsidRPr="007668C1">
              <w:rPr>
                <w:b/>
                <w:bCs/>
                <w:sz w:val="20"/>
                <w:szCs w:val="20"/>
              </w:rPr>
              <w:t>Megtérülési idő</w:t>
            </w:r>
          </w:p>
        </w:tc>
        <w:tc>
          <w:tcPr>
            <w:tcW w:w="1480" w:type="dxa"/>
            <w:shd w:val="clear" w:color="auto" w:fill="BDD6EE" w:themeFill="accent5" w:themeFillTint="66"/>
            <w:vAlign w:val="center"/>
          </w:tcPr>
          <w:p w14:paraId="1AA14468" w14:textId="099F0E29" w:rsidR="00115E1F" w:rsidRPr="007668C1" w:rsidRDefault="00115E1F" w:rsidP="00AD7EAF">
            <w:pPr>
              <w:spacing w:before="60" w:after="60"/>
              <w:jc w:val="center"/>
              <w:rPr>
                <w:b/>
                <w:bCs/>
                <w:sz w:val="20"/>
                <w:szCs w:val="20"/>
              </w:rPr>
            </w:pPr>
            <w:r w:rsidRPr="007668C1">
              <w:rPr>
                <w:b/>
                <w:bCs/>
                <w:sz w:val="20"/>
                <w:szCs w:val="20"/>
              </w:rPr>
              <w:t>Beruházási költség összesen (EUR)</w:t>
            </w:r>
          </w:p>
        </w:tc>
      </w:tr>
      <w:tr w:rsidR="00AD7EAF" w:rsidRPr="007668C1" w14:paraId="0E3F41AC" w14:textId="77777777" w:rsidTr="007668C1">
        <w:tc>
          <w:tcPr>
            <w:tcW w:w="402" w:type="dxa"/>
            <w:vAlign w:val="center"/>
          </w:tcPr>
          <w:p w14:paraId="5A9583B1" w14:textId="2159F01D" w:rsidR="00115E1F" w:rsidRPr="007668C1" w:rsidRDefault="00115E1F" w:rsidP="00AD7EAF">
            <w:pPr>
              <w:pStyle w:val="Listaszerbekezds"/>
              <w:numPr>
                <w:ilvl w:val="0"/>
                <w:numId w:val="3"/>
              </w:numPr>
              <w:spacing w:before="60" w:after="60"/>
              <w:ind w:left="0" w:firstLine="0"/>
              <w:jc w:val="center"/>
              <w:rPr>
                <w:sz w:val="20"/>
                <w:szCs w:val="20"/>
              </w:rPr>
            </w:pPr>
          </w:p>
        </w:tc>
        <w:tc>
          <w:tcPr>
            <w:tcW w:w="1720" w:type="dxa"/>
            <w:vAlign w:val="center"/>
          </w:tcPr>
          <w:p w14:paraId="34E9FDF6" w14:textId="6FB2B806" w:rsidR="00115E1F" w:rsidRPr="007668C1" w:rsidRDefault="007668C1" w:rsidP="00AD7EAF">
            <w:pPr>
              <w:spacing w:before="60" w:after="60"/>
              <w:jc w:val="left"/>
              <w:rPr>
                <w:sz w:val="20"/>
                <w:szCs w:val="20"/>
              </w:rPr>
            </w:pPr>
            <w:r w:rsidRPr="007668C1">
              <w:rPr>
                <w:sz w:val="20"/>
                <w:szCs w:val="20"/>
              </w:rPr>
              <w:t>Épületek hőtechnikai felújítása</w:t>
            </w:r>
          </w:p>
        </w:tc>
        <w:tc>
          <w:tcPr>
            <w:tcW w:w="3679" w:type="dxa"/>
            <w:vAlign w:val="center"/>
          </w:tcPr>
          <w:p w14:paraId="0FC085FC" w14:textId="1EEFF3B5" w:rsidR="00115E1F" w:rsidRPr="007668C1" w:rsidRDefault="007668C1" w:rsidP="00AD7EAF">
            <w:pPr>
              <w:spacing w:before="60" w:after="60"/>
              <w:jc w:val="left"/>
              <w:rPr>
                <w:sz w:val="20"/>
                <w:szCs w:val="20"/>
              </w:rPr>
            </w:pPr>
            <w:r w:rsidRPr="007668C1">
              <w:rPr>
                <w:sz w:val="20"/>
                <w:szCs w:val="20"/>
              </w:rPr>
              <w:t>Hőtechnikai felújítás a nyílászárók (háromrétegű) cseréjével, a határoló felületek hőszigetelésével (műemléki épületek</w:t>
            </w:r>
            <w:r>
              <w:rPr>
                <w:sz w:val="20"/>
                <w:szCs w:val="20"/>
              </w:rPr>
              <w:t xml:space="preserve"> esetében kétrétegű üvegezés, illetve belső hőszigetelés).</w:t>
            </w:r>
          </w:p>
        </w:tc>
        <w:tc>
          <w:tcPr>
            <w:tcW w:w="1077" w:type="dxa"/>
            <w:vAlign w:val="center"/>
          </w:tcPr>
          <w:p w14:paraId="67E0D030" w14:textId="67653568" w:rsidR="00115E1F" w:rsidRPr="007668C1" w:rsidRDefault="002743D3" w:rsidP="00AD7EAF">
            <w:pPr>
              <w:spacing w:before="60" w:after="60"/>
              <w:jc w:val="center"/>
              <w:rPr>
                <w:sz w:val="20"/>
                <w:szCs w:val="20"/>
              </w:rPr>
            </w:pPr>
            <w:r>
              <w:rPr>
                <w:sz w:val="20"/>
                <w:szCs w:val="20"/>
              </w:rPr>
              <w:t>29</w:t>
            </w:r>
            <w:r w:rsidR="007668C1">
              <w:rPr>
                <w:sz w:val="20"/>
                <w:szCs w:val="20"/>
              </w:rPr>
              <w:t xml:space="preserve"> db</w:t>
            </w:r>
            <w:r w:rsidR="00AD7EAF">
              <w:rPr>
                <w:sz w:val="20"/>
                <w:szCs w:val="20"/>
              </w:rPr>
              <w:t xml:space="preserve"> önkormányzati </w:t>
            </w:r>
            <w:r w:rsidR="007668C1">
              <w:rPr>
                <w:sz w:val="20"/>
                <w:szCs w:val="20"/>
              </w:rPr>
              <w:t>lakóépület</w:t>
            </w:r>
          </w:p>
        </w:tc>
        <w:tc>
          <w:tcPr>
            <w:tcW w:w="1705" w:type="dxa"/>
            <w:vAlign w:val="center"/>
          </w:tcPr>
          <w:p w14:paraId="369FB1C2" w14:textId="26549187" w:rsidR="00115E1F" w:rsidRPr="007668C1" w:rsidRDefault="004C1B3E" w:rsidP="00AD7EAF">
            <w:pPr>
              <w:spacing w:before="60" w:after="60"/>
              <w:jc w:val="center"/>
              <w:rPr>
                <w:sz w:val="20"/>
                <w:szCs w:val="20"/>
              </w:rPr>
            </w:pPr>
            <w:r>
              <w:rPr>
                <w:sz w:val="20"/>
                <w:szCs w:val="20"/>
              </w:rPr>
              <w:t>6.095</w:t>
            </w:r>
          </w:p>
        </w:tc>
        <w:tc>
          <w:tcPr>
            <w:tcW w:w="1306" w:type="dxa"/>
            <w:vAlign w:val="center"/>
          </w:tcPr>
          <w:p w14:paraId="27731DAB" w14:textId="1122E061" w:rsidR="00115E1F" w:rsidRPr="007668C1" w:rsidRDefault="00C32E33" w:rsidP="00AD7EAF">
            <w:pPr>
              <w:spacing w:before="60" w:after="60"/>
              <w:jc w:val="center"/>
              <w:rPr>
                <w:sz w:val="20"/>
                <w:szCs w:val="20"/>
              </w:rPr>
            </w:pPr>
            <w:r>
              <w:rPr>
                <w:sz w:val="20"/>
                <w:szCs w:val="20"/>
              </w:rPr>
              <w:t>63,</w:t>
            </w:r>
            <w:r w:rsidR="004C1B3E">
              <w:rPr>
                <w:sz w:val="20"/>
                <w:szCs w:val="20"/>
              </w:rPr>
              <w:t>1</w:t>
            </w:r>
            <w:r>
              <w:rPr>
                <w:sz w:val="20"/>
                <w:szCs w:val="20"/>
              </w:rPr>
              <w:t>%</w:t>
            </w:r>
          </w:p>
        </w:tc>
        <w:tc>
          <w:tcPr>
            <w:tcW w:w="1136" w:type="dxa"/>
            <w:vAlign w:val="center"/>
          </w:tcPr>
          <w:p w14:paraId="0645F9D3" w14:textId="3F619DF8" w:rsidR="00115E1F" w:rsidRPr="007668C1" w:rsidRDefault="00C32E33" w:rsidP="00AD7EAF">
            <w:pPr>
              <w:spacing w:before="60" w:after="60"/>
              <w:jc w:val="center"/>
              <w:rPr>
                <w:sz w:val="20"/>
                <w:szCs w:val="20"/>
              </w:rPr>
            </w:pPr>
            <w:r>
              <w:rPr>
                <w:sz w:val="20"/>
                <w:szCs w:val="20"/>
              </w:rPr>
              <w:t>-</w:t>
            </w:r>
          </w:p>
        </w:tc>
        <w:tc>
          <w:tcPr>
            <w:tcW w:w="1487" w:type="dxa"/>
            <w:vAlign w:val="center"/>
          </w:tcPr>
          <w:p w14:paraId="06B2DF0D" w14:textId="3890E8D2" w:rsidR="00825BF3" w:rsidRDefault="00C32E33" w:rsidP="00AD7EAF">
            <w:pPr>
              <w:spacing w:before="60" w:after="60"/>
              <w:jc w:val="center"/>
              <w:rPr>
                <w:sz w:val="20"/>
                <w:szCs w:val="20"/>
              </w:rPr>
            </w:pPr>
            <w:r>
              <w:rPr>
                <w:sz w:val="20"/>
                <w:szCs w:val="20"/>
              </w:rPr>
              <w:t>49,</w:t>
            </w:r>
            <w:r w:rsidR="002743D3">
              <w:rPr>
                <w:sz w:val="20"/>
                <w:szCs w:val="20"/>
              </w:rPr>
              <w:t>5</w:t>
            </w:r>
            <w:r>
              <w:rPr>
                <w:sz w:val="20"/>
                <w:szCs w:val="20"/>
              </w:rPr>
              <w:t xml:space="preserve"> év</w:t>
            </w:r>
          </w:p>
          <w:p w14:paraId="458DB8D1" w14:textId="18120768" w:rsidR="00115E1F" w:rsidRPr="007668C1" w:rsidRDefault="00C32E33" w:rsidP="00AD7EAF">
            <w:pPr>
              <w:spacing w:before="60" w:after="60"/>
              <w:jc w:val="center"/>
              <w:rPr>
                <w:sz w:val="20"/>
                <w:szCs w:val="20"/>
              </w:rPr>
            </w:pPr>
            <w:r>
              <w:rPr>
                <w:sz w:val="20"/>
                <w:szCs w:val="20"/>
              </w:rPr>
              <w:t>(rezsicsökkentett árakon)</w:t>
            </w:r>
          </w:p>
        </w:tc>
        <w:tc>
          <w:tcPr>
            <w:tcW w:w="1480" w:type="dxa"/>
            <w:vAlign w:val="center"/>
          </w:tcPr>
          <w:p w14:paraId="68F8075C" w14:textId="69D25824" w:rsidR="004C1B3E" w:rsidRPr="000B4C4A" w:rsidRDefault="004C1B3E" w:rsidP="00AD7EAF">
            <w:pPr>
              <w:spacing w:before="60" w:after="60"/>
              <w:jc w:val="center"/>
              <w:rPr>
                <w:sz w:val="20"/>
                <w:szCs w:val="20"/>
              </w:rPr>
            </w:pPr>
            <w:r w:rsidRPr="004C1B3E">
              <w:rPr>
                <w:sz w:val="20"/>
                <w:szCs w:val="20"/>
              </w:rPr>
              <w:t>6</w:t>
            </w:r>
            <w:r>
              <w:rPr>
                <w:sz w:val="20"/>
                <w:szCs w:val="20"/>
              </w:rPr>
              <w:t>.</w:t>
            </w:r>
            <w:r w:rsidRPr="004C1B3E">
              <w:rPr>
                <w:sz w:val="20"/>
                <w:szCs w:val="20"/>
              </w:rPr>
              <w:t>184</w:t>
            </w:r>
            <w:r>
              <w:rPr>
                <w:sz w:val="20"/>
                <w:szCs w:val="20"/>
              </w:rPr>
              <w:t>.</w:t>
            </w:r>
            <w:r w:rsidRPr="004C1B3E">
              <w:rPr>
                <w:sz w:val="20"/>
                <w:szCs w:val="20"/>
              </w:rPr>
              <w:t>495</w:t>
            </w:r>
          </w:p>
        </w:tc>
      </w:tr>
      <w:tr w:rsidR="00AD7EAF" w:rsidRPr="007668C1" w14:paraId="3331E9E9" w14:textId="77777777" w:rsidTr="007668C1">
        <w:tc>
          <w:tcPr>
            <w:tcW w:w="402" w:type="dxa"/>
            <w:vMerge w:val="restart"/>
            <w:vAlign w:val="center"/>
          </w:tcPr>
          <w:p w14:paraId="2BC71085" w14:textId="60F13A64" w:rsidR="00A35439" w:rsidRPr="007668C1" w:rsidRDefault="00A35439" w:rsidP="00AD7EAF">
            <w:pPr>
              <w:pStyle w:val="Listaszerbekezds"/>
              <w:numPr>
                <w:ilvl w:val="0"/>
                <w:numId w:val="3"/>
              </w:numPr>
              <w:spacing w:before="60" w:after="60"/>
              <w:ind w:left="0" w:firstLine="0"/>
              <w:jc w:val="center"/>
              <w:rPr>
                <w:sz w:val="20"/>
                <w:szCs w:val="20"/>
              </w:rPr>
            </w:pPr>
          </w:p>
        </w:tc>
        <w:tc>
          <w:tcPr>
            <w:tcW w:w="1720" w:type="dxa"/>
            <w:vMerge w:val="restart"/>
            <w:vAlign w:val="center"/>
          </w:tcPr>
          <w:p w14:paraId="0ED1782A" w14:textId="0EADD18B" w:rsidR="00A35439" w:rsidRPr="007668C1" w:rsidRDefault="00A35439" w:rsidP="00AD7EAF">
            <w:pPr>
              <w:spacing w:before="60" w:after="60"/>
              <w:jc w:val="left"/>
              <w:rPr>
                <w:sz w:val="20"/>
                <w:szCs w:val="20"/>
              </w:rPr>
            </w:pPr>
            <w:r w:rsidRPr="00D84F52">
              <w:rPr>
                <w:sz w:val="20"/>
                <w:szCs w:val="20"/>
              </w:rPr>
              <w:t>Hőszivattyús ellátás gáz</w:t>
            </w:r>
            <w:r>
              <w:rPr>
                <w:sz w:val="20"/>
                <w:szCs w:val="20"/>
              </w:rPr>
              <w:t xml:space="preserve"> vagy </w:t>
            </w:r>
            <w:r w:rsidRPr="00D84F52">
              <w:rPr>
                <w:sz w:val="20"/>
                <w:szCs w:val="20"/>
              </w:rPr>
              <w:t>villamos energia fűtési ellátás helyett</w:t>
            </w:r>
            <w:r>
              <w:rPr>
                <w:sz w:val="20"/>
                <w:szCs w:val="20"/>
              </w:rPr>
              <w:t xml:space="preserve"> (A, B, C verzió)</w:t>
            </w:r>
          </w:p>
        </w:tc>
        <w:tc>
          <w:tcPr>
            <w:tcW w:w="3679" w:type="dxa"/>
            <w:vAlign w:val="center"/>
          </w:tcPr>
          <w:p w14:paraId="14FB9F6E" w14:textId="47D884CD" w:rsidR="00A35439" w:rsidRPr="007668C1" w:rsidRDefault="00A35439" w:rsidP="00AD7EAF">
            <w:pPr>
              <w:spacing w:before="60" w:after="60"/>
              <w:jc w:val="left"/>
              <w:rPr>
                <w:sz w:val="20"/>
                <w:szCs w:val="20"/>
              </w:rPr>
            </w:pPr>
            <w:r w:rsidRPr="00D84F52">
              <w:rPr>
                <w:sz w:val="20"/>
                <w:szCs w:val="20"/>
              </w:rPr>
              <w:t>A verzió: épület-központi ellátás (levegő-víz HP központi fűtési rendszerhez)</w:t>
            </w:r>
            <w:r>
              <w:rPr>
                <w:sz w:val="20"/>
                <w:szCs w:val="20"/>
              </w:rPr>
              <w:t xml:space="preserve">: </w:t>
            </w:r>
            <w:r w:rsidRPr="00D84F52">
              <w:rPr>
                <w:sz w:val="20"/>
                <w:szCs w:val="20"/>
              </w:rPr>
              <w:t>a meglévő központi fűtésű épületekben a gázkazán helyére kerül a hidro-blokkos levegő-víz hőszivattyú, amely a meglévő szekunder radiátoros rendszerhez csatlakozik. Azokban az épületekben (ez a többség), ahol jelenleg nincs szekunder rendszer, azt ki kell építeni.</w:t>
            </w:r>
          </w:p>
        </w:tc>
        <w:tc>
          <w:tcPr>
            <w:tcW w:w="1077" w:type="dxa"/>
            <w:vAlign w:val="center"/>
          </w:tcPr>
          <w:p w14:paraId="141FECF8" w14:textId="783DE971" w:rsidR="00A35439" w:rsidRPr="007668C1" w:rsidRDefault="00AD7EAF" w:rsidP="00AD7EAF">
            <w:pPr>
              <w:spacing w:before="60" w:after="60"/>
              <w:jc w:val="center"/>
              <w:rPr>
                <w:sz w:val="20"/>
                <w:szCs w:val="20"/>
              </w:rPr>
            </w:pPr>
            <w:r>
              <w:rPr>
                <w:sz w:val="20"/>
                <w:szCs w:val="20"/>
              </w:rPr>
              <w:t>29 db önkormányzati lakóépület</w:t>
            </w:r>
          </w:p>
        </w:tc>
        <w:tc>
          <w:tcPr>
            <w:tcW w:w="1705" w:type="dxa"/>
            <w:vAlign w:val="center"/>
          </w:tcPr>
          <w:p w14:paraId="27D2ADCD" w14:textId="32F89C4F" w:rsidR="00A35439" w:rsidRPr="007668C1" w:rsidRDefault="00D1081E" w:rsidP="00AD7EAF">
            <w:pPr>
              <w:spacing w:before="60" w:after="60"/>
              <w:jc w:val="center"/>
              <w:rPr>
                <w:sz w:val="20"/>
                <w:szCs w:val="20"/>
              </w:rPr>
            </w:pPr>
            <w:r>
              <w:rPr>
                <w:sz w:val="20"/>
                <w:szCs w:val="20"/>
              </w:rPr>
              <w:t>2.233</w:t>
            </w:r>
          </w:p>
        </w:tc>
        <w:tc>
          <w:tcPr>
            <w:tcW w:w="1306" w:type="dxa"/>
            <w:vAlign w:val="center"/>
          </w:tcPr>
          <w:p w14:paraId="586264CB" w14:textId="3EDCB815" w:rsidR="00A35439" w:rsidRPr="007668C1" w:rsidRDefault="00C9280B" w:rsidP="00AD7EAF">
            <w:pPr>
              <w:spacing w:before="60" w:after="60"/>
              <w:jc w:val="center"/>
              <w:rPr>
                <w:sz w:val="20"/>
                <w:szCs w:val="20"/>
              </w:rPr>
            </w:pPr>
            <w:r>
              <w:rPr>
                <w:sz w:val="20"/>
                <w:szCs w:val="20"/>
              </w:rPr>
              <w:t>0%</w:t>
            </w:r>
          </w:p>
        </w:tc>
        <w:tc>
          <w:tcPr>
            <w:tcW w:w="1136" w:type="dxa"/>
            <w:vAlign w:val="center"/>
          </w:tcPr>
          <w:p w14:paraId="51C198FC" w14:textId="53EF9D07" w:rsidR="00A35439" w:rsidRPr="007668C1" w:rsidRDefault="00D1081E" w:rsidP="00AD7EAF">
            <w:pPr>
              <w:spacing w:before="60" w:after="60"/>
              <w:jc w:val="center"/>
              <w:rPr>
                <w:sz w:val="20"/>
                <w:szCs w:val="20"/>
              </w:rPr>
            </w:pPr>
            <w:r>
              <w:rPr>
                <w:sz w:val="20"/>
                <w:szCs w:val="20"/>
              </w:rPr>
              <w:t>1.520</w:t>
            </w:r>
          </w:p>
        </w:tc>
        <w:tc>
          <w:tcPr>
            <w:tcW w:w="1487" w:type="dxa"/>
            <w:vAlign w:val="center"/>
          </w:tcPr>
          <w:p w14:paraId="5AFF96E7" w14:textId="77777777" w:rsidR="00825BF3" w:rsidRDefault="00825BF3" w:rsidP="00AD7EAF">
            <w:pPr>
              <w:spacing w:before="60" w:after="60"/>
              <w:jc w:val="center"/>
              <w:rPr>
                <w:sz w:val="20"/>
                <w:szCs w:val="20"/>
              </w:rPr>
            </w:pPr>
            <w:r w:rsidRPr="00825BF3">
              <w:rPr>
                <w:sz w:val="20"/>
                <w:szCs w:val="20"/>
              </w:rPr>
              <w:t>54,7</w:t>
            </w:r>
            <w:r>
              <w:rPr>
                <w:sz w:val="20"/>
                <w:szCs w:val="20"/>
              </w:rPr>
              <w:t xml:space="preserve"> év</w:t>
            </w:r>
            <w:r w:rsidRPr="00825BF3">
              <w:rPr>
                <w:sz w:val="20"/>
                <w:szCs w:val="20"/>
              </w:rPr>
              <w:t xml:space="preserve"> (ahol ki kell építeni a központi fűtési rendszert), 24,1</w:t>
            </w:r>
            <w:r>
              <w:rPr>
                <w:sz w:val="20"/>
                <w:szCs w:val="20"/>
              </w:rPr>
              <w:t xml:space="preserve"> év</w:t>
            </w:r>
            <w:r w:rsidRPr="00825BF3">
              <w:rPr>
                <w:sz w:val="20"/>
                <w:szCs w:val="20"/>
              </w:rPr>
              <w:t xml:space="preserve"> (ahol nem) és 8,</w:t>
            </w:r>
            <w:r>
              <w:rPr>
                <w:sz w:val="20"/>
                <w:szCs w:val="20"/>
              </w:rPr>
              <w:t>8</w:t>
            </w:r>
            <w:r w:rsidRPr="00825BF3">
              <w:rPr>
                <w:sz w:val="20"/>
                <w:szCs w:val="20"/>
              </w:rPr>
              <w:t xml:space="preserve"> év (ahol villanyfűtés van)</w:t>
            </w:r>
          </w:p>
          <w:p w14:paraId="0B16E234" w14:textId="2C1FCCC6" w:rsidR="00A35439" w:rsidRPr="007668C1" w:rsidRDefault="00825BF3" w:rsidP="00AD7EAF">
            <w:pPr>
              <w:spacing w:before="60" w:after="60"/>
              <w:jc w:val="center"/>
              <w:rPr>
                <w:sz w:val="20"/>
                <w:szCs w:val="20"/>
              </w:rPr>
            </w:pPr>
            <w:r>
              <w:rPr>
                <w:sz w:val="20"/>
                <w:szCs w:val="20"/>
              </w:rPr>
              <w:t>(rezsicsökkentett árakon)</w:t>
            </w:r>
          </w:p>
        </w:tc>
        <w:tc>
          <w:tcPr>
            <w:tcW w:w="1480" w:type="dxa"/>
            <w:vAlign w:val="center"/>
          </w:tcPr>
          <w:p w14:paraId="07F09287" w14:textId="33DA1FE8" w:rsidR="00A35439" w:rsidRPr="007668C1" w:rsidRDefault="000B4C4A" w:rsidP="00AD7EAF">
            <w:pPr>
              <w:spacing w:before="60" w:after="60"/>
              <w:jc w:val="center"/>
              <w:rPr>
                <w:sz w:val="20"/>
                <w:szCs w:val="20"/>
              </w:rPr>
            </w:pPr>
            <w:r w:rsidRPr="000B4C4A">
              <w:rPr>
                <w:sz w:val="20"/>
                <w:szCs w:val="20"/>
              </w:rPr>
              <w:t>1</w:t>
            </w:r>
            <w:r>
              <w:rPr>
                <w:sz w:val="20"/>
                <w:szCs w:val="20"/>
              </w:rPr>
              <w:t>.</w:t>
            </w:r>
            <w:r w:rsidRPr="000B4C4A">
              <w:rPr>
                <w:sz w:val="20"/>
                <w:szCs w:val="20"/>
              </w:rPr>
              <w:t>430</w:t>
            </w:r>
            <w:r>
              <w:rPr>
                <w:sz w:val="20"/>
                <w:szCs w:val="20"/>
              </w:rPr>
              <w:t>.</w:t>
            </w:r>
            <w:r w:rsidRPr="000B4C4A">
              <w:rPr>
                <w:sz w:val="20"/>
                <w:szCs w:val="20"/>
              </w:rPr>
              <w:t>724</w:t>
            </w:r>
          </w:p>
        </w:tc>
      </w:tr>
      <w:tr w:rsidR="00AD7EAF" w:rsidRPr="007668C1" w14:paraId="545EAF40" w14:textId="77777777" w:rsidTr="007668C1">
        <w:tc>
          <w:tcPr>
            <w:tcW w:w="402" w:type="dxa"/>
            <w:vMerge/>
            <w:vAlign w:val="center"/>
          </w:tcPr>
          <w:p w14:paraId="1CE75136" w14:textId="261078A6" w:rsidR="00A35439" w:rsidRPr="007668C1" w:rsidRDefault="00A35439" w:rsidP="00AD7EAF">
            <w:pPr>
              <w:pStyle w:val="Listaszerbekezds"/>
              <w:numPr>
                <w:ilvl w:val="0"/>
                <w:numId w:val="3"/>
              </w:numPr>
              <w:spacing w:before="60" w:after="60"/>
              <w:ind w:left="0" w:firstLine="0"/>
              <w:jc w:val="center"/>
              <w:rPr>
                <w:sz w:val="20"/>
                <w:szCs w:val="20"/>
              </w:rPr>
            </w:pPr>
          </w:p>
        </w:tc>
        <w:tc>
          <w:tcPr>
            <w:tcW w:w="1720" w:type="dxa"/>
            <w:vMerge/>
            <w:vAlign w:val="center"/>
          </w:tcPr>
          <w:p w14:paraId="7123359E" w14:textId="77777777" w:rsidR="00A35439" w:rsidRPr="007668C1" w:rsidRDefault="00A35439" w:rsidP="00AD7EAF">
            <w:pPr>
              <w:spacing w:before="60" w:after="60"/>
              <w:jc w:val="left"/>
              <w:rPr>
                <w:sz w:val="20"/>
                <w:szCs w:val="20"/>
              </w:rPr>
            </w:pPr>
          </w:p>
        </w:tc>
        <w:tc>
          <w:tcPr>
            <w:tcW w:w="3679" w:type="dxa"/>
            <w:vAlign w:val="center"/>
          </w:tcPr>
          <w:p w14:paraId="6ECCE6A8" w14:textId="7EDDD1DE" w:rsidR="00A35439" w:rsidRPr="007668C1" w:rsidRDefault="00A35439" w:rsidP="00AD7EAF">
            <w:pPr>
              <w:spacing w:before="60" w:after="60"/>
              <w:jc w:val="left"/>
              <w:rPr>
                <w:sz w:val="20"/>
                <w:szCs w:val="20"/>
              </w:rPr>
            </w:pPr>
            <w:r w:rsidRPr="00D84F52">
              <w:rPr>
                <w:sz w:val="20"/>
                <w:szCs w:val="20"/>
              </w:rPr>
              <w:t>B verzió: VRF rendszerű központi HP ellátás</w:t>
            </w:r>
            <w:r>
              <w:rPr>
                <w:sz w:val="20"/>
                <w:szCs w:val="20"/>
              </w:rPr>
              <w:t xml:space="preserve">: VRF technológia esetén </w:t>
            </w:r>
            <w:r w:rsidRPr="00D84F52">
              <w:rPr>
                <w:sz w:val="20"/>
                <w:szCs w:val="20"/>
              </w:rPr>
              <w:t>egy kültéri egységhez több beltéri egység tartozik</w:t>
            </w:r>
            <w:r>
              <w:rPr>
                <w:sz w:val="20"/>
                <w:szCs w:val="20"/>
              </w:rPr>
              <w:t>. Nincs</w:t>
            </w:r>
            <w:r w:rsidRPr="00D84F52">
              <w:rPr>
                <w:sz w:val="20"/>
                <w:szCs w:val="20"/>
              </w:rPr>
              <w:t xml:space="preserve"> szükség vizes szekunder hálózatra, a hőleadást a helyiségekbe telepített beltéri egységek biztosítják, nincs hőcsere a </w:t>
            </w:r>
            <w:r w:rsidRPr="00D84F52">
              <w:rPr>
                <w:sz w:val="20"/>
                <w:szCs w:val="20"/>
              </w:rPr>
              <w:lastRenderedPageBreak/>
              <w:t xml:space="preserve">primer és szekunder rendszer között, </w:t>
            </w:r>
            <w:r>
              <w:rPr>
                <w:sz w:val="20"/>
                <w:szCs w:val="20"/>
              </w:rPr>
              <w:t xml:space="preserve"> így </w:t>
            </w:r>
            <w:r w:rsidRPr="00D84F52">
              <w:rPr>
                <w:sz w:val="20"/>
                <w:szCs w:val="20"/>
              </w:rPr>
              <w:t>az ellátás közvetlen.</w:t>
            </w:r>
          </w:p>
        </w:tc>
        <w:tc>
          <w:tcPr>
            <w:tcW w:w="1077" w:type="dxa"/>
            <w:vAlign w:val="center"/>
          </w:tcPr>
          <w:p w14:paraId="45B9A967" w14:textId="58231530" w:rsidR="00A35439" w:rsidRPr="007668C1" w:rsidRDefault="00AD7EAF" w:rsidP="00AD7EAF">
            <w:pPr>
              <w:spacing w:before="60" w:after="60"/>
              <w:jc w:val="center"/>
              <w:rPr>
                <w:sz w:val="20"/>
                <w:szCs w:val="20"/>
              </w:rPr>
            </w:pPr>
            <w:r>
              <w:rPr>
                <w:sz w:val="20"/>
                <w:szCs w:val="20"/>
              </w:rPr>
              <w:lastRenderedPageBreak/>
              <w:t>29 db önkormányzati lakóépület</w:t>
            </w:r>
          </w:p>
        </w:tc>
        <w:tc>
          <w:tcPr>
            <w:tcW w:w="1705" w:type="dxa"/>
            <w:vAlign w:val="center"/>
          </w:tcPr>
          <w:p w14:paraId="7EA49D52" w14:textId="1A38248B" w:rsidR="00A35439" w:rsidRPr="007668C1" w:rsidRDefault="00D1081E" w:rsidP="00AD7EAF">
            <w:pPr>
              <w:spacing w:before="60" w:after="60"/>
              <w:jc w:val="center"/>
              <w:rPr>
                <w:sz w:val="20"/>
                <w:szCs w:val="20"/>
              </w:rPr>
            </w:pPr>
            <w:r>
              <w:rPr>
                <w:sz w:val="20"/>
                <w:szCs w:val="20"/>
              </w:rPr>
              <w:t>2.233</w:t>
            </w:r>
          </w:p>
        </w:tc>
        <w:tc>
          <w:tcPr>
            <w:tcW w:w="1306" w:type="dxa"/>
            <w:vAlign w:val="center"/>
          </w:tcPr>
          <w:p w14:paraId="0C3448E1" w14:textId="7428AA6E" w:rsidR="00A35439" w:rsidRPr="007668C1" w:rsidRDefault="00C9280B" w:rsidP="00AD7EAF">
            <w:pPr>
              <w:spacing w:before="60" w:after="60"/>
              <w:jc w:val="center"/>
              <w:rPr>
                <w:sz w:val="20"/>
                <w:szCs w:val="20"/>
              </w:rPr>
            </w:pPr>
            <w:r>
              <w:rPr>
                <w:sz w:val="20"/>
                <w:szCs w:val="20"/>
              </w:rPr>
              <w:t>0%</w:t>
            </w:r>
          </w:p>
        </w:tc>
        <w:tc>
          <w:tcPr>
            <w:tcW w:w="1136" w:type="dxa"/>
            <w:vAlign w:val="center"/>
          </w:tcPr>
          <w:p w14:paraId="4CDC9D67" w14:textId="3C84F0A2" w:rsidR="00A35439" w:rsidRPr="007668C1" w:rsidRDefault="00D1081E" w:rsidP="00AD7EAF">
            <w:pPr>
              <w:spacing w:before="60" w:after="60"/>
              <w:jc w:val="center"/>
              <w:rPr>
                <w:sz w:val="20"/>
                <w:szCs w:val="20"/>
              </w:rPr>
            </w:pPr>
            <w:r>
              <w:rPr>
                <w:sz w:val="20"/>
                <w:szCs w:val="20"/>
              </w:rPr>
              <w:t>1.582</w:t>
            </w:r>
          </w:p>
        </w:tc>
        <w:tc>
          <w:tcPr>
            <w:tcW w:w="1487" w:type="dxa"/>
            <w:vAlign w:val="center"/>
          </w:tcPr>
          <w:p w14:paraId="64338AB4" w14:textId="77777777" w:rsidR="00825BF3" w:rsidRDefault="00825BF3" w:rsidP="00AD7EAF">
            <w:pPr>
              <w:spacing w:before="60" w:after="60"/>
              <w:jc w:val="center"/>
              <w:rPr>
                <w:sz w:val="20"/>
                <w:szCs w:val="20"/>
              </w:rPr>
            </w:pPr>
            <w:r w:rsidRPr="00825BF3">
              <w:rPr>
                <w:sz w:val="20"/>
                <w:szCs w:val="20"/>
              </w:rPr>
              <w:t xml:space="preserve">50,7 </w:t>
            </w:r>
            <w:r>
              <w:rPr>
                <w:sz w:val="20"/>
                <w:szCs w:val="20"/>
              </w:rPr>
              <w:t xml:space="preserve">év </w:t>
            </w:r>
            <w:r w:rsidRPr="00825BF3">
              <w:rPr>
                <w:sz w:val="20"/>
                <w:szCs w:val="20"/>
              </w:rPr>
              <w:t>és 9,</w:t>
            </w:r>
            <w:r>
              <w:rPr>
                <w:sz w:val="20"/>
                <w:szCs w:val="20"/>
              </w:rPr>
              <w:t>1 év</w:t>
            </w:r>
            <w:r w:rsidRPr="00825BF3">
              <w:rPr>
                <w:sz w:val="20"/>
                <w:szCs w:val="20"/>
              </w:rPr>
              <w:t xml:space="preserve"> (ahol villanyfűtés van)</w:t>
            </w:r>
          </w:p>
          <w:p w14:paraId="468F6510" w14:textId="737B81E8" w:rsidR="00825BF3" w:rsidRPr="007668C1" w:rsidRDefault="00825BF3" w:rsidP="00AD7EAF">
            <w:pPr>
              <w:spacing w:before="60" w:after="60"/>
              <w:jc w:val="center"/>
              <w:rPr>
                <w:sz w:val="20"/>
                <w:szCs w:val="20"/>
              </w:rPr>
            </w:pPr>
            <w:r>
              <w:rPr>
                <w:sz w:val="20"/>
                <w:szCs w:val="20"/>
              </w:rPr>
              <w:t>(rezsicsökkentett árakon)</w:t>
            </w:r>
          </w:p>
        </w:tc>
        <w:tc>
          <w:tcPr>
            <w:tcW w:w="1480" w:type="dxa"/>
            <w:vAlign w:val="center"/>
          </w:tcPr>
          <w:p w14:paraId="0624FF31" w14:textId="2A42B4ED" w:rsidR="00A35439" w:rsidRPr="005C6CEF" w:rsidRDefault="00D1081E" w:rsidP="00AD7EAF">
            <w:pPr>
              <w:spacing w:before="60" w:after="60"/>
              <w:jc w:val="center"/>
              <w:rPr>
                <w:sz w:val="20"/>
                <w:szCs w:val="20"/>
                <w:u w:val="single"/>
              </w:rPr>
            </w:pPr>
            <w:r w:rsidRPr="00D1081E">
              <w:rPr>
                <w:sz w:val="20"/>
                <w:szCs w:val="20"/>
                <w:u w:val="single"/>
              </w:rPr>
              <w:t>1</w:t>
            </w:r>
            <w:r>
              <w:rPr>
                <w:sz w:val="20"/>
                <w:szCs w:val="20"/>
                <w:u w:val="single"/>
              </w:rPr>
              <w:t>.</w:t>
            </w:r>
            <w:r w:rsidRPr="00D1081E">
              <w:rPr>
                <w:sz w:val="20"/>
                <w:szCs w:val="20"/>
                <w:u w:val="single"/>
              </w:rPr>
              <w:t>567</w:t>
            </w:r>
            <w:r>
              <w:rPr>
                <w:sz w:val="20"/>
                <w:szCs w:val="20"/>
                <w:u w:val="single"/>
              </w:rPr>
              <w:t>.</w:t>
            </w:r>
            <w:r w:rsidRPr="00D1081E">
              <w:rPr>
                <w:sz w:val="20"/>
                <w:szCs w:val="20"/>
                <w:u w:val="single"/>
              </w:rPr>
              <w:t>238</w:t>
            </w:r>
            <w:r w:rsidR="005C6CEF">
              <w:rPr>
                <w:rStyle w:val="Lbjegyzet-hivatkozs"/>
                <w:sz w:val="20"/>
                <w:szCs w:val="20"/>
                <w:u w:val="single"/>
              </w:rPr>
              <w:footnoteReference w:id="34"/>
            </w:r>
          </w:p>
        </w:tc>
      </w:tr>
      <w:tr w:rsidR="00AD7EAF" w:rsidRPr="007668C1" w14:paraId="0ABE7032" w14:textId="77777777" w:rsidTr="002743D3">
        <w:tc>
          <w:tcPr>
            <w:tcW w:w="402" w:type="dxa"/>
            <w:vMerge/>
            <w:tcBorders>
              <w:bottom w:val="single" w:sz="4" w:space="0" w:color="auto"/>
            </w:tcBorders>
            <w:vAlign w:val="center"/>
          </w:tcPr>
          <w:p w14:paraId="4F7609C8" w14:textId="77777777" w:rsidR="00A35439" w:rsidRPr="007668C1" w:rsidRDefault="00A35439" w:rsidP="00AD7EAF">
            <w:pPr>
              <w:pStyle w:val="Listaszerbekezds"/>
              <w:numPr>
                <w:ilvl w:val="0"/>
                <w:numId w:val="3"/>
              </w:numPr>
              <w:spacing w:before="60" w:after="60"/>
              <w:ind w:left="0" w:firstLine="0"/>
              <w:jc w:val="center"/>
              <w:rPr>
                <w:sz w:val="20"/>
                <w:szCs w:val="20"/>
              </w:rPr>
            </w:pPr>
          </w:p>
        </w:tc>
        <w:tc>
          <w:tcPr>
            <w:tcW w:w="1720" w:type="dxa"/>
            <w:vMerge/>
            <w:tcBorders>
              <w:bottom w:val="single" w:sz="4" w:space="0" w:color="auto"/>
            </w:tcBorders>
            <w:vAlign w:val="center"/>
          </w:tcPr>
          <w:p w14:paraId="7E622E32" w14:textId="77777777" w:rsidR="00A35439" w:rsidRPr="007668C1" w:rsidRDefault="00A35439" w:rsidP="00AD7EAF">
            <w:pPr>
              <w:spacing w:before="60" w:after="60"/>
              <w:jc w:val="left"/>
              <w:rPr>
                <w:sz w:val="20"/>
                <w:szCs w:val="20"/>
              </w:rPr>
            </w:pPr>
          </w:p>
        </w:tc>
        <w:tc>
          <w:tcPr>
            <w:tcW w:w="3679" w:type="dxa"/>
            <w:tcBorders>
              <w:bottom w:val="single" w:sz="4" w:space="0" w:color="auto"/>
            </w:tcBorders>
            <w:vAlign w:val="center"/>
          </w:tcPr>
          <w:p w14:paraId="17932DA0" w14:textId="623C5EA0" w:rsidR="00A35439" w:rsidRPr="007668C1" w:rsidRDefault="00A35439" w:rsidP="00AD7EAF">
            <w:pPr>
              <w:spacing w:before="60" w:after="60"/>
              <w:jc w:val="left"/>
              <w:rPr>
                <w:sz w:val="20"/>
                <w:szCs w:val="20"/>
              </w:rPr>
            </w:pPr>
            <w:r w:rsidRPr="00D84F52">
              <w:rPr>
                <w:sz w:val="20"/>
                <w:szCs w:val="20"/>
              </w:rPr>
              <w:t>C verzió: helyiség ellátás</w:t>
            </w:r>
            <w:r>
              <w:rPr>
                <w:sz w:val="20"/>
                <w:szCs w:val="20"/>
              </w:rPr>
              <w:t xml:space="preserve">: </w:t>
            </w:r>
            <w:r w:rsidRPr="00D84F52">
              <w:rPr>
                <w:sz w:val="20"/>
                <w:szCs w:val="20"/>
              </w:rPr>
              <w:t>hagyományos split klímák (levegő-levegő HP) beépítése minden fűtendő helyiségbe.</w:t>
            </w:r>
          </w:p>
        </w:tc>
        <w:tc>
          <w:tcPr>
            <w:tcW w:w="1077" w:type="dxa"/>
            <w:tcBorders>
              <w:bottom w:val="single" w:sz="4" w:space="0" w:color="auto"/>
            </w:tcBorders>
            <w:vAlign w:val="center"/>
          </w:tcPr>
          <w:p w14:paraId="044A178A" w14:textId="324CD79A" w:rsidR="00A35439" w:rsidRPr="007668C1" w:rsidRDefault="00AD7EAF" w:rsidP="00AD7EAF">
            <w:pPr>
              <w:spacing w:before="60" w:after="60"/>
              <w:jc w:val="center"/>
              <w:rPr>
                <w:sz w:val="20"/>
                <w:szCs w:val="20"/>
              </w:rPr>
            </w:pPr>
            <w:r>
              <w:rPr>
                <w:sz w:val="20"/>
                <w:szCs w:val="20"/>
              </w:rPr>
              <w:t>29 db önkormányzati lakóépület</w:t>
            </w:r>
          </w:p>
        </w:tc>
        <w:tc>
          <w:tcPr>
            <w:tcW w:w="1705" w:type="dxa"/>
            <w:tcBorders>
              <w:bottom w:val="single" w:sz="4" w:space="0" w:color="auto"/>
            </w:tcBorders>
            <w:vAlign w:val="center"/>
          </w:tcPr>
          <w:p w14:paraId="2975B664" w14:textId="5493F6D1" w:rsidR="00A35439" w:rsidRPr="007668C1" w:rsidRDefault="00D1081E" w:rsidP="00AD7EAF">
            <w:pPr>
              <w:spacing w:before="60" w:after="60"/>
              <w:jc w:val="center"/>
              <w:rPr>
                <w:sz w:val="20"/>
                <w:szCs w:val="20"/>
              </w:rPr>
            </w:pPr>
            <w:r>
              <w:rPr>
                <w:sz w:val="20"/>
                <w:szCs w:val="20"/>
              </w:rPr>
              <w:t>2.233</w:t>
            </w:r>
          </w:p>
        </w:tc>
        <w:tc>
          <w:tcPr>
            <w:tcW w:w="1306" w:type="dxa"/>
            <w:tcBorders>
              <w:bottom w:val="single" w:sz="4" w:space="0" w:color="auto"/>
            </w:tcBorders>
            <w:vAlign w:val="center"/>
          </w:tcPr>
          <w:p w14:paraId="23E2E914" w14:textId="410702E1" w:rsidR="00A35439" w:rsidRPr="007668C1" w:rsidRDefault="00C9280B" w:rsidP="00AD7EAF">
            <w:pPr>
              <w:spacing w:before="60" w:after="60"/>
              <w:jc w:val="center"/>
              <w:rPr>
                <w:sz w:val="20"/>
                <w:szCs w:val="20"/>
              </w:rPr>
            </w:pPr>
            <w:r>
              <w:rPr>
                <w:sz w:val="20"/>
                <w:szCs w:val="20"/>
              </w:rPr>
              <w:t>0%</w:t>
            </w:r>
          </w:p>
        </w:tc>
        <w:tc>
          <w:tcPr>
            <w:tcW w:w="1136" w:type="dxa"/>
            <w:tcBorders>
              <w:bottom w:val="single" w:sz="4" w:space="0" w:color="auto"/>
            </w:tcBorders>
            <w:vAlign w:val="center"/>
          </w:tcPr>
          <w:p w14:paraId="53147A6F" w14:textId="66F45E48" w:rsidR="00A35439" w:rsidRPr="00C9280B" w:rsidRDefault="00D1081E" w:rsidP="00AD7EAF">
            <w:pPr>
              <w:spacing w:before="60" w:after="60"/>
              <w:jc w:val="center"/>
              <w:rPr>
                <w:bCs/>
                <w:sz w:val="20"/>
                <w:szCs w:val="20"/>
              </w:rPr>
            </w:pPr>
            <w:r>
              <w:rPr>
                <w:sz w:val="20"/>
                <w:szCs w:val="20"/>
              </w:rPr>
              <w:t>1.582</w:t>
            </w:r>
          </w:p>
        </w:tc>
        <w:tc>
          <w:tcPr>
            <w:tcW w:w="1487" w:type="dxa"/>
            <w:tcBorders>
              <w:bottom w:val="single" w:sz="4" w:space="0" w:color="auto"/>
            </w:tcBorders>
            <w:vAlign w:val="center"/>
          </w:tcPr>
          <w:p w14:paraId="13AAE2AD" w14:textId="63B8C254" w:rsidR="00A35439" w:rsidRDefault="00825BF3" w:rsidP="00AD7EAF">
            <w:pPr>
              <w:spacing w:before="60" w:after="60"/>
              <w:jc w:val="center"/>
              <w:rPr>
                <w:sz w:val="20"/>
                <w:szCs w:val="20"/>
              </w:rPr>
            </w:pPr>
            <w:r w:rsidRPr="00825BF3">
              <w:rPr>
                <w:sz w:val="20"/>
                <w:szCs w:val="20"/>
              </w:rPr>
              <w:t>24,</w:t>
            </w:r>
            <w:r>
              <w:rPr>
                <w:sz w:val="20"/>
                <w:szCs w:val="20"/>
              </w:rPr>
              <w:t>8 év</w:t>
            </w:r>
            <w:r w:rsidRPr="00825BF3">
              <w:rPr>
                <w:sz w:val="20"/>
                <w:szCs w:val="20"/>
              </w:rPr>
              <w:t xml:space="preserve"> és 4,4</w:t>
            </w:r>
            <w:r>
              <w:rPr>
                <w:sz w:val="20"/>
                <w:szCs w:val="20"/>
              </w:rPr>
              <w:t xml:space="preserve"> év</w:t>
            </w:r>
            <w:r w:rsidRPr="00825BF3">
              <w:rPr>
                <w:sz w:val="20"/>
                <w:szCs w:val="20"/>
              </w:rPr>
              <w:t xml:space="preserve"> (ahol villanyfűtés van)</w:t>
            </w:r>
          </w:p>
          <w:p w14:paraId="53A9C9D1" w14:textId="1DC6C770" w:rsidR="00825BF3" w:rsidRPr="007668C1" w:rsidRDefault="00825BF3" w:rsidP="00AD7EAF">
            <w:pPr>
              <w:spacing w:before="60" w:after="60"/>
              <w:jc w:val="center"/>
              <w:rPr>
                <w:sz w:val="20"/>
                <w:szCs w:val="20"/>
              </w:rPr>
            </w:pPr>
            <w:r>
              <w:rPr>
                <w:sz w:val="20"/>
                <w:szCs w:val="20"/>
              </w:rPr>
              <w:t>(rezsicsökkentett árakon)</w:t>
            </w:r>
          </w:p>
        </w:tc>
        <w:tc>
          <w:tcPr>
            <w:tcW w:w="1480" w:type="dxa"/>
            <w:tcBorders>
              <w:bottom w:val="single" w:sz="4" w:space="0" w:color="auto"/>
            </w:tcBorders>
            <w:vAlign w:val="center"/>
          </w:tcPr>
          <w:p w14:paraId="33B03A6E" w14:textId="77B4E200" w:rsidR="00A35439" w:rsidRPr="007668C1" w:rsidRDefault="000B4C4A" w:rsidP="00AD7EAF">
            <w:pPr>
              <w:spacing w:before="60" w:after="60"/>
              <w:jc w:val="center"/>
              <w:rPr>
                <w:sz w:val="20"/>
                <w:szCs w:val="20"/>
              </w:rPr>
            </w:pPr>
            <w:r w:rsidRPr="000B4C4A">
              <w:rPr>
                <w:sz w:val="20"/>
                <w:szCs w:val="20"/>
              </w:rPr>
              <w:t>765</w:t>
            </w:r>
            <w:r>
              <w:rPr>
                <w:sz w:val="20"/>
                <w:szCs w:val="20"/>
              </w:rPr>
              <w:t>.</w:t>
            </w:r>
            <w:r w:rsidRPr="000B4C4A">
              <w:rPr>
                <w:sz w:val="20"/>
                <w:szCs w:val="20"/>
              </w:rPr>
              <w:t>246</w:t>
            </w:r>
          </w:p>
        </w:tc>
      </w:tr>
      <w:tr w:rsidR="00AD7EAF" w:rsidRPr="007668C1" w14:paraId="2FFFBACA" w14:textId="77777777" w:rsidTr="002743D3">
        <w:tc>
          <w:tcPr>
            <w:tcW w:w="402" w:type="dxa"/>
            <w:tcBorders>
              <w:bottom w:val="single" w:sz="18" w:space="0" w:color="auto"/>
            </w:tcBorders>
            <w:vAlign w:val="center"/>
          </w:tcPr>
          <w:p w14:paraId="46E2E6A9" w14:textId="77777777" w:rsidR="00115E1F" w:rsidRPr="007668C1" w:rsidRDefault="00115E1F" w:rsidP="00AD7EAF">
            <w:pPr>
              <w:pStyle w:val="Listaszerbekezds"/>
              <w:numPr>
                <w:ilvl w:val="0"/>
                <w:numId w:val="3"/>
              </w:numPr>
              <w:spacing w:before="60" w:after="60"/>
              <w:ind w:left="0" w:firstLine="0"/>
              <w:jc w:val="center"/>
              <w:rPr>
                <w:sz w:val="20"/>
                <w:szCs w:val="20"/>
              </w:rPr>
            </w:pPr>
          </w:p>
        </w:tc>
        <w:tc>
          <w:tcPr>
            <w:tcW w:w="1720" w:type="dxa"/>
            <w:tcBorders>
              <w:bottom w:val="single" w:sz="18" w:space="0" w:color="auto"/>
            </w:tcBorders>
            <w:vAlign w:val="center"/>
          </w:tcPr>
          <w:p w14:paraId="09B7B997" w14:textId="2D2BA033" w:rsidR="00115E1F" w:rsidRPr="007668C1" w:rsidRDefault="007B7232" w:rsidP="00AD7EAF">
            <w:pPr>
              <w:spacing w:before="60" w:after="60"/>
              <w:jc w:val="left"/>
              <w:rPr>
                <w:sz w:val="20"/>
                <w:szCs w:val="20"/>
              </w:rPr>
            </w:pPr>
            <w:r w:rsidRPr="007B7232">
              <w:rPr>
                <w:sz w:val="20"/>
                <w:szCs w:val="20"/>
              </w:rPr>
              <w:t>PV napelemek telepítése 1</w:t>
            </w:r>
            <w:r w:rsidR="002743D3">
              <w:rPr>
                <w:sz w:val="20"/>
                <w:szCs w:val="20"/>
              </w:rPr>
              <w:t xml:space="preserve">5 </w:t>
            </w:r>
            <w:r w:rsidRPr="007B7232">
              <w:rPr>
                <w:sz w:val="20"/>
                <w:szCs w:val="20"/>
              </w:rPr>
              <w:t>lakóépületre</w:t>
            </w:r>
          </w:p>
        </w:tc>
        <w:tc>
          <w:tcPr>
            <w:tcW w:w="3679" w:type="dxa"/>
            <w:tcBorders>
              <w:bottom w:val="single" w:sz="18" w:space="0" w:color="auto"/>
            </w:tcBorders>
            <w:vAlign w:val="center"/>
          </w:tcPr>
          <w:p w14:paraId="68578150" w14:textId="4882DC29" w:rsidR="00115E1F" w:rsidRPr="007668C1" w:rsidRDefault="007B7232" w:rsidP="00AD7EAF">
            <w:pPr>
              <w:spacing w:before="60" w:after="60"/>
              <w:jc w:val="left"/>
              <w:rPr>
                <w:sz w:val="20"/>
                <w:szCs w:val="20"/>
              </w:rPr>
            </w:pPr>
            <w:r>
              <w:rPr>
                <w:sz w:val="20"/>
                <w:szCs w:val="20"/>
              </w:rPr>
              <w:t>L</w:t>
            </w:r>
            <w:r w:rsidRPr="007B7232">
              <w:rPr>
                <w:sz w:val="20"/>
                <w:szCs w:val="20"/>
              </w:rPr>
              <w:t>akóépületek tetőfelületeinek</w:t>
            </w:r>
            <w:r>
              <w:t xml:space="preserve"> </w:t>
            </w:r>
            <w:r w:rsidRPr="007B7232">
              <w:rPr>
                <w:sz w:val="20"/>
                <w:szCs w:val="20"/>
              </w:rPr>
              <w:t xml:space="preserve">befedése napelemekkel megközelítőleg </w:t>
            </w:r>
            <w:r w:rsidR="002C420F">
              <w:rPr>
                <w:sz w:val="20"/>
                <w:szCs w:val="20"/>
              </w:rPr>
              <w:t>423</w:t>
            </w:r>
            <w:r w:rsidRPr="007B7232">
              <w:rPr>
                <w:sz w:val="20"/>
                <w:szCs w:val="20"/>
              </w:rPr>
              <w:t xml:space="preserve"> kW</w:t>
            </w:r>
            <w:r w:rsidRPr="007B7232">
              <w:rPr>
                <w:sz w:val="20"/>
                <w:szCs w:val="20"/>
                <w:vertAlign w:val="subscript"/>
              </w:rPr>
              <w:t>p</w:t>
            </w:r>
            <w:r w:rsidRPr="007B7232">
              <w:rPr>
                <w:sz w:val="20"/>
                <w:szCs w:val="20"/>
              </w:rPr>
              <w:t xml:space="preserve"> teljesítménnyel.</w:t>
            </w:r>
          </w:p>
        </w:tc>
        <w:tc>
          <w:tcPr>
            <w:tcW w:w="1077" w:type="dxa"/>
            <w:tcBorders>
              <w:bottom w:val="single" w:sz="18" w:space="0" w:color="auto"/>
            </w:tcBorders>
            <w:vAlign w:val="center"/>
          </w:tcPr>
          <w:p w14:paraId="0008C165" w14:textId="175AEE45" w:rsidR="00115E1F" w:rsidRPr="007668C1" w:rsidRDefault="002C420F" w:rsidP="00AD7EAF">
            <w:pPr>
              <w:spacing w:before="60" w:after="60"/>
              <w:jc w:val="center"/>
              <w:rPr>
                <w:sz w:val="20"/>
                <w:szCs w:val="20"/>
              </w:rPr>
            </w:pPr>
            <w:r>
              <w:rPr>
                <w:sz w:val="20"/>
                <w:szCs w:val="20"/>
              </w:rPr>
              <w:t>15</w:t>
            </w:r>
            <w:r w:rsidR="00FC0860">
              <w:rPr>
                <w:sz w:val="20"/>
                <w:szCs w:val="20"/>
              </w:rPr>
              <w:t xml:space="preserve"> db</w:t>
            </w:r>
            <w:r w:rsidR="00AD7EAF">
              <w:rPr>
                <w:sz w:val="20"/>
                <w:szCs w:val="20"/>
              </w:rPr>
              <w:t xml:space="preserve"> önkormányzati</w:t>
            </w:r>
            <w:r w:rsidR="00FC0860">
              <w:rPr>
                <w:sz w:val="20"/>
                <w:szCs w:val="20"/>
              </w:rPr>
              <w:t xml:space="preserve"> lakóépület</w:t>
            </w:r>
          </w:p>
        </w:tc>
        <w:tc>
          <w:tcPr>
            <w:tcW w:w="1705" w:type="dxa"/>
            <w:tcBorders>
              <w:bottom w:val="single" w:sz="18" w:space="0" w:color="auto"/>
            </w:tcBorders>
            <w:vAlign w:val="center"/>
          </w:tcPr>
          <w:p w14:paraId="6AEFDF4F" w14:textId="53FFF176" w:rsidR="00115E1F" w:rsidRPr="007668C1" w:rsidRDefault="00825BF3" w:rsidP="00AD7EAF">
            <w:pPr>
              <w:spacing w:before="60" w:after="60"/>
              <w:jc w:val="center"/>
              <w:rPr>
                <w:sz w:val="20"/>
                <w:szCs w:val="20"/>
              </w:rPr>
            </w:pPr>
            <w:r>
              <w:rPr>
                <w:sz w:val="20"/>
                <w:szCs w:val="20"/>
              </w:rPr>
              <w:t>-</w:t>
            </w:r>
          </w:p>
        </w:tc>
        <w:tc>
          <w:tcPr>
            <w:tcW w:w="1306" w:type="dxa"/>
            <w:tcBorders>
              <w:bottom w:val="single" w:sz="18" w:space="0" w:color="auto"/>
            </w:tcBorders>
            <w:vAlign w:val="center"/>
          </w:tcPr>
          <w:p w14:paraId="0F56CC92" w14:textId="1CDF1183" w:rsidR="00115E1F" w:rsidRPr="007668C1" w:rsidRDefault="00825BF3" w:rsidP="00AD7EAF">
            <w:pPr>
              <w:spacing w:before="60" w:after="60"/>
              <w:jc w:val="center"/>
              <w:rPr>
                <w:sz w:val="20"/>
                <w:szCs w:val="20"/>
              </w:rPr>
            </w:pPr>
            <w:r>
              <w:rPr>
                <w:sz w:val="20"/>
                <w:szCs w:val="20"/>
              </w:rPr>
              <w:t>-</w:t>
            </w:r>
          </w:p>
        </w:tc>
        <w:tc>
          <w:tcPr>
            <w:tcW w:w="1136" w:type="dxa"/>
            <w:tcBorders>
              <w:bottom w:val="single" w:sz="18" w:space="0" w:color="auto"/>
            </w:tcBorders>
            <w:vAlign w:val="center"/>
          </w:tcPr>
          <w:p w14:paraId="0FF2A953" w14:textId="7AF81DF5" w:rsidR="00115E1F" w:rsidRPr="007668C1" w:rsidRDefault="002C420F" w:rsidP="00AD7EAF">
            <w:pPr>
              <w:spacing w:before="60" w:after="60"/>
              <w:jc w:val="center"/>
              <w:rPr>
                <w:sz w:val="20"/>
                <w:szCs w:val="20"/>
              </w:rPr>
            </w:pPr>
            <w:r>
              <w:rPr>
                <w:sz w:val="20"/>
                <w:szCs w:val="20"/>
              </w:rPr>
              <w:t>424</w:t>
            </w:r>
          </w:p>
        </w:tc>
        <w:tc>
          <w:tcPr>
            <w:tcW w:w="1487" w:type="dxa"/>
            <w:tcBorders>
              <w:bottom w:val="single" w:sz="18" w:space="0" w:color="auto"/>
            </w:tcBorders>
            <w:vAlign w:val="center"/>
          </w:tcPr>
          <w:p w14:paraId="6B56960A" w14:textId="41DA4659" w:rsidR="00115E1F" w:rsidRPr="007668C1" w:rsidRDefault="00875D47" w:rsidP="00AD7EAF">
            <w:pPr>
              <w:spacing w:before="60" w:after="60"/>
              <w:jc w:val="center"/>
              <w:rPr>
                <w:sz w:val="20"/>
                <w:szCs w:val="20"/>
              </w:rPr>
            </w:pPr>
            <w:r>
              <w:rPr>
                <w:sz w:val="20"/>
                <w:szCs w:val="20"/>
              </w:rPr>
              <w:t>14,1 év (A eset), 7,6 év (B eset)</w:t>
            </w:r>
            <w:r>
              <w:rPr>
                <w:rStyle w:val="Lbjegyzet-hivatkozs"/>
                <w:sz w:val="20"/>
                <w:szCs w:val="20"/>
              </w:rPr>
              <w:footnoteReference w:id="35"/>
            </w:r>
          </w:p>
        </w:tc>
        <w:tc>
          <w:tcPr>
            <w:tcW w:w="1480" w:type="dxa"/>
            <w:tcBorders>
              <w:bottom w:val="single" w:sz="18" w:space="0" w:color="auto"/>
            </w:tcBorders>
            <w:vAlign w:val="center"/>
          </w:tcPr>
          <w:p w14:paraId="73C6E302" w14:textId="41124DD2" w:rsidR="00115E1F" w:rsidRPr="007668C1" w:rsidRDefault="002C420F" w:rsidP="00AD7EAF">
            <w:pPr>
              <w:spacing w:before="60" w:after="60"/>
              <w:jc w:val="center"/>
              <w:rPr>
                <w:sz w:val="20"/>
                <w:szCs w:val="20"/>
              </w:rPr>
            </w:pPr>
            <w:r w:rsidRPr="002C420F">
              <w:rPr>
                <w:sz w:val="20"/>
                <w:szCs w:val="20"/>
              </w:rPr>
              <w:t>565</w:t>
            </w:r>
            <w:r>
              <w:rPr>
                <w:sz w:val="20"/>
                <w:szCs w:val="20"/>
              </w:rPr>
              <w:t>.</w:t>
            </w:r>
            <w:r w:rsidRPr="002C420F">
              <w:rPr>
                <w:sz w:val="20"/>
                <w:szCs w:val="20"/>
              </w:rPr>
              <w:t>484</w:t>
            </w:r>
          </w:p>
        </w:tc>
      </w:tr>
      <w:tr w:rsidR="00AD7EAF" w:rsidRPr="007668C1" w14:paraId="107A9694" w14:textId="77777777" w:rsidTr="002743D3">
        <w:tc>
          <w:tcPr>
            <w:tcW w:w="402" w:type="dxa"/>
            <w:tcBorders>
              <w:top w:val="single" w:sz="18" w:space="0" w:color="auto"/>
            </w:tcBorders>
            <w:shd w:val="clear" w:color="auto" w:fill="E7E6E6" w:themeFill="background2"/>
            <w:vAlign w:val="center"/>
          </w:tcPr>
          <w:p w14:paraId="00ADA2FD" w14:textId="77777777" w:rsidR="00115E1F" w:rsidRPr="007668C1" w:rsidRDefault="00115E1F" w:rsidP="00AD7EAF">
            <w:pPr>
              <w:pStyle w:val="Listaszerbekezds"/>
              <w:numPr>
                <w:ilvl w:val="0"/>
                <w:numId w:val="3"/>
              </w:numPr>
              <w:spacing w:before="60" w:after="60"/>
              <w:ind w:left="0" w:firstLine="0"/>
              <w:jc w:val="center"/>
              <w:rPr>
                <w:sz w:val="20"/>
                <w:szCs w:val="20"/>
              </w:rPr>
            </w:pPr>
          </w:p>
        </w:tc>
        <w:tc>
          <w:tcPr>
            <w:tcW w:w="1720" w:type="dxa"/>
            <w:tcBorders>
              <w:top w:val="single" w:sz="18" w:space="0" w:color="auto"/>
            </w:tcBorders>
            <w:shd w:val="clear" w:color="auto" w:fill="E7E6E6" w:themeFill="background2"/>
            <w:vAlign w:val="center"/>
          </w:tcPr>
          <w:p w14:paraId="205281F4" w14:textId="26225993" w:rsidR="00115E1F" w:rsidRPr="007668C1" w:rsidRDefault="00FC0860" w:rsidP="00AD7EAF">
            <w:pPr>
              <w:spacing w:before="60" w:after="60"/>
              <w:jc w:val="left"/>
              <w:rPr>
                <w:sz w:val="20"/>
                <w:szCs w:val="20"/>
              </w:rPr>
            </w:pPr>
            <w:r w:rsidRPr="00FC0860">
              <w:rPr>
                <w:sz w:val="20"/>
                <w:szCs w:val="20"/>
              </w:rPr>
              <w:t>Épületek hőtechnikai felújítása</w:t>
            </w:r>
          </w:p>
        </w:tc>
        <w:tc>
          <w:tcPr>
            <w:tcW w:w="3679" w:type="dxa"/>
            <w:tcBorders>
              <w:top w:val="single" w:sz="18" w:space="0" w:color="auto"/>
            </w:tcBorders>
            <w:shd w:val="clear" w:color="auto" w:fill="E7E6E6" w:themeFill="background2"/>
            <w:vAlign w:val="center"/>
          </w:tcPr>
          <w:p w14:paraId="18503068" w14:textId="075DA08F" w:rsidR="00115E1F" w:rsidRPr="007668C1" w:rsidRDefault="00FC0860" w:rsidP="00AD7EAF">
            <w:pPr>
              <w:spacing w:before="60" w:after="60"/>
              <w:jc w:val="left"/>
              <w:rPr>
                <w:sz w:val="20"/>
                <w:szCs w:val="20"/>
              </w:rPr>
            </w:pPr>
            <w:r w:rsidRPr="00FC0860">
              <w:rPr>
                <w:sz w:val="20"/>
                <w:szCs w:val="20"/>
              </w:rPr>
              <w:t>Hőtechnikai felújítás a nyílászárók (háromrétegű) cseréjével, a határoló felületek hőszigetelésével (műemléki épületek esetében kétrétegű üvegezés, illetve belső hőszigetelés).</w:t>
            </w:r>
          </w:p>
        </w:tc>
        <w:tc>
          <w:tcPr>
            <w:tcW w:w="1077" w:type="dxa"/>
            <w:tcBorders>
              <w:top w:val="single" w:sz="18" w:space="0" w:color="auto"/>
            </w:tcBorders>
            <w:shd w:val="clear" w:color="auto" w:fill="E7E6E6" w:themeFill="background2"/>
            <w:vAlign w:val="center"/>
          </w:tcPr>
          <w:p w14:paraId="08093F9C" w14:textId="77777777" w:rsidR="00AD7EAF" w:rsidRDefault="00FA12E8" w:rsidP="00AD7EAF">
            <w:pPr>
              <w:spacing w:before="60" w:after="60"/>
              <w:jc w:val="center"/>
              <w:rPr>
                <w:sz w:val="20"/>
                <w:szCs w:val="20"/>
              </w:rPr>
            </w:pPr>
            <w:r>
              <w:rPr>
                <w:sz w:val="20"/>
                <w:szCs w:val="20"/>
              </w:rPr>
              <w:t>120</w:t>
            </w:r>
            <w:r w:rsidR="00FC0860">
              <w:rPr>
                <w:sz w:val="20"/>
                <w:szCs w:val="20"/>
              </w:rPr>
              <w:t xml:space="preserve"> db</w:t>
            </w:r>
          </w:p>
          <w:p w14:paraId="5B5FE1AA" w14:textId="77777777" w:rsidR="00AD7EAF" w:rsidRDefault="00AD7EAF" w:rsidP="00AD7EAF">
            <w:pPr>
              <w:spacing w:before="60" w:after="60"/>
              <w:jc w:val="center"/>
              <w:rPr>
                <w:sz w:val="20"/>
                <w:szCs w:val="20"/>
              </w:rPr>
            </w:pPr>
            <w:r>
              <w:rPr>
                <w:sz w:val="20"/>
                <w:szCs w:val="20"/>
              </w:rPr>
              <w:t>(</w:t>
            </w:r>
            <w:r w:rsidRPr="00AD7EAF">
              <w:rPr>
                <w:sz w:val="20"/>
                <w:szCs w:val="20"/>
              </w:rPr>
              <w:t>többségében magántulajdonú</w:t>
            </w:r>
            <w:r>
              <w:rPr>
                <w:sz w:val="20"/>
                <w:szCs w:val="20"/>
              </w:rPr>
              <w:t>)</w:t>
            </w:r>
          </w:p>
          <w:p w14:paraId="575DBEB0" w14:textId="1E41BF98" w:rsidR="00115E1F" w:rsidRPr="007668C1" w:rsidRDefault="00FC0860" w:rsidP="00AD7EAF">
            <w:pPr>
              <w:spacing w:before="60" w:after="60"/>
              <w:jc w:val="center"/>
              <w:rPr>
                <w:sz w:val="20"/>
                <w:szCs w:val="20"/>
              </w:rPr>
            </w:pPr>
            <w:r>
              <w:rPr>
                <w:sz w:val="20"/>
                <w:szCs w:val="20"/>
              </w:rPr>
              <w:t>lakóépület</w:t>
            </w:r>
          </w:p>
        </w:tc>
        <w:tc>
          <w:tcPr>
            <w:tcW w:w="1705" w:type="dxa"/>
            <w:tcBorders>
              <w:top w:val="single" w:sz="18" w:space="0" w:color="auto"/>
            </w:tcBorders>
            <w:shd w:val="clear" w:color="auto" w:fill="E7E6E6" w:themeFill="background2"/>
            <w:vAlign w:val="center"/>
          </w:tcPr>
          <w:p w14:paraId="42695146" w14:textId="18CE9C7A" w:rsidR="00115E1F" w:rsidRPr="007668C1" w:rsidRDefault="00FA12E8" w:rsidP="00AD7EAF">
            <w:pPr>
              <w:spacing w:before="60" w:after="60"/>
              <w:jc w:val="center"/>
              <w:rPr>
                <w:sz w:val="20"/>
                <w:szCs w:val="20"/>
              </w:rPr>
            </w:pPr>
            <w:r w:rsidRPr="00FA12E8">
              <w:rPr>
                <w:sz w:val="20"/>
                <w:szCs w:val="20"/>
              </w:rPr>
              <w:t>51</w:t>
            </w:r>
            <w:r>
              <w:rPr>
                <w:sz w:val="20"/>
                <w:szCs w:val="20"/>
              </w:rPr>
              <w:t>.</w:t>
            </w:r>
            <w:r w:rsidRPr="00FA12E8">
              <w:rPr>
                <w:sz w:val="20"/>
                <w:szCs w:val="20"/>
              </w:rPr>
              <w:t>089</w:t>
            </w:r>
          </w:p>
        </w:tc>
        <w:tc>
          <w:tcPr>
            <w:tcW w:w="1306" w:type="dxa"/>
            <w:tcBorders>
              <w:top w:val="single" w:sz="18" w:space="0" w:color="auto"/>
            </w:tcBorders>
            <w:shd w:val="clear" w:color="auto" w:fill="E7E6E6" w:themeFill="background2"/>
            <w:vAlign w:val="center"/>
          </w:tcPr>
          <w:p w14:paraId="5D5FB8CE" w14:textId="2F507481" w:rsidR="00115E1F" w:rsidRPr="007668C1" w:rsidRDefault="00FA12E8" w:rsidP="00AD7EAF">
            <w:pPr>
              <w:spacing w:before="60" w:after="60"/>
              <w:jc w:val="center"/>
              <w:rPr>
                <w:sz w:val="20"/>
                <w:szCs w:val="20"/>
              </w:rPr>
            </w:pPr>
            <w:r>
              <w:rPr>
                <w:sz w:val="20"/>
                <w:szCs w:val="20"/>
              </w:rPr>
              <w:t>57</w:t>
            </w:r>
            <w:r w:rsidR="00174D58">
              <w:rPr>
                <w:sz w:val="20"/>
                <w:szCs w:val="20"/>
              </w:rPr>
              <w:t>,2%</w:t>
            </w:r>
          </w:p>
        </w:tc>
        <w:tc>
          <w:tcPr>
            <w:tcW w:w="1136" w:type="dxa"/>
            <w:tcBorders>
              <w:top w:val="single" w:sz="18" w:space="0" w:color="auto"/>
            </w:tcBorders>
            <w:shd w:val="clear" w:color="auto" w:fill="E7E6E6" w:themeFill="background2"/>
            <w:vAlign w:val="center"/>
          </w:tcPr>
          <w:p w14:paraId="3C419087" w14:textId="365711A9" w:rsidR="00115E1F" w:rsidRPr="007668C1" w:rsidRDefault="00174D58" w:rsidP="00AD7EAF">
            <w:pPr>
              <w:spacing w:before="60" w:after="60"/>
              <w:jc w:val="center"/>
              <w:rPr>
                <w:sz w:val="20"/>
                <w:szCs w:val="20"/>
              </w:rPr>
            </w:pPr>
            <w:r>
              <w:rPr>
                <w:sz w:val="20"/>
                <w:szCs w:val="20"/>
              </w:rPr>
              <w:t>-</w:t>
            </w:r>
          </w:p>
        </w:tc>
        <w:tc>
          <w:tcPr>
            <w:tcW w:w="1487" w:type="dxa"/>
            <w:tcBorders>
              <w:top w:val="single" w:sz="18" w:space="0" w:color="auto"/>
            </w:tcBorders>
            <w:shd w:val="clear" w:color="auto" w:fill="E7E6E6" w:themeFill="background2"/>
            <w:vAlign w:val="center"/>
          </w:tcPr>
          <w:p w14:paraId="2805C593" w14:textId="5ED7AD40" w:rsidR="00174D58" w:rsidRDefault="00174D58" w:rsidP="00AD7EAF">
            <w:pPr>
              <w:spacing w:before="60" w:after="60"/>
              <w:jc w:val="center"/>
              <w:rPr>
                <w:sz w:val="20"/>
                <w:szCs w:val="20"/>
              </w:rPr>
            </w:pPr>
            <w:r>
              <w:rPr>
                <w:sz w:val="20"/>
                <w:szCs w:val="20"/>
              </w:rPr>
              <w:t>68 év</w:t>
            </w:r>
          </w:p>
          <w:p w14:paraId="3A524EC7" w14:textId="0079697B" w:rsidR="00115E1F" w:rsidRPr="007668C1" w:rsidRDefault="00174D58" w:rsidP="00AD7EAF">
            <w:pPr>
              <w:spacing w:before="60" w:after="60"/>
              <w:jc w:val="center"/>
              <w:rPr>
                <w:sz w:val="20"/>
                <w:szCs w:val="20"/>
              </w:rPr>
            </w:pPr>
            <w:r>
              <w:rPr>
                <w:sz w:val="20"/>
                <w:szCs w:val="20"/>
              </w:rPr>
              <w:t>(rezsicsökkentett árakon)</w:t>
            </w:r>
          </w:p>
        </w:tc>
        <w:tc>
          <w:tcPr>
            <w:tcW w:w="1480" w:type="dxa"/>
            <w:tcBorders>
              <w:top w:val="single" w:sz="18" w:space="0" w:color="auto"/>
            </w:tcBorders>
            <w:shd w:val="clear" w:color="auto" w:fill="E7E6E6" w:themeFill="background2"/>
            <w:vAlign w:val="center"/>
          </w:tcPr>
          <w:p w14:paraId="02A509EE" w14:textId="02F8EE76" w:rsidR="00115E1F" w:rsidRPr="007668C1" w:rsidRDefault="00FA12E8" w:rsidP="00AD7EAF">
            <w:pPr>
              <w:spacing w:before="60" w:after="60"/>
              <w:jc w:val="center"/>
              <w:rPr>
                <w:sz w:val="20"/>
                <w:szCs w:val="20"/>
              </w:rPr>
            </w:pPr>
            <w:r w:rsidRPr="00FA12E8">
              <w:rPr>
                <w:sz w:val="20"/>
                <w:szCs w:val="20"/>
              </w:rPr>
              <w:t>62</w:t>
            </w:r>
            <w:r>
              <w:rPr>
                <w:sz w:val="20"/>
                <w:szCs w:val="20"/>
              </w:rPr>
              <w:t>.</w:t>
            </w:r>
            <w:r w:rsidRPr="00FA12E8">
              <w:rPr>
                <w:sz w:val="20"/>
                <w:szCs w:val="20"/>
              </w:rPr>
              <w:t>775</w:t>
            </w:r>
            <w:r>
              <w:rPr>
                <w:sz w:val="20"/>
                <w:szCs w:val="20"/>
              </w:rPr>
              <w:t>.</w:t>
            </w:r>
            <w:r w:rsidRPr="00FA12E8">
              <w:rPr>
                <w:sz w:val="20"/>
                <w:szCs w:val="20"/>
              </w:rPr>
              <w:t>567</w:t>
            </w:r>
          </w:p>
        </w:tc>
      </w:tr>
      <w:tr w:rsidR="00AD7EAF" w:rsidRPr="007668C1" w14:paraId="7E0BF074" w14:textId="77777777" w:rsidTr="002743D3">
        <w:tc>
          <w:tcPr>
            <w:tcW w:w="402" w:type="dxa"/>
            <w:shd w:val="clear" w:color="auto" w:fill="E7E6E6" w:themeFill="background2"/>
            <w:vAlign w:val="center"/>
          </w:tcPr>
          <w:p w14:paraId="38652B36" w14:textId="77777777" w:rsidR="00FC0860" w:rsidRPr="007668C1" w:rsidRDefault="00FC0860" w:rsidP="00AD7EAF">
            <w:pPr>
              <w:pStyle w:val="Listaszerbekezds"/>
              <w:numPr>
                <w:ilvl w:val="0"/>
                <w:numId w:val="3"/>
              </w:numPr>
              <w:spacing w:before="60" w:after="60"/>
              <w:ind w:left="0" w:firstLine="0"/>
              <w:jc w:val="center"/>
              <w:rPr>
                <w:sz w:val="20"/>
                <w:szCs w:val="20"/>
              </w:rPr>
            </w:pPr>
          </w:p>
        </w:tc>
        <w:tc>
          <w:tcPr>
            <w:tcW w:w="1720" w:type="dxa"/>
            <w:shd w:val="clear" w:color="auto" w:fill="E7E6E6" w:themeFill="background2"/>
            <w:vAlign w:val="center"/>
          </w:tcPr>
          <w:p w14:paraId="1C377A0E" w14:textId="2172D72B" w:rsidR="00FC0860" w:rsidRPr="00FC0860" w:rsidRDefault="00FC0860" w:rsidP="00AD7EAF">
            <w:pPr>
              <w:spacing w:before="60" w:after="60"/>
              <w:jc w:val="left"/>
              <w:rPr>
                <w:sz w:val="20"/>
                <w:szCs w:val="20"/>
              </w:rPr>
            </w:pPr>
            <w:r w:rsidRPr="00FC0860">
              <w:rPr>
                <w:sz w:val="20"/>
                <w:szCs w:val="20"/>
              </w:rPr>
              <w:t>Hőszivattyús ellátás gáz vagy villamos energia fűtési ellátás helyett</w:t>
            </w:r>
          </w:p>
        </w:tc>
        <w:tc>
          <w:tcPr>
            <w:tcW w:w="3679" w:type="dxa"/>
            <w:shd w:val="clear" w:color="auto" w:fill="E7E6E6" w:themeFill="background2"/>
            <w:vAlign w:val="center"/>
          </w:tcPr>
          <w:p w14:paraId="175230D9" w14:textId="1D98FBF9" w:rsidR="00FC0860" w:rsidRPr="00FC0860" w:rsidRDefault="002A4FC4" w:rsidP="00AD7EAF">
            <w:pPr>
              <w:spacing w:before="60" w:after="60"/>
              <w:jc w:val="left"/>
              <w:rPr>
                <w:sz w:val="20"/>
                <w:szCs w:val="20"/>
              </w:rPr>
            </w:pPr>
            <w:r w:rsidRPr="002A4FC4">
              <w:rPr>
                <w:sz w:val="20"/>
                <w:szCs w:val="20"/>
              </w:rPr>
              <w:t>VRF rendszerű központi HP ellátás: VRF technológia esetén egy kültéri egységhez több beltéri egység tartozik. Nincs szükség vizes szekunder hálózatra, a hőleadást a helyiségekbe telepített beltéri egységek biztosítják, nincs hőcsere a primer és szekunder rendszer között,  így az ellátás közvetlen.</w:t>
            </w:r>
          </w:p>
        </w:tc>
        <w:tc>
          <w:tcPr>
            <w:tcW w:w="1077" w:type="dxa"/>
            <w:shd w:val="clear" w:color="auto" w:fill="E7E6E6" w:themeFill="background2"/>
            <w:vAlign w:val="center"/>
          </w:tcPr>
          <w:p w14:paraId="41FD0610" w14:textId="6B7A6D6B" w:rsidR="00AD7EAF" w:rsidRDefault="00503EE7" w:rsidP="00AD7EAF">
            <w:pPr>
              <w:spacing w:before="60" w:after="60"/>
              <w:jc w:val="center"/>
              <w:rPr>
                <w:sz w:val="20"/>
                <w:szCs w:val="20"/>
              </w:rPr>
            </w:pPr>
            <w:r>
              <w:rPr>
                <w:sz w:val="20"/>
                <w:szCs w:val="20"/>
              </w:rPr>
              <w:t>120</w:t>
            </w:r>
            <w:r w:rsidR="00FC0860">
              <w:rPr>
                <w:sz w:val="20"/>
                <w:szCs w:val="20"/>
              </w:rPr>
              <w:t xml:space="preserve"> db</w:t>
            </w:r>
            <w:r w:rsidR="00AD7EAF">
              <w:rPr>
                <w:sz w:val="20"/>
                <w:szCs w:val="20"/>
              </w:rPr>
              <w:t xml:space="preserve"> (</w:t>
            </w:r>
            <w:r w:rsidR="00AD7EAF" w:rsidRPr="00AD7EAF">
              <w:rPr>
                <w:sz w:val="20"/>
                <w:szCs w:val="20"/>
              </w:rPr>
              <w:t>többségében magántulajdonú</w:t>
            </w:r>
            <w:r w:rsidR="00AD7EAF">
              <w:rPr>
                <w:sz w:val="20"/>
                <w:szCs w:val="20"/>
              </w:rPr>
              <w:t>)</w:t>
            </w:r>
          </w:p>
          <w:p w14:paraId="4728AC6E" w14:textId="22DE5A19" w:rsidR="00FC0860" w:rsidRDefault="00FC0860" w:rsidP="00AD7EAF">
            <w:pPr>
              <w:spacing w:before="60" w:after="60"/>
              <w:jc w:val="center"/>
              <w:rPr>
                <w:sz w:val="20"/>
                <w:szCs w:val="20"/>
              </w:rPr>
            </w:pPr>
            <w:r>
              <w:rPr>
                <w:sz w:val="20"/>
                <w:szCs w:val="20"/>
              </w:rPr>
              <w:t xml:space="preserve"> lakóépület</w:t>
            </w:r>
          </w:p>
        </w:tc>
        <w:tc>
          <w:tcPr>
            <w:tcW w:w="1705" w:type="dxa"/>
            <w:shd w:val="clear" w:color="auto" w:fill="E7E6E6" w:themeFill="background2"/>
            <w:vAlign w:val="center"/>
          </w:tcPr>
          <w:p w14:paraId="7E6BC941" w14:textId="1E6396BE" w:rsidR="008D0646" w:rsidRPr="007668C1" w:rsidRDefault="008D0646" w:rsidP="00AD7EAF">
            <w:pPr>
              <w:spacing w:before="60" w:after="60"/>
              <w:jc w:val="center"/>
              <w:rPr>
                <w:sz w:val="20"/>
                <w:szCs w:val="20"/>
              </w:rPr>
            </w:pPr>
            <w:r w:rsidRPr="008D0646">
              <w:rPr>
                <w:sz w:val="20"/>
                <w:szCs w:val="20"/>
              </w:rPr>
              <w:t>51</w:t>
            </w:r>
            <w:r>
              <w:rPr>
                <w:sz w:val="20"/>
                <w:szCs w:val="20"/>
              </w:rPr>
              <w:t>.</w:t>
            </w:r>
            <w:r w:rsidRPr="008D0646">
              <w:rPr>
                <w:sz w:val="20"/>
                <w:szCs w:val="20"/>
              </w:rPr>
              <w:t>089</w:t>
            </w:r>
          </w:p>
        </w:tc>
        <w:tc>
          <w:tcPr>
            <w:tcW w:w="1306" w:type="dxa"/>
            <w:shd w:val="clear" w:color="auto" w:fill="E7E6E6" w:themeFill="background2"/>
            <w:vAlign w:val="center"/>
          </w:tcPr>
          <w:p w14:paraId="0814C5E4" w14:textId="10D3424C" w:rsidR="00FC0860" w:rsidRPr="007668C1" w:rsidRDefault="004B6068" w:rsidP="00AD7EAF">
            <w:pPr>
              <w:spacing w:before="60" w:after="60"/>
              <w:jc w:val="center"/>
              <w:rPr>
                <w:sz w:val="20"/>
                <w:szCs w:val="20"/>
              </w:rPr>
            </w:pPr>
            <w:r>
              <w:rPr>
                <w:sz w:val="20"/>
                <w:szCs w:val="20"/>
              </w:rPr>
              <w:t>0%</w:t>
            </w:r>
          </w:p>
        </w:tc>
        <w:tc>
          <w:tcPr>
            <w:tcW w:w="1136" w:type="dxa"/>
            <w:shd w:val="clear" w:color="auto" w:fill="E7E6E6" w:themeFill="background2"/>
            <w:vAlign w:val="center"/>
          </w:tcPr>
          <w:p w14:paraId="1FF8784C" w14:textId="5F947D17" w:rsidR="00FC0860" w:rsidRPr="007668C1" w:rsidRDefault="00503EE7" w:rsidP="00AD7EAF">
            <w:pPr>
              <w:spacing w:before="60" w:after="60"/>
              <w:jc w:val="center"/>
              <w:rPr>
                <w:sz w:val="20"/>
                <w:szCs w:val="20"/>
              </w:rPr>
            </w:pPr>
            <w:r>
              <w:rPr>
                <w:sz w:val="20"/>
                <w:szCs w:val="20"/>
              </w:rPr>
              <w:t>15.486</w:t>
            </w:r>
          </w:p>
        </w:tc>
        <w:tc>
          <w:tcPr>
            <w:tcW w:w="1487" w:type="dxa"/>
            <w:shd w:val="clear" w:color="auto" w:fill="E7E6E6" w:themeFill="background2"/>
            <w:vAlign w:val="center"/>
          </w:tcPr>
          <w:p w14:paraId="779D2AAB" w14:textId="12467C61" w:rsidR="004B6068" w:rsidRDefault="004B6068" w:rsidP="00AD7EAF">
            <w:pPr>
              <w:spacing w:before="60" w:after="60"/>
              <w:jc w:val="center"/>
              <w:rPr>
                <w:sz w:val="20"/>
                <w:szCs w:val="20"/>
              </w:rPr>
            </w:pPr>
            <w:r>
              <w:rPr>
                <w:sz w:val="20"/>
                <w:szCs w:val="20"/>
              </w:rPr>
              <w:t>51 év</w:t>
            </w:r>
          </w:p>
          <w:p w14:paraId="1A2BC57E" w14:textId="637AE6BE" w:rsidR="00FC0860" w:rsidRPr="007668C1" w:rsidRDefault="004B6068" w:rsidP="00AD7EAF">
            <w:pPr>
              <w:spacing w:before="60" w:after="60"/>
              <w:jc w:val="center"/>
              <w:rPr>
                <w:sz w:val="20"/>
                <w:szCs w:val="20"/>
              </w:rPr>
            </w:pPr>
            <w:r>
              <w:rPr>
                <w:sz w:val="20"/>
                <w:szCs w:val="20"/>
              </w:rPr>
              <w:t>(rezsicsökkentett árakon)</w:t>
            </w:r>
          </w:p>
        </w:tc>
        <w:tc>
          <w:tcPr>
            <w:tcW w:w="1480" w:type="dxa"/>
            <w:shd w:val="clear" w:color="auto" w:fill="E7E6E6" w:themeFill="background2"/>
            <w:vAlign w:val="center"/>
          </w:tcPr>
          <w:p w14:paraId="1C442A00" w14:textId="3F789DC3" w:rsidR="00FC0860" w:rsidRPr="007668C1" w:rsidRDefault="00503EE7" w:rsidP="00AD7EAF">
            <w:pPr>
              <w:spacing w:before="60" w:after="60"/>
              <w:jc w:val="center"/>
              <w:rPr>
                <w:sz w:val="20"/>
                <w:szCs w:val="20"/>
              </w:rPr>
            </w:pPr>
            <w:r w:rsidRPr="00503EE7">
              <w:rPr>
                <w:sz w:val="20"/>
                <w:szCs w:val="20"/>
              </w:rPr>
              <w:t>15</w:t>
            </w:r>
            <w:r>
              <w:rPr>
                <w:sz w:val="20"/>
                <w:szCs w:val="20"/>
              </w:rPr>
              <w:t>.</w:t>
            </w:r>
            <w:r w:rsidRPr="00503EE7">
              <w:rPr>
                <w:sz w:val="20"/>
                <w:szCs w:val="20"/>
              </w:rPr>
              <w:t>339</w:t>
            </w:r>
            <w:r>
              <w:rPr>
                <w:sz w:val="20"/>
                <w:szCs w:val="20"/>
              </w:rPr>
              <w:t>.</w:t>
            </w:r>
            <w:r w:rsidRPr="00503EE7">
              <w:rPr>
                <w:sz w:val="20"/>
                <w:szCs w:val="20"/>
              </w:rPr>
              <w:t>387</w:t>
            </w:r>
          </w:p>
        </w:tc>
      </w:tr>
      <w:tr w:rsidR="00AD7EAF" w:rsidRPr="007668C1" w14:paraId="380C6E91" w14:textId="77777777" w:rsidTr="002743D3">
        <w:tc>
          <w:tcPr>
            <w:tcW w:w="402" w:type="dxa"/>
            <w:shd w:val="clear" w:color="auto" w:fill="E7E6E6" w:themeFill="background2"/>
            <w:vAlign w:val="center"/>
          </w:tcPr>
          <w:p w14:paraId="35EA6244" w14:textId="77777777" w:rsidR="00FC0860" w:rsidRPr="007668C1" w:rsidRDefault="00FC0860" w:rsidP="00AD7EAF">
            <w:pPr>
              <w:pStyle w:val="Listaszerbekezds"/>
              <w:numPr>
                <w:ilvl w:val="0"/>
                <w:numId w:val="3"/>
              </w:numPr>
              <w:spacing w:before="60" w:after="60"/>
              <w:ind w:left="0" w:firstLine="0"/>
              <w:jc w:val="center"/>
              <w:rPr>
                <w:sz w:val="20"/>
                <w:szCs w:val="20"/>
              </w:rPr>
            </w:pPr>
          </w:p>
        </w:tc>
        <w:tc>
          <w:tcPr>
            <w:tcW w:w="1720" w:type="dxa"/>
            <w:shd w:val="clear" w:color="auto" w:fill="E7E6E6" w:themeFill="background2"/>
            <w:vAlign w:val="center"/>
          </w:tcPr>
          <w:p w14:paraId="7BC89734" w14:textId="08863DA7" w:rsidR="00FC0860" w:rsidRPr="00FC0860" w:rsidRDefault="00FC0860" w:rsidP="00AD7EAF">
            <w:pPr>
              <w:spacing w:before="60" w:after="60"/>
              <w:jc w:val="left"/>
              <w:rPr>
                <w:sz w:val="20"/>
                <w:szCs w:val="20"/>
              </w:rPr>
            </w:pPr>
            <w:r w:rsidRPr="00FC0860">
              <w:rPr>
                <w:sz w:val="20"/>
                <w:szCs w:val="20"/>
              </w:rPr>
              <w:t>PV napelemek telepítése</w:t>
            </w:r>
          </w:p>
        </w:tc>
        <w:tc>
          <w:tcPr>
            <w:tcW w:w="3679" w:type="dxa"/>
            <w:shd w:val="clear" w:color="auto" w:fill="E7E6E6" w:themeFill="background2"/>
            <w:vAlign w:val="center"/>
          </w:tcPr>
          <w:p w14:paraId="595D9130" w14:textId="169B289E" w:rsidR="00FC0860" w:rsidRPr="00FC0860" w:rsidRDefault="00FC0860" w:rsidP="00AD7EAF">
            <w:pPr>
              <w:spacing w:before="60" w:after="60"/>
              <w:jc w:val="left"/>
              <w:rPr>
                <w:sz w:val="20"/>
                <w:szCs w:val="20"/>
              </w:rPr>
            </w:pPr>
            <w:r w:rsidRPr="00FC0860">
              <w:rPr>
                <w:sz w:val="20"/>
                <w:szCs w:val="20"/>
              </w:rPr>
              <w:t>Lakóépületek tetőfelületeinek befedése napelemekkel</w:t>
            </w:r>
            <w:r>
              <w:rPr>
                <w:sz w:val="20"/>
                <w:szCs w:val="20"/>
              </w:rPr>
              <w:t>.</w:t>
            </w:r>
          </w:p>
        </w:tc>
        <w:tc>
          <w:tcPr>
            <w:tcW w:w="1077" w:type="dxa"/>
            <w:shd w:val="clear" w:color="auto" w:fill="E7E6E6" w:themeFill="background2"/>
            <w:vAlign w:val="center"/>
          </w:tcPr>
          <w:p w14:paraId="3A12C4D6" w14:textId="77777777" w:rsidR="00AD7EAF" w:rsidRDefault="00AD7EAF" w:rsidP="00AD7EAF">
            <w:pPr>
              <w:spacing w:before="60" w:after="60"/>
              <w:jc w:val="center"/>
              <w:rPr>
                <w:sz w:val="20"/>
                <w:szCs w:val="20"/>
              </w:rPr>
            </w:pPr>
            <w:r>
              <w:rPr>
                <w:sz w:val="20"/>
                <w:szCs w:val="20"/>
              </w:rPr>
              <w:t>120 db</w:t>
            </w:r>
          </w:p>
          <w:p w14:paraId="7D1616D0" w14:textId="77777777" w:rsidR="00AD7EAF" w:rsidRDefault="00AD7EAF" w:rsidP="00AD7EAF">
            <w:pPr>
              <w:spacing w:before="60" w:after="60"/>
              <w:jc w:val="center"/>
              <w:rPr>
                <w:sz w:val="20"/>
                <w:szCs w:val="20"/>
              </w:rPr>
            </w:pPr>
            <w:r>
              <w:rPr>
                <w:sz w:val="20"/>
                <w:szCs w:val="20"/>
              </w:rPr>
              <w:t>(</w:t>
            </w:r>
            <w:r w:rsidRPr="00AD7EAF">
              <w:rPr>
                <w:sz w:val="20"/>
                <w:szCs w:val="20"/>
              </w:rPr>
              <w:t>többségében magántulajdonú</w:t>
            </w:r>
            <w:r>
              <w:rPr>
                <w:sz w:val="20"/>
                <w:szCs w:val="20"/>
              </w:rPr>
              <w:t>)</w:t>
            </w:r>
          </w:p>
          <w:p w14:paraId="7597BC78" w14:textId="537617EE" w:rsidR="00FC0860" w:rsidRDefault="00AD7EAF" w:rsidP="00AD7EAF">
            <w:pPr>
              <w:spacing w:before="60" w:after="60"/>
              <w:jc w:val="center"/>
              <w:rPr>
                <w:sz w:val="20"/>
                <w:szCs w:val="20"/>
              </w:rPr>
            </w:pPr>
            <w:r>
              <w:rPr>
                <w:sz w:val="20"/>
                <w:szCs w:val="20"/>
              </w:rPr>
              <w:t>lakóépület</w:t>
            </w:r>
          </w:p>
        </w:tc>
        <w:tc>
          <w:tcPr>
            <w:tcW w:w="1705" w:type="dxa"/>
            <w:shd w:val="clear" w:color="auto" w:fill="E7E6E6" w:themeFill="background2"/>
            <w:vAlign w:val="center"/>
          </w:tcPr>
          <w:p w14:paraId="59264639" w14:textId="5D253420" w:rsidR="00FC0860" w:rsidRPr="007668C1" w:rsidRDefault="00DC1DAC" w:rsidP="00AD7EAF">
            <w:pPr>
              <w:spacing w:before="60" w:after="60"/>
              <w:jc w:val="center"/>
              <w:rPr>
                <w:sz w:val="20"/>
                <w:szCs w:val="20"/>
              </w:rPr>
            </w:pPr>
            <w:r>
              <w:rPr>
                <w:sz w:val="20"/>
                <w:szCs w:val="20"/>
              </w:rPr>
              <w:t>-</w:t>
            </w:r>
          </w:p>
        </w:tc>
        <w:tc>
          <w:tcPr>
            <w:tcW w:w="1306" w:type="dxa"/>
            <w:shd w:val="clear" w:color="auto" w:fill="E7E6E6" w:themeFill="background2"/>
            <w:vAlign w:val="center"/>
          </w:tcPr>
          <w:p w14:paraId="2C60D1A6" w14:textId="774DA017" w:rsidR="00FC0860" w:rsidRPr="007668C1" w:rsidRDefault="00DC1DAC" w:rsidP="00AD7EAF">
            <w:pPr>
              <w:spacing w:before="60" w:after="60"/>
              <w:jc w:val="center"/>
              <w:rPr>
                <w:sz w:val="20"/>
                <w:szCs w:val="20"/>
              </w:rPr>
            </w:pPr>
            <w:r>
              <w:rPr>
                <w:sz w:val="20"/>
                <w:szCs w:val="20"/>
              </w:rPr>
              <w:t>-</w:t>
            </w:r>
          </w:p>
        </w:tc>
        <w:tc>
          <w:tcPr>
            <w:tcW w:w="1136" w:type="dxa"/>
            <w:shd w:val="clear" w:color="auto" w:fill="E7E6E6" w:themeFill="background2"/>
            <w:vAlign w:val="center"/>
          </w:tcPr>
          <w:p w14:paraId="19579816" w14:textId="1D97EBB8" w:rsidR="00FC0860" w:rsidRPr="007668C1" w:rsidRDefault="000A621E" w:rsidP="00AD7EAF">
            <w:pPr>
              <w:spacing w:before="60" w:after="60"/>
              <w:jc w:val="center"/>
              <w:rPr>
                <w:sz w:val="20"/>
                <w:szCs w:val="20"/>
              </w:rPr>
            </w:pPr>
            <w:r w:rsidRPr="000A621E">
              <w:rPr>
                <w:sz w:val="20"/>
                <w:szCs w:val="20"/>
              </w:rPr>
              <w:t>5</w:t>
            </w:r>
            <w:r>
              <w:rPr>
                <w:sz w:val="20"/>
                <w:szCs w:val="20"/>
              </w:rPr>
              <w:t>.</w:t>
            </w:r>
            <w:r w:rsidRPr="000A621E">
              <w:rPr>
                <w:sz w:val="20"/>
                <w:szCs w:val="20"/>
              </w:rPr>
              <w:t>712</w:t>
            </w:r>
          </w:p>
        </w:tc>
        <w:tc>
          <w:tcPr>
            <w:tcW w:w="1487" w:type="dxa"/>
            <w:shd w:val="clear" w:color="auto" w:fill="E7E6E6" w:themeFill="background2"/>
            <w:vAlign w:val="center"/>
          </w:tcPr>
          <w:p w14:paraId="17A988FB" w14:textId="04ADF87B" w:rsidR="004B6068" w:rsidRDefault="004B6068" w:rsidP="00AD7EAF">
            <w:pPr>
              <w:spacing w:before="60" w:after="60"/>
              <w:jc w:val="center"/>
              <w:rPr>
                <w:sz w:val="20"/>
                <w:szCs w:val="20"/>
              </w:rPr>
            </w:pPr>
            <w:r>
              <w:rPr>
                <w:sz w:val="20"/>
                <w:szCs w:val="20"/>
              </w:rPr>
              <w:t>14 év</w:t>
            </w:r>
          </w:p>
          <w:p w14:paraId="5072421B" w14:textId="5DF8CF5C" w:rsidR="00FC0860" w:rsidRPr="007668C1" w:rsidRDefault="004B6068" w:rsidP="00AD7EAF">
            <w:pPr>
              <w:spacing w:before="60" w:after="60"/>
              <w:jc w:val="center"/>
              <w:rPr>
                <w:sz w:val="20"/>
                <w:szCs w:val="20"/>
              </w:rPr>
            </w:pPr>
            <w:r>
              <w:rPr>
                <w:sz w:val="20"/>
                <w:szCs w:val="20"/>
              </w:rPr>
              <w:t>(rezsicsökkentett árakon)</w:t>
            </w:r>
          </w:p>
        </w:tc>
        <w:tc>
          <w:tcPr>
            <w:tcW w:w="1480" w:type="dxa"/>
            <w:shd w:val="clear" w:color="auto" w:fill="E7E6E6" w:themeFill="background2"/>
            <w:vAlign w:val="center"/>
          </w:tcPr>
          <w:p w14:paraId="4A5EF5E7" w14:textId="69A1CF49" w:rsidR="00FC0860" w:rsidRPr="007668C1" w:rsidRDefault="000A621E" w:rsidP="00AD7EAF">
            <w:pPr>
              <w:spacing w:before="60" w:after="60"/>
              <w:jc w:val="center"/>
              <w:rPr>
                <w:sz w:val="20"/>
                <w:szCs w:val="20"/>
              </w:rPr>
            </w:pPr>
            <w:r w:rsidRPr="000A621E">
              <w:rPr>
                <w:sz w:val="20"/>
                <w:szCs w:val="20"/>
              </w:rPr>
              <w:t>7</w:t>
            </w:r>
            <w:r>
              <w:rPr>
                <w:sz w:val="20"/>
                <w:szCs w:val="20"/>
              </w:rPr>
              <w:t>.</w:t>
            </w:r>
            <w:r w:rsidRPr="000A621E">
              <w:rPr>
                <w:sz w:val="20"/>
                <w:szCs w:val="20"/>
              </w:rPr>
              <w:t>636</w:t>
            </w:r>
            <w:r>
              <w:rPr>
                <w:sz w:val="20"/>
                <w:szCs w:val="20"/>
              </w:rPr>
              <w:t>.</w:t>
            </w:r>
            <w:r w:rsidRPr="000A621E">
              <w:rPr>
                <w:sz w:val="20"/>
                <w:szCs w:val="20"/>
              </w:rPr>
              <w:t>042</w:t>
            </w:r>
          </w:p>
        </w:tc>
      </w:tr>
      <w:tr w:rsidR="00AD7EAF" w:rsidRPr="007668C1" w14:paraId="3F958573" w14:textId="77777777" w:rsidTr="007668C1">
        <w:tc>
          <w:tcPr>
            <w:tcW w:w="6878" w:type="dxa"/>
            <w:gridSpan w:val="4"/>
            <w:shd w:val="clear" w:color="auto" w:fill="F2F2F2" w:themeFill="background1" w:themeFillShade="F2"/>
          </w:tcPr>
          <w:p w14:paraId="3AC81156" w14:textId="2970A61A" w:rsidR="00115E1F" w:rsidRPr="007668C1" w:rsidRDefault="00115E1F" w:rsidP="00AD7EAF">
            <w:pPr>
              <w:spacing w:before="60" w:after="60"/>
              <w:jc w:val="left"/>
              <w:rPr>
                <w:b/>
                <w:bCs/>
                <w:sz w:val="20"/>
                <w:szCs w:val="20"/>
              </w:rPr>
            </w:pPr>
            <w:r w:rsidRPr="007668C1">
              <w:rPr>
                <w:b/>
                <w:bCs/>
                <w:sz w:val="20"/>
                <w:szCs w:val="20"/>
              </w:rPr>
              <w:lastRenderedPageBreak/>
              <w:t>ÖSSZESEN</w:t>
            </w:r>
          </w:p>
        </w:tc>
        <w:tc>
          <w:tcPr>
            <w:tcW w:w="1705" w:type="dxa"/>
          </w:tcPr>
          <w:p w14:paraId="284DDB9F" w14:textId="52290C3D" w:rsidR="00115E1F" w:rsidRPr="007668C1" w:rsidRDefault="00B625FD" w:rsidP="00AD7EAF">
            <w:pPr>
              <w:spacing w:before="60" w:after="60"/>
              <w:jc w:val="center"/>
              <w:rPr>
                <w:b/>
                <w:bCs/>
                <w:sz w:val="20"/>
                <w:szCs w:val="20"/>
              </w:rPr>
            </w:pPr>
            <w:r w:rsidRPr="00B625FD">
              <w:rPr>
                <w:b/>
                <w:bCs/>
                <w:sz w:val="20"/>
                <w:szCs w:val="20"/>
              </w:rPr>
              <w:t>57</w:t>
            </w:r>
            <w:r>
              <w:rPr>
                <w:b/>
                <w:bCs/>
                <w:sz w:val="20"/>
                <w:szCs w:val="20"/>
              </w:rPr>
              <w:t>.</w:t>
            </w:r>
            <w:r w:rsidRPr="00B625FD">
              <w:rPr>
                <w:b/>
                <w:bCs/>
                <w:sz w:val="20"/>
                <w:szCs w:val="20"/>
              </w:rPr>
              <w:t>184</w:t>
            </w:r>
          </w:p>
        </w:tc>
        <w:tc>
          <w:tcPr>
            <w:tcW w:w="1306" w:type="dxa"/>
          </w:tcPr>
          <w:p w14:paraId="4DEF3243" w14:textId="627019D0" w:rsidR="00115E1F" w:rsidRPr="007668C1" w:rsidRDefault="00B625FD" w:rsidP="00AD7EAF">
            <w:pPr>
              <w:spacing w:before="60" w:after="60"/>
              <w:jc w:val="center"/>
              <w:rPr>
                <w:b/>
                <w:bCs/>
                <w:sz w:val="20"/>
                <w:szCs w:val="20"/>
              </w:rPr>
            </w:pPr>
            <w:r>
              <w:rPr>
                <w:b/>
                <w:bCs/>
                <w:sz w:val="20"/>
                <w:szCs w:val="20"/>
              </w:rPr>
              <w:t>5</w:t>
            </w:r>
            <w:r w:rsidR="00200836">
              <w:rPr>
                <w:b/>
                <w:bCs/>
                <w:sz w:val="20"/>
                <w:szCs w:val="20"/>
              </w:rPr>
              <w:t>8</w:t>
            </w:r>
            <w:r w:rsidR="00C859CB" w:rsidRPr="00C859CB">
              <w:rPr>
                <w:b/>
                <w:bCs/>
                <w:sz w:val="20"/>
                <w:szCs w:val="20"/>
              </w:rPr>
              <w:t>,</w:t>
            </w:r>
            <w:r w:rsidR="00200836">
              <w:rPr>
                <w:b/>
                <w:bCs/>
                <w:sz w:val="20"/>
                <w:szCs w:val="20"/>
              </w:rPr>
              <w:t>3</w:t>
            </w:r>
            <w:r w:rsidR="00C859CB" w:rsidRPr="00C859CB">
              <w:rPr>
                <w:b/>
                <w:bCs/>
                <w:sz w:val="20"/>
                <w:szCs w:val="20"/>
              </w:rPr>
              <w:t>%</w:t>
            </w:r>
          </w:p>
        </w:tc>
        <w:tc>
          <w:tcPr>
            <w:tcW w:w="1136" w:type="dxa"/>
          </w:tcPr>
          <w:p w14:paraId="6C680376" w14:textId="2D3F9BD8" w:rsidR="00115E1F" w:rsidRPr="007668C1" w:rsidRDefault="00503EE7" w:rsidP="00AD7EAF">
            <w:pPr>
              <w:spacing w:before="60" w:after="60"/>
              <w:jc w:val="center"/>
              <w:rPr>
                <w:b/>
                <w:bCs/>
                <w:sz w:val="20"/>
                <w:szCs w:val="20"/>
              </w:rPr>
            </w:pPr>
            <w:r>
              <w:rPr>
                <w:b/>
                <w:bCs/>
                <w:sz w:val="20"/>
                <w:szCs w:val="20"/>
              </w:rPr>
              <w:t>23</w:t>
            </w:r>
            <w:r w:rsidR="00B625FD">
              <w:rPr>
                <w:b/>
                <w:bCs/>
                <w:sz w:val="20"/>
                <w:szCs w:val="20"/>
              </w:rPr>
              <w:t>.</w:t>
            </w:r>
            <w:r>
              <w:rPr>
                <w:b/>
                <w:bCs/>
                <w:sz w:val="20"/>
                <w:szCs w:val="20"/>
              </w:rPr>
              <w:t>204</w:t>
            </w:r>
          </w:p>
        </w:tc>
        <w:tc>
          <w:tcPr>
            <w:tcW w:w="1487" w:type="dxa"/>
          </w:tcPr>
          <w:p w14:paraId="6D59BEE0" w14:textId="1B3EA8F2" w:rsidR="00115E1F" w:rsidRPr="007668C1" w:rsidRDefault="00B841FC" w:rsidP="00AD7EAF">
            <w:pPr>
              <w:spacing w:before="60" w:after="60"/>
              <w:jc w:val="center"/>
              <w:rPr>
                <w:b/>
                <w:bCs/>
                <w:sz w:val="20"/>
                <w:szCs w:val="20"/>
              </w:rPr>
            </w:pPr>
            <w:r>
              <w:rPr>
                <w:b/>
                <w:bCs/>
                <w:sz w:val="20"/>
                <w:szCs w:val="20"/>
              </w:rPr>
              <w:t>-</w:t>
            </w:r>
          </w:p>
        </w:tc>
        <w:tc>
          <w:tcPr>
            <w:tcW w:w="1480" w:type="dxa"/>
          </w:tcPr>
          <w:p w14:paraId="26FC7EB4" w14:textId="07E4E837" w:rsidR="00115E1F" w:rsidRPr="007668C1" w:rsidRDefault="00503EE7" w:rsidP="00AD7EAF">
            <w:pPr>
              <w:spacing w:before="60" w:after="60"/>
              <w:jc w:val="center"/>
              <w:rPr>
                <w:b/>
                <w:bCs/>
                <w:sz w:val="20"/>
                <w:szCs w:val="20"/>
              </w:rPr>
            </w:pPr>
            <w:r w:rsidRPr="00503EE7">
              <w:rPr>
                <w:b/>
                <w:bCs/>
                <w:sz w:val="20"/>
                <w:szCs w:val="20"/>
              </w:rPr>
              <w:t>94</w:t>
            </w:r>
            <w:r>
              <w:rPr>
                <w:b/>
                <w:bCs/>
                <w:sz w:val="20"/>
                <w:szCs w:val="20"/>
              </w:rPr>
              <w:t>.</w:t>
            </w:r>
            <w:r w:rsidRPr="00503EE7">
              <w:rPr>
                <w:b/>
                <w:bCs/>
                <w:sz w:val="20"/>
                <w:szCs w:val="20"/>
              </w:rPr>
              <w:t>068</w:t>
            </w:r>
            <w:r>
              <w:rPr>
                <w:b/>
                <w:bCs/>
                <w:sz w:val="20"/>
                <w:szCs w:val="20"/>
              </w:rPr>
              <w:t>.</w:t>
            </w:r>
            <w:r w:rsidRPr="00503EE7">
              <w:rPr>
                <w:b/>
                <w:bCs/>
                <w:sz w:val="20"/>
                <w:szCs w:val="20"/>
              </w:rPr>
              <w:t>213</w:t>
            </w:r>
          </w:p>
        </w:tc>
      </w:tr>
    </w:tbl>
    <w:p w14:paraId="322EA298" w14:textId="77777777" w:rsidR="00115E1F" w:rsidRDefault="00115E1F">
      <w:pPr>
        <w:jc w:val="left"/>
        <w:sectPr w:rsidR="00115E1F" w:rsidSect="00115E1F">
          <w:pgSz w:w="16838" w:h="11906" w:orient="landscape"/>
          <w:pgMar w:top="1418" w:right="1418" w:bottom="1418" w:left="1418" w:header="709" w:footer="709" w:gutter="0"/>
          <w:cols w:space="708"/>
          <w:titlePg/>
          <w:docGrid w:linePitch="360"/>
        </w:sectPr>
      </w:pPr>
    </w:p>
    <w:p w14:paraId="73383D11" w14:textId="7994A6CE" w:rsidR="009A5D57" w:rsidRDefault="009A5D57" w:rsidP="009A5D57">
      <w:pPr>
        <w:pStyle w:val="Cmsor1"/>
      </w:pPr>
      <w:bookmarkStart w:id="15" w:name="_Toc133510168"/>
      <w:r>
        <w:lastRenderedPageBreak/>
        <w:t>A projektgazd</w:t>
      </w:r>
      <w:r w:rsidR="00C5659D">
        <w:t>a</w:t>
      </w:r>
      <w:r>
        <w:t xml:space="preserve"> és a helyi érintettek</w:t>
      </w:r>
      <w:bookmarkEnd w:id="15"/>
    </w:p>
    <w:tbl>
      <w:tblPr>
        <w:tblStyle w:val="Rcsostblzat"/>
        <w:tblW w:w="0" w:type="auto"/>
        <w:tblInd w:w="360" w:type="dxa"/>
        <w:tblLook w:val="04A0" w:firstRow="1" w:lastRow="0" w:firstColumn="1" w:lastColumn="0" w:noHBand="0" w:noVBand="1"/>
      </w:tblPr>
      <w:tblGrid>
        <w:gridCol w:w="2106"/>
        <w:gridCol w:w="2067"/>
        <w:gridCol w:w="2091"/>
        <w:gridCol w:w="2438"/>
      </w:tblGrid>
      <w:tr w:rsidR="009A5D57" w14:paraId="3AD87331" w14:textId="77777777" w:rsidTr="00917508">
        <w:tc>
          <w:tcPr>
            <w:tcW w:w="8702" w:type="dxa"/>
            <w:gridSpan w:val="4"/>
            <w:shd w:val="clear" w:color="auto" w:fill="F2F2F2" w:themeFill="background1" w:themeFillShade="F2"/>
          </w:tcPr>
          <w:p w14:paraId="201AAFD6" w14:textId="388908C8" w:rsidR="009A5D57" w:rsidRPr="009A5D57" w:rsidRDefault="009A5D57" w:rsidP="00917508">
            <w:pPr>
              <w:pStyle w:val="Cmsor2"/>
              <w:outlineLvl w:val="1"/>
            </w:pPr>
            <w:bookmarkStart w:id="16" w:name="_Toc133510169"/>
            <w:bookmarkStart w:id="17" w:name="_Hlk129005910"/>
            <w:r w:rsidRPr="009A5D57">
              <w:t>2.1. A projektgazda/projektgazdák áttekintése</w:t>
            </w:r>
            <w:bookmarkEnd w:id="16"/>
          </w:p>
        </w:tc>
      </w:tr>
      <w:tr w:rsidR="009A5D57" w14:paraId="3FA0117B" w14:textId="77777777" w:rsidTr="009A5D57">
        <w:tc>
          <w:tcPr>
            <w:tcW w:w="8702" w:type="dxa"/>
            <w:gridSpan w:val="4"/>
          </w:tcPr>
          <w:p w14:paraId="1B412DA8" w14:textId="18955355" w:rsidR="00A172C5" w:rsidRPr="00A172C5" w:rsidRDefault="00A172C5" w:rsidP="00A172C5">
            <w:r w:rsidRPr="00A172C5">
              <w:t>Az éghajlatváltozás a Föld minden országát egyre jelentősebben sújtó probléma, így hazánk is kiemelten érintett a klímaváltozás erősödő hatásait illetően. Erzsébetváros – felismerve a cselekvés létfontosságát – lépéseket tett a következmények csillapítása és az alkalmazkodás érdekében, valamint szintén elkötelezett a jövőbeli zöld akciók mellett. A projektgazda rendelkezik Fenntartható Energia- és Klíma Akciótervvel (SECAP) – melyet a Polgármesterek</w:t>
            </w:r>
            <w:r>
              <w:t xml:space="preserve"> </w:t>
            </w:r>
            <w:r w:rsidRPr="00A172C5">
              <w:t>Globális Klíma- és Energiaügyi Szövetséghez (Global Covenant of Mayors</w:t>
            </w:r>
            <w:r>
              <w:t xml:space="preserve"> </w:t>
            </w:r>
            <w:r w:rsidRPr="00A172C5">
              <w:t>for Climate and Energy) való csatlakozás feltételeként készített – és klímastratégiával, melyekben kinyilatkoztatják teljes elköteleződésüket a klímavédelem iránt.</w:t>
            </w:r>
          </w:p>
          <w:p w14:paraId="2E814AAB" w14:textId="0CC14E1D" w:rsidR="00A172C5" w:rsidRPr="00A172C5" w:rsidRDefault="00A172C5" w:rsidP="00A172C5">
            <w:r w:rsidRPr="00A172C5">
              <w:t>A kerület klímastratégiájában egy rövidtávű jövőkép kerül megfogalmazásra: „Erzsébetváros 2030-ra jelentős eredményeket ér el a kibocsátások csökkentésében és az éghajlatváltozáshoz való alkalmazkodásban a helyben élők, dolgozók és látogatók összefogásával.”</w:t>
            </w:r>
            <w:r>
              <w:rPr>
                <w:rStyle w:val="Lbjegyzet-hivatkozs"/>
              </w:rPr>
              <w:footnoteReference w:id="36"/>
            </w:r>
          </w:p>
          <w:p w14:paraId="311A4449" w14:textId="77777777" w:rsidR="00A172C5" w:rsidRPr="00A172C5" w:rsidRDefault="00A172C5" w:rsidP="00A172C5">
            <w:r w:rsidRPr="00A172C5">
              <w:t>A klímavédelmi célrendszerben – Budapest Főváros VII. kerület Erzsébetváros Önkormányzata Képviselő-testületének 399/2019. (XII.18.) határozata klímavészhelyzet kihirdetéséről alapján – továbbá megerősíti a kerület, hogy klímavészhelyzet áll fenn, valamint hogy az éghajlatváltozás elleni fellépés előmozdítását a kötelességének tekinti. Emellett az éghajlatváltozás és a hősziget hatás elleni fellépés szempontjainak elsőbbségét biztosítva döntenek minden olyan ügyben, amely hatással lehet a klímára.</w:t>
            </w:r>
          </w:p>
          <w:p w14:paraId="250AA993" w14:textId="6E6438A9" w:rsidR="00A172C5" w:rsidRPr="00A172C5" w:rsidRDefault="00A172C5" w:rsidP="00A172C5">
            <w:r w:rsidRPr="00A172C5">
              <w:t xml:space="preserve">A Szövetséghez való csatlakozás eredményeképp Erzsébetváros a széndioxid-kibocsátás 40%-os csökkentését szeretné elérni 2030-ra (a bázisévként választott 2011-es évhez képest), és 2040-re ezt 60%-ra kívánja emelni. </w:t>
            </w:r>
          </w:p>
          <w:p w14:paraId="25183755" w14:textId="4307CFE8" w:rsidR="00A172C5" w:rsidRPr="00A172C5" w:rsidRDefault="00A172C5" w:rsidP="00A172C5">
            <w:r w:rsidRPr="00A172C5">
              <w:t>Ezt a vállalást két fő célterületen és 3-3 kapcsolódó specifikus célon keresztül kívánja megvalósítani a kerület:</w:t>
            </w:r>
          </w:p>
          <w:p w14:paraId="2D0F83EF" w14:textId="11DF7AE3" w:rsidR="00A172C5" w:rsidRPr="00272A63" w:rsidRDefault="00A172C5" w:rsidP="009C6CD0">
            <w:pPr>
              <w:pStyle w:val="Listaszerbekezds"/>
              <w:numPr>
                <w:ilvl w:val="0"/>
                <w:numId w:val="23"/>
              </w:numPr>
            </w:pPr>
            <w:r w:rsidRPr="00272A63">
              <w:t>Má-1 Az épületek energiaellátásából és üzemeltetéséből adódó kibocsátások csökkentése, az épületállomány energiahatékonyságának javítása minden szektorban, megújuló energiahordozók alkalmazásának bővítése</w:t>
            </w:r>
          </w:p>
          <w:p w14:paraId="47452950" w14:textId="7688AC76" w:rsidR="00A172C5" w:rsidRPr="00272A63" w:rsidRDefault="00A172C5" w:rsidP="009C6CD0">
            <w:pPr>
              <w:pStyle w:val="Listaszerbekezds"/>
              <w:numPr>
                <w:ilvl w:val="1"/>
                <w:numId w:val="23"/>
              </w:numPr>
            </w:pPr>
            <w:r w:rsidRPr="00272A63">
              <w:t>Ms-1.1 Az épületállomány energiahatékonyságának javítása minden szektorban</w:t>
            </w:r>
          </w:p>
          <w:p w14:paraId="434EB276" w14:textId="4CD9818C" w:rsidR="00A172C5" w:rsidRPr="00272A63" w:rsidRDefault="00A172C5" w:rsidP="009C6CD0">
            <w:pPr>
              <w:pStyle w:val="Listaszerbekezds"/>
              <w:numPr>
                <w:ilvl w:val="1"/>
                <w:numId w:val="23"/>
              </w:numPr>
            </w:pPr>
            <w:r w:rsidRPr="00272A63">
              <w:t>Ms-1.2 Az épített környezet és épületek üzemeltetéséből adódó kibocsátások csökkentése</w:t>
            </w:r>
          </w:p>
          <w:p w14:paraId="3D212EE3" w14:textId="27B31D44" w:rsidR="00A172C5" w:rsidRPr="00272A63" w:rsidRDefault="00A172C5" w:rsidP="009C6CD0">
            <w:pPr>
              <w:pStyle w:val="Listaszerbekezds"/>
              <w:numPr>
                <w:ilvl w:val="1"/>
                <w:numId w:val="23"/>
              </w:numPr>
            </w:pPr>
            <w:r w:rsidRPr="00272A63">
              <w:t>Ms-1.3 Megújuló energiahordozók alkalmazásának bővítése</w:t>
            </w:r>
          </w:p>
          <w:p w14:paraId="3D108206" w14:textId="765EB08F" w:rsidR="00A172C5" w:rsidRPr="00272A63" w:rsidRDefault="00A172C5" w:rsidP="009C6CD0">
            <w:pPr>
              <w:pStyle w:val="Listaszerbekezds"/>
              <w:numPr>
                <w:ilvl w:val="0"/>
                <w:numId w:val="23"/>
              </w:numPr>
            </w:pPr>
            <w:r w:rsidRPr="00272A63">
              <w:t>Má-2 A közlekedésből és szállításból származó ÜHG kibocsátás csökkentése az autóforgalom csökkentésével és környezetkímélő közlekedési módok támogatásával</w:t>
            </w:r>
          </w:p>
          <w:p w14:paraId="3D58E590" w14:textId="3B3F2F32" w:rsidR="00A172C5" w:rsidRPr="00272A63" w:rsidRDefault="00A172C5" w:rsidP="009C6CD0">
            <w:pPr>
              <w:pStyle w:val="Listaszerbekezds"/>
              <w:numPr>
                <w:ilvl w:val="1"/>
                <w:numId w:val="23"/>
              </w:numPr>
            </w:pPr>
            <w:r w:rsidRPr="00272A63">
              <w:t>Ms-2.1 A motorizált forgalom csökkentése a személy- és áruszállításban</w:t>
            </w:r>
          </w:p>
          <w:p w14:paraId="166BA6CC" w14:textId="2EA81B61" w:rsidR="00A172C5" w:rsidRPr="00272A63" w:rsidRDefault="00A172C5" w:rsidP="009C6CD0">
            <w:pPr>
              <w:pStyle w:val="Listaszerbekezds"/>
              <w:numPr>
                <w:ilvl w:val="1"/>
                <w:numId w:val="23"/>
              </w:numPr>
            </w:pPr>
            <w:r w:rsidRPr="00272A63">
              <w:t>Ms-2.2 A környezetbarát közlekedési módokra való áttérés elősegítése</w:t>
            </w:r>
          </w:p>
          <w:p w14:paraId="3AEA9FA6" w14:textId="62E128A5" w:rsidR="00A172C5" w:rsidRPr="00272A63" w:rsidRDefault="00A172C5" w:rsidP="009C6CD0">
            <w:pPr>
              <w:pStyle w:val="Listaszerbekezds"/>
              <w:numPr>
                <w:ilvl w:val="1"/>
                <w:numId w:val="23"/>
              </w:numPr>
            </w:pPr>
            <w:r w:rsidRPr="00272A63">
              <w:t>Ms-2.3 A közlekedésből és szállításból származó ÜHG kibocsátás csökkentése a fosszilis üzemanyag csökkentésével</w:t>
            </w:r>
          </w:p>
          <w:p w14:paraId="54C074AC" w14:textId="2C2AC40C" w:rsidR="009A5D57" w:rsidRDefault="00A172C5" w:rsidP="00A172C5">
            <w:r w:rsidRPr="00A172C5">
              <w:t>Az üvegházhatásúgáz-kibocsátás csökkentésének tekintetében a legnagyobb potenciállal a kerületben a lakóépületek és a középületek energetikai szempontú felújítása bír (első általános célterület – Má-1). A klímastratégia szerint a széndioxid-kibocsátás redukálásában 47,4%-ot jelenthet a lakossági és 21%-ot a szolgáltatási szektor épületeinek és létesítményeinek energiahatékony fejlesztése. Főként ehhez csatlakoznak jelen EUCF Beruházási Koncepció elemei is.</w:t>
            </w:r>
          </w:p>
          <w:p w14:paraId="1039FF6A" w14:textId="250753D7" w:rsidR="008C50BB" w:rsidRDefault="00FF2886" w:rsidP="00FF2886">
            <w:r>
              <w:lastRenderedPageBreak/>
              <w:t>Erzsébetvárosban</w:t>
            </w:r>
            <w:r w:rsidRPr="00FF2886">
              <w:t xml:space="preserve"> számos klímavédelmi projekt valósult meg az elmúlt években</w:t>
            </w:r>
            <w:r>
              <w:t>. A</w:t>
            </w:r>
            <w:r w:rsidRPr="00FF2886">
              <w:t xml:space="preserve"> stratégia </w:t>
            </w:r>
            <w:r>
              <w:t xml:space="preserve">szempontjából releváns, </w:t>
            </w:r>
            <w:r w:rsidRPr="00FF2886">
              <w:t>utóbbi 6 év beruházásai</w:t>
            </w:r>
            <w:r>
              <w:t xml:space="preserve"> és projektjei</w:t>
            </w:r>
            <w:r w:rsidRPr="00FF2886">
              <w:t>:</w:t>
            </w:r>
          </w:p>
          <w:p w14:paraId="243AD7D3" w14:textId="4BE6BA9D" w:rsidR="00FF2886" w:rsidRDefault="00CC1783" w:rsidP="009C6CD0">
            <w:pPr>
              <w:pStyle w:val="Listaszerbekezds"/>
              <w:numPr>
                <w:ilvl w:val="0"/>
                <w:numId w:val="12"/>
              </w:numPr>
            </w:pPr>
            <w:r w:rsidRPr="00CC1783">
              <w:t>KEHOP-5.2.9-16-2016-00032</w:t>
            </w:r>
            <w:r>
              <w:t xml:space="preserve">: </w:t>
            </w:r>
            <w:r w:rsidR="00FF2886" w:rsidRPr="00FF2886">
              <w:t>Épületenergetikai felújítások Budapest Főváros VII. ker. Erzsébetváros intézményein a KEHOP-5.2.9-16 pályázati konstrukció keretében</w:t>
            </w:r>
            <w:r w:rsidR="00FF2886">
              <w:t>, 2017.</w:t>
            </w:r>
          </w:p>
          <w:p w14:paraId="1CC7FF76" w14:textId="2D6FE4DA" w:rsidR="00FF2886" w:rsidRPr="00FF2886" w:rsidRDefault="00CC1783" w:rsidP="009C6CD0">
            <w:pPr>
              <w:pStyle w:val="Listaszerbekezds"/>
              <w:numPr>
                <w:ilvl w:val="0"/>
                <w:numId w:val="12"/>
              </w:numPr>
            </w:pPr>
            <w:r w:rsidRPr="00CC1783">
              <w:t>KEHOP-1.2.1-18-2019-00252</w:t>
            </w:r>
            <w:r>
              <w:t xml:space="preserve">: </w:t>
            </w:r>
            <w:r w:rsidR="00FF2886" w:rsidRPr="00FF2886">
              <w:t>Klímastratégia kidolgozása és klímatudatosságot erősítő szemléletformálás Erzsébetvárosban</w:t>
            </w:r>
            <w:r>
              <w:t>, 2020.</w:t>
            </w:r>
          </w:p>
        </w:tc>
      </w:tr>
      <w:tr w:rsidR="009A5D57" w14:paraId="6BA1B941" w14:textId="77777777" w:rsidTr="00917508">
        <w:tc>
          <w:tcPr>
            <w:tcW w:w="8702" w:type="dxa"/>
            <w:gridSpan w:val="4"/>
            <w:shd w:val="clear" w:color="auto" w:fill="F2F2F2" w:themeFill="background1" w:themeFillShade="F2"/>
          </w:tcPr>
          <w:p w14:paraId="7ACB7DB0" w14:textId="16AB6171" w:rsidR="009A5D57" w:rsidRPr="009A5D57" w:rsidRDefault="009A5D57" w:rsidP="00917508">
            <w:pPr>
              <w:pStyle w:val="Cmsor2"/>
              <w:outlineLvl w:val="1"/>
            </w:pPr>
            <w:bookmarkStart w:id="18" w:name="_Toc133510170"/>
            <w:bookmarkEnd w:id="17"/>
            <w:r w:rsidRPr="009A5D57">
              <w:lastRenderedPageBreak/>
              <w:t>2.2. Az eszközök tulajdonjoga, a menedzsment struktúrája</w:t>
            </w:r>
            <w:bookmarkEnd w:id="18"/>
          </w:p>
        </w:tc>
      </w:tr>
      <w:tr w:rsidR="009A5D57" w14:paraId="3CEA3D44" w14:textId="77777777" w:rsidTr="009A5D57">
        <w:tc>
          <w:tcPr>
            <w:tcW w:w="8702" w:type="dxa"/>
            <w:gridSpan w:val="4"/>
          </w:tcPr>
          <w:p w14:paraId="15AF68DD" w14:textId="289799D5" w:rsidR="0075056C" w:rsidRPr="0075056C" w:rsidRDefault="0075056C" w:rsidP="0075056C">
            <w:r w:rsidRPr="0075056C">
              <w:t>A projektgazd</w:t>
            </w:r>
            <w:r>
              <w:t>a Erzsébetváros</w:t>
            </w:r>
            <w:r w:rsidRPr="0075056C">
              <w:t xml:space="preserve"> Önkormányzat</w:t>
            </w:r>
            <w:r w:rsidR="00F518AD">
              <w:t>a</w:t>
            </w:r>
            <w:r w:rsidRPr="0075056C">
              <w:t>, azonban a projekt keretében beszerzésre kerülő eszközök és a kiépülő energiahálózatok tulajdonjoga projektelemenként eltérő lesz. A kialakításra kerülő szigetelés, korszerűsített fűtési rendszerek, a napelemes és hőszivattyús</w:t>
            </w:r>
            <w:r w:rsidR="0094115B">
              <w:t xml:space="preserve"> </w:t>
            </w:r>
            <w:r w:rsidRPr="0075056C">
              <w:t>rendszerek tulajdonosai a társasházak</w:t>
            </w:r>
            <w:r>
              <w:t xml:space="preserve"> tulajdonosai</w:t>
            </w:r>
            <w:r w:rsidRPr="0075056C">
              <w:t xml:space="preserve"> lesznek. Az új nyílászárók a lakások tulajdonosai, az </w:t>
            </w:r>
            <w:r w:rsidR="0094115B">
              <w:t>üzletek</w:t>
            </w:r>
            <w:r w:rsidRPr="0075056C">
              <w:t xml:space="preserve"> vagy az egyéb tulajdonosok birtokába kerülnek. </w:t>
            </w:r>
          </w:p>
          <w:p w14:paraId="07DF301C" w14:textId="7674DEB9" w:rsidR="0075056C" w:rsidRPr="00FB3566" w:rsidRDefault="0075056C" w:rsidP="0075056C">
            <w:r w:rsidRPr="007B2E26">
              <w:t>A Beruházási Koncepció megvalósítása során az Önkormányzat döntéshozói, koordinációs, forráskezelési</w:t>
            </w:r>
            <w:r w:rsidR="007B2E26">
              <w:t xml:space="preserve"> és pályázatkezelési</w:t>
            </w:r>
            <w:r w:rsidRPr="007B2E26">
              <w:t xml:space="preserve"> szerepet lát el. Az átfogó döntéshozói kompetencia a Képviselő-testületnél van. A </w:t>
            </w:r>
            <w:r w:rsidRPr="00FB3566">
              <w:t xml:space="preserve">döntések meghozatalát az érintett szakbizottságok javaslatai segítik. A projekt operatív lebonyolításáért felelős szervezeti egység a </w:t>
            </w:r>
            <w:r w:rsidR="007B2E26" w:rsidRPr="00FB3566">
              <w:t>Klímavédelmi Kabinet</w:t>
            </w:r>
            <w:r w:rsidRPr="00FB3566">
              <w:t xml:space="preserve"> (koordináció</w:t>
            </w:r>
            <w:r w:rsidR="007B2E26" w:rsidRPr="00FB3566">
              <w:t xml:space="preserve"> és pályázatkezelés</w:t>
            </w:r>
            <w:r w:rsidRPr="00FB3566">
              <w:t xml:space="preserve">). </w:t>
            </w:r>
            <w:r w:rsidR="007B2E26" w:rsidRPr="00FB3566">
              <w:t xml:space="preserve">A forráskezelést a Pénzügyi Iroda bonyolítja. </w:t>
            </w:r>
            <w:r w:rsidRPr="00FB3566">
              <w:t xml:space="preserve">Egyes feladatok ellátásába eseti jelleggel bevonásra kerül a Polgármesteri Hivatal </w:t>
            </w:r>
            <w:r w:rsidR="00FB3566" w:rsidRPr="00FB3566">
              <w:t>Főépítészi és Vagyongazdálkodási Irodája</w:t>
            </w:r>
            <w:r w:rsidRPr="00FB3566">
              <w:t xml:space="preserve"> (műszaki és vagyoni kérdések esetében). </w:t>
            </w:r>
          </w:p>
          <w:p w14:paraId="364CD73E" w14:textId="1BE41BD5" w:rsidR="009A5D57" w:rsidRDefault="0075056C" w:rsidP="0075056C">
            <w:r w:rsidRPr="00FB3566">
              <w:t>A Képviselő-testület munkáját szakbizottságok támogatják (</w:t>
            </w:r>
            <w:r w:rsidR="007B2E26" w:rsidRPr="00FB3566">
              <w:t>Erzsébetváros</w:t>
            </w:r>
            <w:r w:rsidRPr="00FB3566">
              <w:t xml:space="preserve"> Önkormányzat Képviselő-testülete bizottságai). A projekt témáját illetően a </w:t>
            </w:r>
            <w:r w:rsidR="00FB3566" w:rsidRPr="00FB3566">
              <w:t>Pénzügyi és Kerületfejlesztési</w:t>
            </w:r>
            <w:r w:rsidRPr="00FB3566">
              <w:t xml:space="preserve"> Bizottság a releváns. A </w:t>
            </w:r>
            <w:r w:rsidR="00FB3566" w:rsidRPr="00FB3566">
              <w:t>PK</w:t>
            </w:r>
            <w:r w:rsidRPr="00FB3566">
              <w:t xml:space="preserve">B a beterjesztett döntéseket megvitatja és javaslatokat tesz a Képviselő-testület számára. A Képviselő-testület a </w:t>
            </w:r>
            <w:r w:rsidR="00FB3566" w:rsidRPr="00FB3566">
              <w:t>PK</w:t>
            </w:r>
            <w:r w:rsidRPr="00FB3566">
              <w:t>B javaslatait is figyelembe véve határozatokkal hoz döntéseket.</w:t>
            </w:r>
          </w:p>
        </w:tc>
      </w:tr>
      <w:tr w:rsidR="009A5D57" w14:paraId="223760F5" w14:textId="77777777" w:rsidTr="00917508">
        <w:tc>
          <w:tcPr>
            <w:tcW w:w="8702" w:type="dxa"/>
            <w:gridSpan w:val="4"/>
            <w:shd w:val="clear" w:color="auto" w:fill="F2F2F2" w:themeFill="background1" w:themeFillShade="F2"/>
          </w:tcPr>
          <w:p w14:paraId="013D2815" w14:textId="0A49F315" w:rsidR="009A5D57" w:rsidRPr="009A5D57" w:rsidRDefault="009A5D57" w:rsidP="00917508">
            <w:pPr>
              <w:pStyle w:val="Cmsor2"/>
              <w:outlineLvl w:val="1"/>
            </w:pPr>
            <w:bookmarkStart w:id="19" w:name="_Toc133510171"/>
            <w:r w:rsidRPr="009A5D57">
              <w:t>2.3. A pénzügyileg felelős jogi személy(ek) kockázati profilja</w:t>
            </w:r>
            <w:bookmarkEnd w:id="19"/>
          </w:p>
        </w:tc>
      </w:tr>
      <w:tr w:rsidR="009A5D57" w14:paraId="3398F1CB" w14:textId="77777777" w:rsidTr="009A5D57">
        <w:tc>
          <w:tcPr>
            <w:tcW w:w="8702" w:type="dxa"/>
            <w:gridSpan w:val="4"/>
          </w:tcPr>
          <w:p w14:paraId="645D1DAF" w14:textId="77777777" w:rsidR="009A5D57" w:rsidRDefault="008E6661" w:rsidP="009A5D57">
            <w:r w:rsidRPr="008E6661">
              <w:t>Alapvetően az önkormányzatok, mint pályázók alacsony pénzügyi kockázattal bírnak, mivel hitelfelvételre vagy kötvénykibocsátásra a Magyarország gazdasági stabilitásáról szóló 2011. évi CXCIV. törvény alapján kizárólag előzetes kormányzati hozzájárulást követően kerülhet sor. Azonban a pályázók kockázati profiljának teljesebb körű bemutatását a következőkben egy rövid pénzügyi elemzés segíti.</w:t>
            </w:r>
          </w:p>
          <w:p w14:paraId="70E135EC" w14:textId="2E19FFCF" w:rsidR="008E6661" w:rsidRDefault="008E6661" w:rsidP="009A5D57">
            <w:r>
              <w:t>Az önkormányzatok</w:t>
            </w:r>
            <w:r w:rsidR="00C17061">
              <w:t xml:space="preserve"> –</w:t>
            </w:r>
            <w:r>
              <w:t xml:space="preserve"> így Erzsébetváros is</w:t>
            </w:r>
            <w:r w:rsidR="00C17061">
              <w:t xml:space="preserve"> –</w:t>
            </w:r>
            <w:r>
              <w:t xml:space="preserve"> jelentős mértékben függnek</w:t>
            </w:r>
            <w:r w:rsidR="00C17061">
              <w:t xml:space="preserve"> az </w:t>
            </w:r>
            <w:r w:rsidR="00C17061" w:rsidRPr="00C17061">
              <w:t>állami költségvetés</w:t>
            </w:r>
            <w:r w:rsidR="00C17061">
              <w:t xml:space="preserve">től, </w:t>
            </w:r>
            <w:r w:rsidR="00442982">
              <w:t>ugyanakkor egyéb bevételforrásokkal is rendekeznek.</w:t>
            </w:r>
          </w:p>
          <w:p w14:paraId="3677765A" w14:textId="4360470C" w:rsidR="00A967A0" w:rsidRDefault="00A967A0" w:rsidP="009A5D57">
            <w:r>
              <w:t xml:space="preserve">Az alfejezet a </w:t>
            </w:r>
            <w:r w:rsidRPr="00A967A0">
              <w:t>Budapest Főváros VII. Kerület Erzsébetváros Önkormányzata</w:t>
            </w:r>
            <w:r>
              <w:t xml:space="preserve"> </w:t>
            </w:r>
            <w:r w:rsidRPr="00A967A0">
              <w:t>202</w:t>
            </w:r>
            <w:r w:rsidR="00514379">
              <w:t>3</w:t>
            </w:r>
            <w:r w:rsidRPr="00A967A0">
              <w:t>. évi tervezett működési, felhalmozási bevételeinek és kiadásainak, valamint finanszírozási előirányzatainak</w:t>
            </w:r>
            <w:r>
              <w:t xml:space="preserve"> </w:t>
            </w:r>
            <w:r w:rsidRPr="00A967A0">
              <w:t>mérlegszerű bemutatása</w:t>
            </w:r>
            <w:r>
              <w:t xml:space="preserve"> alapján kerül ismertetésre</w:t>
            </w:r>
            <w:r w:rsidR="00514379">
              <w:t xml:space="preserve"> (a 2022. évi várható teljesítés alapján)</w:t>
            </w:r>
            <w:r>
              <w:t>.</w:t>
            </w:r>
          </w:p>
          <w:p w14:paraId="2ACD713A" w14:textId="77777777" w:rsidR="00C012D9" w:rsidRDefault="00C012D9" w:rsidP="007C1441">
            <w:pPr>
              <w:rPr>
                <w:b/>
                <w:bCs/>
              </w:rPr>
            </w:pPr>
          </w:p>
          <w:p w14:paraId="704154D4" w14:textId="77777777" w:rsidR="007C1441" w:rsidRPr="007C1441" w:rsidRDefault="007C1441" w:rsidP="007C1441">
            <w:pPr>
              <w:rPr>
                <w:b/>
                <w:bCs/>
              </w:rPr>
            </w:pPr>
            <w:r w:rsidRPr="007C1441">
              <w:rPr>
                <w:b/>
                <w:bCs/>
              </w:rPr>
              <w:t>I. Működési költségvetés</w:t>
            </w:r>
          </w:p>
          <w:p w14:paraId="0F8E0FF8" w14:textId="77777777" w:rsidR="00F3769D" w:rsidRPr="000013B8" w:rsidRDefault="00F3769D" w:rsidP="00F3769D">
            <w:pPr>
              <w:rPr>
                <w:u w:val="single"/>
                <w:lang w:val="hu-HU"/>
              </w:rPr>
            </w:pPr>
            <w:r w:rsidRPr="000013B8">
              <w:rPr>
                <w:u w:val="single"/>
                <w:lang w:val="hu-HU"/>
              </w:rPr>
              <w:t>Működési költségvetés bevételei</w:t>
            </w:r>
          </w:p>
          <w:p w14:paraId="76579116" w14:textId="67212170" w:rsidR="007C1441" w:rsidRDefault="002C5ECA" w:rsidP="007C1441">
            <w:r>
              <w:t xml:space="preserve">A </w:t>
            </w:r>
            <w:r w:rsidRPr="002C5ECA">
              <w:t>mérleg</w:t>
            </w:r>
            <w:r>
              <w:t xml:space="preserve"> </w:t>
            </w:r>
            <w:r w:rsidRPr="002C5ECA">
              <w:t>alapján a működési költségvetés bevételei 202</w:t>
            </w:r>
            <w:r>
              <w:t>2</w:t>
            </w:r>
            <w:r w:rsidRPr="002C5ECA">
              <w:t xml:space="preserve">-ben </w:t>
            </w:r>
            <w:r>
              <w:t xml:space="preserve">összesen </w:t>
            </w:r>
            <w:r w:rsidRPr="002C5ECA">
              <w:t>17 364</w:t>
            </w:r>
            <w:r w:rsidR="00E83801">
              <w:t> 804 ezer</w:t>
            </w:r>
            <w:r>
              <w:t xml:space="preserve"> </w:t>
            </w:r>
            <w:r w:rsidRPr="002C5ECA">
              <w:t xml:space="preserve">Ft-nyi </w:t>
            </w:r>
            <w:r>
              <w:t>érték</w:t>
            </w:r>
            <w:r w:rsidRPr="002C5ECA">
              <w:t>et jelentettek, amely forrásaként a következő négy (1.-4.) tételcsoport szolgál:</w:t>
            </w:r>
          </w:p>
          <w:p w14:paraId="4BCB6488" w14:textId="589B2D7B" w:rsidR="002C5ECA" w:rsidRPr="002C5ECA" w:rsidRDefault="002C5ECA" w:rsidP="002C5ECA">
            <w:r w:rsidRPr="002C5ECA">
              <w:t>1.</w:t>
            </w:r>
            <w:r>
              <w:t xml:space="preserve"> </w:t>
            </w:r>
            <w:r w:rsidRPr="002C5ECA">
              <w:t>Közp</w:t>
            </w:r>
            <w:r w:rsidR="00E83801">
              <w:t>onti költségvetési támogatások és m</w:t>
            </w:r>
            <w:r w:rsidRPr="002C5ECA">
              <w:t>űködési célú támoga</w:t>
            </w:r>
            <w:r w:rsidR="00C012D9">
              <w:t>tások államháztartáson belülről</w:t>
            </w:r>
          </w:p>
          <w:p w14:paraId="1FF02949" w14:textId="4F5D398B" w:rsidR="002C5ECA" w:rsidRDefault="002C5ECA" w:rsidP="002C5ECA">
            <w:r w:rsidRPr="002C5ECA">
              <w:lastRenderedPageBreak/>
              <w:t>Az államháztartás központi alrendszeréből, ellenérték nélkül, pénzben nyújtott juttatásokat tekintjük költségvetési támogatásoknak.</w:t>
            </w:r>
            <w:r w:rsidR="001232B1">
              <w:rPr>
                <w:rStyle w:val="Lbjegyzet-hivatkozs"/>
              </w:rPr>
              <w:footnoteReference w:id="37"/>
            </w:r>
            <w:r w:rsidR="001232B1">
              <w:t xml:space="preserve"> </w:t>
            </w:r>
            <w:r w:rsidRPr="002C5ECA">
              <w:t>Ez az államtól érkező támogatási forma túlnyomórészt kötött, hiszen alapvetően a támogatott kötelező közfeladatainak teljesítésére szolgál, továbbá az Önkormányzat ezen bevételei a költségvetési törvény szabályainak megfelelően csak adott év végéig használhatóak fel, így a következő évek</w:t>
            </w:r>
            <w:r w:rsidR="00E83801">
              <w:t xml:space="preserve"> tervezéseihez nem kapcsolható.</w:t>
            </w:r>
          </w:p>
          <w:p w14:paraId="654F2371" w14:textId="6BE54CB7" w:rsidR="00A052AF" w:rsidRDefault="00A052AF" w:rsidP="002C5ECA">
            <w:r w:rsidRPr="00A052AF">
              <w:t>Az államháztartáson belülről érkező működési célú támogatások összege 202</w:t>
            </w:r>
            <w:r>
              <w:t>2</w:t>
            </w:r>
            <w:r w:rsidRPr="00A052AF">
              <w:t xml:space="preserve">-ben </w:t>
            </w:r>
            <w:r w:rsidR="00E83801">
              <w:t>3 370 475 ezer</w:t>
            </w:r>
            <w:r w:rsidRPr="00A052AF">
              <w:t xml:space="preserve"> Ft volt, amelynek döntő részét, </w:t>
            </w:r>
            <w:r>
              <w:t>82</w:t>
            </w:r>
            <w:r w:rsidR="00E83801">
              <w:t>%-</w:t>
            </w:r>
            <w:r w:rsidRPr="00A052AF">
              <w:t>t az „Önkormányzatok működési támogatásai” (2</w:t>
            </w:r>
            <w:r>
              <w:t> </w:t>
            </w:r>
            <w:r w:rsidRPr="00A052AF">
              <w:t>760</w:t>
            </w:r>
            <w:r>
              <w:t> </w:t>
            </w:r>
            <w:r w:rsidRPr="00A052AF">
              <w:t>071</w:t>
            </w:r>
            <w:r>
              <w:t xml:space="preserve"> 000</w:t>
            </w:r>
            <w:r w:rsidRPr="00A052AF">
              <w:t xml:space="preserve"> Ft) jogcím adta.</w:t>
            </w:r>
            <w:r w:rsidR="001232B1">
              <w:t xml:space="preserve"> </w:t>
            </w:r>
            <w:r w:rsidR="001232B1" w:rsidRPr="001232B1">
              <w:t>Ennek a típusnak képezik részét az Önkormányzat működésének általános finanszírozása, valamint a köznevelési, szociális, kulturális, gyermekjóléti és gyermekétkeztetési támogatások, illetve az elszámolásból származó bevételek.</w:t>
            </w:r>
            <w:r w:rsidR="001232B1">
              <w:t xml:space="preserve"> T</w:t>
            </w:r>
            <w:r w:rsidR="001232B1" w:rsidRPr="001232B1">
              <w:t xml:space="preserve">ovábbi </w:t>
            </w:r>
            <w:r w:rsidR="001232B1">
              <w:t>1</w:t>
            </w:r>
            <w:r w:rsidR="00E83801">
              <w:t>7%-</w:t>
            </w:r>
            <w:r w:rsidR="001232B1" w:rsidRPr="001232B1">
              <w:t>t az egyéb működési célú támogatások bevételei államháztartáson belülről adják</w:t>
            </w:r>
            <w:r w:rsidR="00E83801">
              <w:t>, míg 1%-</w:t>
            </w:r>
            <w:r w:rsidR="001232B1">
              <w:t>t tesz ki az e</w:t>
            </w:r>
            <w:r w:rsidR="001232B1" w:rsidRPr="001232B1">
              <w:t>lvonások és befizetések bevétele</w:t>
            </w:r>
            <w:r w:rsidR="001232B1">
              <w:t>.</w:t>
            </w:r>
          </w:p>
          <w:p w14:paraId="38895CA4" w14:textId="0639FDD9" w:rsidR="00870FA2" w:rsidRDefault="00870FA2" w:rsidP="002C5ECA">
            <w:r w:rsidRPr="00870FA2">
              <w:t xml:space="preserve">A központi költségvetési támogatások teljes mértékben az önkormányzat kötelező közfeladatainak finanszírozására szolgálnak, </w:t>
            </w:r>
            <w:r w:rsidR="00E83801">
              <w:t xml:space="preserve">így </w:t>
            </w:r>
            <w:r w:rsidRPr="00870FA2">
              <w:t xml:space="preserve">az Önkormányzat működésének általános finanszírozása jogcím </w:t>
            </w:r>
            <w:r w:rsidR="00E83801">
              <w:t>nem  fordítható</w:t>
            </w:r>
            <w:r w:rsidRPr="00870FA2">
              <w:t xml:space="preserve"> a projekt előkészítési és lebonyolítási folyamataira.</w:t>
            </w:r>
          </w:p>
          <w:p w14:paraId="31A24124" w14:textId="518A9D0D" w:rsidR="00870FA2" w:rsidRDefault="00870FA2" w:rsidP="002C5ECA">
            <w:r w:rsidRPr="00870FA2">
              <w:t xml:space="preserve">A központi költségvetési támogatások kapcsán fontos megjegyezni, hogy a magyarországi önkormányzatok adóbevételeinek szóródása egy kiegyenlítő rendszer működését követeli meg, </w:t>
            </w:r>
            <w:r w:rsidR="00C012D9">
              <w:t>szolidaritási hozzájárulásnak</w:t>
            </w:r>
            <w:r w:rsidRPr="00870FA2">
              <w:t xml:space="preserve"> neveznek. Ennek lényege, hogy az alacsony adóbevételi potenciállal rendelkező települési önk</w:t>
            </w:r>
            <w:r w:rsidR="00C012D9">
              <w:t xml:space="preserve">ormányzatok kiegészítést kapnak, </w:t>
            </w:r>
            <w:r w:rsidRPr="00870FA2">
              <w:t>míg a nagy adóerő-képességgel bíró önkormányzatokra a központi támogatások csökkentése várhat, ezzel redukálva az önkormányzatok közötti bevételi egyenlőtlenségeket. Ennek értelmében magas adóbevételek esetén fennállhat a központi támogatás mértékének zsugorodása.</w:t>
            </w:r>
          </w:p>
          <w:p w14:paraId="62A8E730" w14:textId="2581C005" w:rsidR="00EE74F5" w:rsidRDefault="00EE74F5" w:rsidP="002C5ECA">
            <w:r>
              <w:t>Erzsébetváros</w:t>
            </w:r>
            <w:r w:rsidRPr="00EE74F5">
              <w:t xml:space="preserve"> esetében enyhe pénzügyi kockázatot </w:t>
            </w:r>
            <w:r w:rsidRPr="002E11FA">
              <w:t xml:space="preserve">jelenthet a központi költségvetési támogatások rugalmatlansága, valamint az ilyen jellegű bevételek esetleges csökkenésének veszélye is a </w:t>
            </w:r>
            <w:r w:rsidR="00E83801">
              <w:t xml:space="preserve">szolidaritási </w:t>
            </w:r>
            <w:r w:rsidR="00C012D9">
              <w:t>hozzájárulás</w:t>
            </w:r>
            <w:r w:rsidRPr="002E11FA">
              <w:t xml:space="preserve"> miatt. Azonban ezt a kockázatot jelentősen enyhíti  a </w:t>
            </w:r>
            <w:r w:rsidR="002E11FA" w:rsidRPr="002E11FA">
              <w:t>4.4 mellékletben</w:t>
            </w:r>
            <w:r w:rsidRPr="002E11FA">
              <w:t xml:space="preserve"> részletesebben bemutatásra kerülő pénzügyi alap.</w:t>
            </w:r>
          </w:p>
          <w:p w14:paraId="43375914" w14:textId="77777777" w:rsidR="00141FBF" w:rsidRPr="000013B8" w:rsidRDefault="00141FBF" w:rsidP="00141FBF">
            <w:pPr>
              <w:rPr>
                <w:lang w:val="hu-HU"/>
              </w:rPr>
            </w:pPr>
            <w:r w:rsidRPr="000013B8">
              <w:rPr>
                <w:lang w:val="hu-HU"/>
              </w:rPr>
              <w:t>2. Közhatalmi bevételek</w:t>
            </w:r>
          </w:p>
          <w:p w14:paraId="1C9020EA" w14:textId="23918433" w:rsidR="00141FBF" w:rsidRDefault="00141FBF" w:rsidP="002C5ECA">
            <w:r w:rsidRPr="00141FBF">
              <w:t>A közhatalmi bevételek (helyi adók) teljes értéke 202</w:t>
            </w:r>
            <w:r>
              <w:t>2</w:t>
            </w:r>
            <w:r w:rsidRPr="00141FBF">
              <w:t>-ben</w:t>
            </w:r>
            <w:r>
              <w:t xml:space="preserve"> </w:t>
            </w:r>
            <w:r w:rsidRPr="00141FBF">
              <w:t>9 172</w:t>
            </w:r>
            <w:r w:rsidR="00CE358C">
              <w:t> 461 ezer</w:t>
            </w:r>
            <w:r>
              <w:t xml:space="preserve"> </w:t>
            </w:r>
            <w:r w:rsidRPr="00141FBF">
              <w:t>Ft-ot tett ki. Ezek felhasználása kötetlen az iparűzési adó  (melyet a 1990. évi C. törvény a helyi adókról 36/A. §-a alapján elsősorban a szociális ellátások finanszírozására szükséges fordítani) kivételével.</w:t>
            </w:r>
            <w:r w:rsidR="00906177">
              <w:t xml:space="preserve"> </w:t>
            </w:r>
            <w:r w:rsidR="00906177" w:rsidRPr="00906177">
              <w:t xml:space="preserve">Azonban a közhatalmi bevételek </w:t>
            </w:r>
            <w:r w:rsidR="00906177">
              <w:t>döntő</w:t>
            </w:r>
            <w:r w:rsidR="00906177" w:rsidRPr="00906177">
              <w:t xml:space="preserve"> részét, </w:t>
            </w:r>
            <w:r w:rsidR="00906177">
              <w:t>74</w:t>
            </w:r>
            <w:r w:rsidR="00906177" w:rsidRPr="00906177">
              <w:t>%-át az iparűzési adó</w:t>
            </w:r>
            <w:r w:rsidR="00906177">
              <w:t>t is magában foglaló adóelem (</w:t>
            </w:r>
            <w:r w:rsidR="00D74791" w:rsidRPr="00A052AF">
              <w:t>„</w:t>
            </w:r>
            <w:r w:rsidR="00906177" w:rsidRPr="00906177">
              <w:t>Termékek és szolgáltatások adói</w:t>
            </w:r>
            <w:r w:rsidR="00D74791" w:rsidRPr="00A052AF">
              <w:t>”</w:t>
            </w:r>
            <w:r w:rsidR="00906177">
              <w:t>)</w:t>
            </w:r>
            <w:r w:rsidR="00906177" w:rsidRPr="00906177">
              <w:t xml:space="preserve"> </w:t>
            </w:r>
            <w:r w:rsidR="00906177">
              <w:t xml:space="preserve"> adja,</w:t>
            </w:r>
            <w:r w:rsidR="00906177" w:rsidRPr="00906177">
              <w:t xml:space="preserve"> 6 823</w:t>
            </w:r>
            <w:r w:rsidR="00906177">
              <w:t> </w:t>
            </w:r>
            <w:r w:rsidR="00906177" w:rsidRPr="00906177">
              <w:t>359</w:t>
            </w:r>
            <w:r w:rsidR="00906177">
              <w:t xml:space="preserve"> </w:t>
            </w:r>
            <w:r w:rsidR="00CE358C">
              <w:t xml:space="preserve">ezer </w:t>
            </w:r>
            <w:r w:rsidR="00906177" w:rsidRPr="00906177">
              <w:t>Ft-tal.</w:t>
            </w:r>
            <w:r w:rsidR="00D74791">
              <w:t xml:space="preserve"> </w:t>
            </w:r>
            <w:r w:rsidR="00D74791" w:rsidRPr="00D74791">
              <w:t>Emellett jelentősebb bevételt képeznek még a vagyoni típusú adók</w:t>
            </w:r>
            <w:r w:rsidR="00D74791">
              <w:t xml:space="preserve"> (</w:t>
            </w:r>
            <w:r w:rsidR="00D74791" w:rsidRPr="00D74791">
              <w:t>2</w:t>
            </w:r>
            <w:r w:rsidR="00D74791">
              <w:t> </w:t>
            </w:r>
            <w:r w:rsidR="00D74791" w:rsidRPr="00D74791">
              <w:t>142</w:t>
            </w:r>
            <w:r w:rsidR="00D74791">
              <w:t> </w:t>
            </w:r>
            <w:r w:rsidR="00D74791" w:rsidRPr="00D74791">
              <w:t>219</w:t>
            </w:r>
            <w:r w:rsidR="00D74791">
              <w:t> </w:t>
            </w:r>
            <w:r w:rsidR="00CE358C">
              <w:t>ezer</w:t>
            </w:r>
            <w:r w:rsidR="00D74791">
              <w:t xml:space="preserve"> Ft)</w:t>
            </w:r>
            <w:r w:rsidR="00D74791" w:rsidRPr="00D74791">
              <w:t xml:space="preserve">, </w:t>
            </w:r>
            <w:r w:rsidR="00D74791">
              <w:t>ellenben</w:t>
            </w:r>
            <w:r w:rsidR="00D74791" w:rsidRPr="00D74791">
              <w:t xml:space="preserve"> az egyéb közhatalmi bevételek </w:t>
            </w:r>
            <w:r w:rsidR="0079225F">
              <w:t>fontossága</w:t>
            </w:r>
            <w:r w:rsidR="00D74791">
              <w:t xml:space="preserve"> </w:t>
            </w:r>
            <w:r w:rsidR="00D74791" w:rsidRPr="00D74791">
              <w:t xml:space="preserve"> (</w:t>
            </w:r>
            <w:r w:rsidR="0079225F">
              <w:t xml:space="preserve">206 882 </w:t>
            </w:r>
            <w:r w:rsidR="00CE358C">
              <w:t>ezer</w:t>
            </w:r>
            <w:r w:rsidR="00D74791" w:rsidRPr="00D74791">
              <w:t>Ft)</w:t>
            </w:r>
            <w:r w:rsidR="0079225F">
              <w:t xml:space="preserve"> kisebb</w:t>
            </w:r>
            <w:r w:rsidR="00D74791" w:rsidRPr="00D74791">
              <w:t>.</w:t>
            </w:r>
          </w:p>
          <w:p w14:paraId="57BC480A" w14:textId="77777777" w:rsidR="0079225F" w:rsidRDefault="0079225F" w:rsidP="002C5ECA">
            <w:r w:rsidRPr="0079225F">
              <w:t xml:space="preserve">Ezek alapján a közhatalmi bevételek </w:t>
            </w:r>
            <w:r>
              <w:t>26</w:t>
            </w:r>
            <w:r w:rsidRPr="0079225F">
              <w:t xml:space="preserve">%-a potenciálisan felhasználható lehet akár a projektelemek finanszírozására, amely </w:t>
            </w:r>
            <w:r>
              <w:t>közepesen optimálisnak nevezhető</w:t>
            </w:r>
            <w:r w:rsidRPr="0079225F">
              <w:t>.</w:t>
            </w:r>
          </w:p>
          <w:p w14:paraId="6D249B9F" w14:textId="77777777" w:rsidR="00DC1763" w:rsidRPr="000013B8" w:rsidRDefault="00DC1763" w:rsidP="00DC1763">
            <w:pPr>
              <w:rPr>
                <w:lang w:val="hu-HU"/>
              </w:rPr>
            </w:pPr>
            <w:r w:rsidRPr="000013B8">
              <w:rPr>
                <w:lang w:val="hu-HU"/>
              </w:rPr>
              <w:t>3. Működési bevételek</w:t>
            </w:r>
          </w:p>
          <w:p w14:paraId="4A467A22" w14:textId="7A804625" w:rsidR="00DC1763" w:rsidRDefault="00DC1763" w:rsidP="00DC1763">
            <w:pPr>
              <w:rPr>
                <w:lang w:val="hu-HU"/>
              </w:rPr>
            </w:pPr>
            <w:r w:rsidRPr="000013B8">
              <w:rPr>
                <w:lang w:val="hu-HU"/>
              </w:rPr>
              <w:t xml:space="preserve">A működési bevételek </w:t>
            </w:r>
            <w:r>
              <w:rPr>
                <w:lang w:val="hu-HU"/>
              </w:rPr>
              <w:t>is számottevő</w:t>
            </w:r>
            <w:r w:rsidRPr="000013B8">
              <w:rPr>
                <w:lang w:val="hu-HU"/>
              </w:rPr>
              <w:t xml:space="preserve"> összeget – a 202</w:t>
            </w:r>
            <w:r>
              <w:rPr>
                <w:lang w:val="hu-HU"/>
              </w:rPr>
              <w:t>2</w:t>
            </w:r>
            <w:r w:rsidRPr="000013B8">
              <w:rPr>
                <w:lang w:val="hu-HU"/>
              </w:rPr>
              <w:t xml:space="preserve">-es bevételek </w:t>
            </w:r>
            <w:r>
              <w:rPr>
                <w:lang w:val="hu-HU"/>
              </w:rPr>
              <w:t>26,</w:t>
            </w:r>
            <w:r w:rsidRPr="000013B8">
              <w:rPr>
                <w:lang w:val="hu-HU"/>
              </w:rPr>
              <w:t xml:space="preserve">5%-át, </w:t>
            </w:r>
            <w:r w:rsidRPr="00DC1763">
              <w:rPr>
                <w:lang w:val="hu-HU"/>
              </w:rPr>
              <w:t>4 601</w:t>
            </w:r>
            <w:r>
              <w:rPr>
                <w:lang w:val="hu-HU"/>
              </w:rPr>
              <w:t> </w:t>
            </w:r>
            <w:r w:rsidR="00CE358C">
              <w:rPr>
                <w:lang w:val="hu-HU"/>
              </w:rPr>
              <w:t>965 ezer</w:t>
            </w:r>
            <w:r>
              <w:rPr>
                <w:lang w:val="hu-HU"/>
              </w:rPr>
              <w:t xml:space="preserve"> </w:t>
            </w:r>
            <w:r w:rsidRPr="000013B8">
              <w:rPr>
                <w:lang w:val="hu-HU"/>
              </w:rPr>
              <w:t>Ft-ot – képviselnek, melyet a következő tételek jelentenek: készletértékesítés, szolgáltatások és közvetített szolgáltatások ellenértéke, tulajdonosi bevételek, ellátási díjak, kiszámlázott ÁFA, ÁFA visszatérülés, valamint egyéb működési bevételek.</w:t>
            </w:r>
          </w:p>
          <w:p w14:paraId="011B32D7" w14:textId="77777777" w:rsidR="009B12CD" w:rsidRPr="009B12CD" w:rsidRDefault="009B12CD" w:rsidP="009B12CD">
            <w:r w:rsidRPr="009B12CD">
              <w:t>4. Működési célú átvett pénzeszközök</w:t>
            </w:r>
          </w:p>
          <w:p w14:paraId="68710F66" w14:textId="4E5BFB84" w:rsidR="00DC1763" w:rsidRDefault="009B12CD" w:rsidP="009B12CD">
            <w:r w:rsidRPr="009B12CD">
              <w:lastRenderedPageBreak/>
              <w:t>A működési célú átvett pénzeszközök értéke 202</w:t>
            </w:r>
            <w:r>
              <w:t>2</w:t>
            </w:r>
            <w:r w:rsidRPr="009B12CD">
              <w:t>-ben: 219</w:t>
            </w:r>
            <w:r>
              <w:t> </w:t>
            </w:r>
            <w:r w:rsidRPr="009B12CD">
              <w:t>903</w:t>
            </w:r>
            <w:r>
              <w:t xml:space="preserve"> </w:t>
            </w:r>
            <w:r w:rsidR="00CE358C">
              <w:t>ezer</w:t>
            </w:r>
            <w:r w:rsidRPr="009B12CD">
              <w:t xml:space="preserve"> Ft, </w:t>
            </w:r>
            <w:r w:rsidR="00C01A8C">
              <w:t>a</w:t>
            </w:r>
            <w:r w:rsidRPr="009B12CD">
              <w:t xml:space="preserve">mely </w:t>
            </w:r>
            <w:r w:rsidR="00C01A8C">
              <w:t>az</w:t>
            </w:r>
            <w:r w:rsidRPr="009B12CD">
              <w:t xml:space="preserve"> ’egyéb működési célú átvett pénzeszközök’ tételből áll.</w:t>
            </w:r>
          </w:p>
          <w:p w14:paraId="5468A421" w14:textId="77777777" w:rsidR="004F18F3" w:rsidRPr="000013B8" w:rsidRDefault="004F18F3" w:rsidP="004F18F3">
            <w:pPr>
              <w:rPr>
                <w:u w:val="single"/>
                <w:lang w:val="hu-HU"/>
              </w:rPr>
            </w:pPr>
            <w:r w:rsidRPr="000013B8">
              <w:rPr>
                <w:u w:val="single"/>
                <w:lang w:val="hu-HU"/>
              </w:rPr>
              <w:t>Működési költségvetés kiadásai</w:t>
            </w:r>
          </w:p>
          <w:p w14:paraId="1E8C7877" w14:textId="282A1ED7" w:rsidR="004F18F3" w:rsidRDefault="00164814" w:rsidP="009B12CD">
            <w:r>
              <w:t>A m</w:t>
            </w:r>
            <w:r w:rsidRPr="00164814">
              <w:t xml:space="preserve">űködési költségvetés </w:t>
            </w:r>
            <w:r>
              <w:t xml:space="preserve">2022-es </w:t>
            </w:r>
            <w:r w:rsidRPr="00164814">
              <w:t>kiadásai</w:t>
            </w:r>
            <w:r>
              <w:t xml:space="preserve"> (</w:t>
            </w:r>
            <w:r w:rsidRPr="00164814">
              <w:t>15 627</w:t>
            </w:r>
            <w:r w:rsidR="00CE358C">
              <w:t> 260 ezer</w:t>
            </w:r>
            <w:r>
              <w:t xml:space="preserve"> Ft) magasak voltak, ám nem érték el a bevételi oldal mértékét.</w:t>
            </w:r>
            <w:r w:rsidR="003C0951">
              <w:t xml:space="preserve"> Ezen tétel </w:t>
            </w:r>
            <w:r w:rsidR="003C0951" w:rsidRPr="003C0951">
              <w:t>legnagyobb részét, a dologi kiadások (városüzemeltetési, igazgatási, környezetvédelmi, közrendvédelmi, közbiztonsági, köznevelési, közművelődési, szociális, egészségügyi és sport feladatok) jelentették 7 846</w:t>
            </w:r>
            <w:r w:rsidR="003C0951">
              <w:t> </w:t>
            </w:r>
            <w:r w:rsidR="00CE358C">
              <w:t>87</w:t>
            </w:r>
            <w:r w:rsidR="003C0951" w:rsidRPr="003C0951">
              <w:t>5</w:t>
            </w:r>
            <w:r w:rsidR="00CE358C">
              <w:t> ezer</w:t>
            </w:r>
            <w:r w:rsidR="003C0951">
              <w:t xml:space="preserve"> </w:t>
            </w:r>
            <w:r w:rsidR="003C0951" w:rsidRPr="003C0951">
              <w:t>Ft-tal</w:t>
            </w:r>
            <w:r w:rsidR="003C0951">
              <w:t xml:space="preserve">. </w:t>
            </w:r>
            <w:r w:rsidR="003C0951" w:rsidRPr="003C0951">
              <w:t>Ezt köv</w:t>
            </w:r>
            <w:r w:rsidR="00CE358C">
              <w:t>etik a személyi juttatások 5 012 967 ezer</w:t>
            </w:r>
            <w:r w:rsidR="003C0951">
              <w:t xml:space="preserve"> </w:t>
            </w:r>
            <w:r w:rsidR="003C0951" w:rsidRPr="003C0951">
              <w:t>Ft összeggel.</w:t>
            </w:r>
          </w:p>
          <w:p w14:paraId="63F2EEC3" w14:textId="7456838E" w:rsidR="003C0951" w:rsidRDefault="003C0951" w:rsidP="009B12CD">
            <w:pPr>
              <w:rPr>
                <w:lang w:val="hu-HU"/>
              </w:rPr>
            </w:pPr>
            <w:r w:rsidRPr="000013B8">
              <w:rPr>
                <w:lang w:val="hu-HU"/>
              </w:rPr>
              <w:t xml:space="preserve">A működési költségvetés kiadásaihoz továbbá hozzájárultak az egyéb működési célú kiadások (elvonások és befizetések, </w:t>
            </w:r>
            <w:r>
              <w:rPr>
                <w:lang w:val="hu-HU"/>
              </w:rPr>
              <w:t xml:space="preserve">egyéb </w:t>
            </w:r>
            <w:r w:rsidRPr="000013B8">
              <w:rPr>
                <w:lang w:val="hu-HU"/>
              </w:rPr>
              <w:t xml:space="preserve">működési célú támogatások államháztartáson belülre és kívülre: </w:t>
            </w:r>
            <w:r w:rsidRPr="003C0951">
              <w:rPr>
                <w:lang w:val="hu-HU"/>
              </w:rPr>
              <w:t>1 955</w:t>
            </w:r>
            <w:r>
              <w:rPr>
                <w:lang w:val="hu-HU"/>
              </w:rPr>
              <w:t> </w:t>
            </w:r>
            <w:r w:rsidR="00CE358C">
              <w:rPr>
                <w:lang w:val="hu-HU"/>
              </w:rPr>
              <w:t>977 ezer</w:t>
            </w:r>
            <w:r>
              <w:rPr>
                <w:lang w:val="hu-HU"/>
              </w:rPr>
              <w:t xml:space="preserve"> </w:t>
            </w:r>
            <w:r w:rsidRPr="000013B8">
              <w:rPr>
                <w:lang w:val="hu-HU"/>
              </w:rPr>
              <w:t>Ft), a munkaadókat terhelő járulékok és szociális hozzájárulási adó (</w:t>
            </w:r>
            <w:r w:rsidR="00C7585B">
              <w:rPr>
                <w:lang w:val="hu-HU"/>
              </w:rPr>
              <w:t xml:space="preserve">720 799 </w:t>
            </w:r>
            <w:r w:rsidR="00CE358C">
              <w:rPr>
                <w:lang w:val="hu-HU"/>
              </w:rPr>
              <w:t>ezer</w:t>
            </w:r>
            <w:r w:rsidRPr="000013B8">
              <w:rPr>
                <w:lang w:val="hu-HU"/>
              </w:rPr>
              <w:t xml:space="preserve"> Ft), valamint az ellátottak pénzbeli juttatásai (</w:t>
            </w:r>
            <w:r w:rsidR="00C7585B" w:rsidRPr="00C7585B">
              <w:rPr>
                <w:lang w:val="hu-HU"/>
              </w:rPr>
              <w:t>90</w:t>
            </w:r>
            <w:r w:rsidR="00CE358C">
              <w:rPr>
                <w:lang w:val="hu-HU"/>
              </w:rPr>
              <w:t> 642 ezer</w:t>
            </w:r>
            <w:r w:rsidRPr="000013B8">
              <w:rPr>
                <w:lang w:val="hu-HU"/>
              </w:rPr>
              <w:t xml:space="preserve"> Ft).</w:t>
            </w:r>
          </w:p>
          <w:p w14:paraId="79BEA167" w14:textId="77777777" w:rsidR="00C7585B" w:rsidRPr="000013B8" w:rsidRDefault="00C7585B" w:rsidP="00C7585B">
            <w:pPr>
              <w:rPr>
                <w:b/>
                <w:bCs/>
                <w:lang w:val="hu-HU"/>
              </w:rPr>
            </w:pPr>
            <w:r w:rsidRPr="000013B8">
              <w:rPr>
                <w:b/>
                <w:bCs/>
                <w:lang w:val="hu-HU"/>
              </w:rPr>
              <w:t>II. Felhalmozási költségvetés</w:t>
            </w:r>
          </w:p>
          <w:p w14:paraId="66C2E065" w14:textId="40790820" w:rsidR="00C7585B" w:rsidRDefault="00C7585B" w:rsidP="00C7585B">
            <w:pPr>
              <w:rPr>
                <w:u w:val="single"/>
                <w:lang w:val="hu-HU"/>
              </w:rPr>
            </w:pPr>
            <w:r w:rsidRPr="000013B8">
              <w:rPr>
                <w:u w:val="single"/>
                <w:lang w:val="hu-HU"/>
              </w:rPr>
              <w:t>Felhalmozási költségvetés bevételei</w:t>
            </w:r>
          </w:p>
          <w:p w14:paraId="1C8A6985" w14:textId="7EFDF206" w:rsidR="00863E92" w:rsidRPr="000013B8" w:rsidRDefault="00863E92" w:rsidP="00863E92">
            <w:pPr>
              <w:rPr>
                <w:lang w:val="hu-HU"/>
              </w:rPr>
            </w:pPr>
            <w:r w:rsidRPr="000013B8">
              <w:rPr>
                <w:lang w:val="hu-HU"/>
              </w:rPr>
              <w:t>Ennek a bevételtípusnak a 202</w:t>
            </w:r>
            <w:r>
              <w:rPr>
                <w:lang w:val="hu-HU"/>
              </w:rPr>
              <w:t>2</w:t>
            </w:r>
            <w:r w:rsidRPr="000013B8">
              <w:rPr>
                <w:lang w:val="hu-HU"/>
              </w:rPr>
              <w:t xml:space="preserve">. évi értéke </w:t>
            </w:r>
            <w:r w:rsidRPr="00863E92">
              <w:rPr>
                <w:lang w:val="hu-HU"/>
              </w:rPr>
              <w:t>1 205</w:t>
            </w:r>
            <w:r>
              <w:rPr>
                <w:lang w:val="hu-HU"/>
              </w:rPr>
              <w:t> </w:t>
            </w:r>
            <w:r w:rsidRPr="00863E92">
              <w:rPr>
                <w:lang w:val="hu-HU"/>
              </w:rPr>
              <w:t>894</w:t>
            </w:r>
            <w:r>
              <w:rPr>
                <w:lang w:val="hu-HU"/>
              </w:rPr>
              <w:t> </w:t>
            </w:r>
            <w:r w:rsidR="00CE358C">
              <w:rPr>
                <w:lang w:val="hu-HU"/>
              </w:rPr>
              <w:t>ezer</w:t>
            </w:r>
            <w:r>
              <w:rPr>
                <w:lang w:val="hu-HU"/>
              </w:rPr>
              <w:t xml:space="preserve"> </w:t>
            </w:r>
            <w:r w:rsidRPr="000013B8">
              <w:rPr>
                <w:lang w:val="hu-HU"/>
              </w:rPr>
              <w:t xml:space="preserve">Ft-ot jelentett, ami </w:t>
            </w:r>
            <w:r>
              <w:rPr>
                <w:lang w:val="hu-HU"/>
              </w:rPr>
              <w:t>két</w:t>
            </w:r>
            <w:r w:rsidRPr="000013B8">
              <w:rPr>
                <w:lang w:val="hu-HU"/>
              </w:rPr>
              <w:t xml:space="preserve"> fő forrásból tevődött össze:</w:t>
            </w:r>
          </w:p>
          <w:p w14:paraId="04FEDFAC" w14:textId="5984A1E6" w:rsidR="00863E92" w:rsidRPr="000013B8" w:rsidRDefault="00863E92" w:rsidP="009C6CD0">
            <w:pPr>
              <w:pStyle w:val="Listaszerbekezds"/>
              <w:numPr>
                <w:ilvl w:val="0"/>
                <w:numId w:val="22"/>
              </w:numPr>
              <w:spacing w:before="0" w:after="160" w:line="259" w:lineRule="auto"/>
              <w:rPr>
                <w:lang w:val="hu-HU"/>
              </w:rPr>
            </w:pPr>
            <w:r w:rsidRPr="000013B8">
              <w:rPr>
                <w:lang w:val="hu-HU"/>
              </w:rPr>
              <w:t>Az</w:t>
            </w:r>
            <w:r w:rsidR="00C012D9">
              <w:rPr>
                <w:lang w:val="hu-HU"/>
              </w:rPr>
              <w:t xml:space="preserve"> immateriális javak, ingatlanok és tárgyi eszközök</w:t>
            </w:r>
            <w:r w:rsidRPr="000013B8">
              <w:rPr>
                <w:lang w:val="hu-HU"/>
              </w:rPr>
              <w:t xml:space="preserve"> értékesítése (felhalmozási bevételek – </w:t>
            </w:r>
            <w:r w:rsidRPr="00863E92">
              <w:rPr>
                <w:lang w:val="hu-HU"/>
              </w:rPr>
              <w:t>1 076</w:t>
            </w:r>
            <w:r>
              <w:rPr>
                <w:lang w:val="hu-HU"/>
              </w:rPr>
              <w:t> </w:t>
            </w:r>
            <w:r w:rsidRPr="00863E92">
              <w:rPr>
                <w:lang w:val="hu-HU"/>
              </w:rPr>
              <w:t>712</w:t>
            </w:r>
            <w:r>
              <w:rPr>
                <w:lang w:val="hu-HU"/>
              </w:rPr>
              <w:t> </w:t>
            </w:r>
            <w:r w:rsidR="00CE358C">
              <w:rPr>
                <w:lang w:val="hu-HU"/>
              </w:rPr>
              <w:t>ezer</w:t>
            </w:r>
            <w:r>
              <w:rPr>
                <w:lang w:val="hu-HU"/>
              </w:rPr>
              <w:t xml:space="preserve"> </w:t>
            </w:r>
            <w:r w:rsidRPr="000013B8">
              <w:rPr>
                <w:lang w:val="hu-HU"/>
              </w:rPr>
              <w:t>Ft)</w:t>
            </w:r>
            <w:r>
              <w:rPr>
                <w:lang w:val="hu-HU"/>
              </w:rPr>
              <w:t>, melyek közül kiemelkedik az ingatlanok értékesítése (</w:t>
            </w:r>
            <w:r w:rsidRPr="00863E92">
              <w:rPr>
                <w:lang w:val="hu-HU"/>
              </w:rPr>
              <w:t>1 070</w:t>
            </w:r>
            <w:r>
              <w:rPr>
                <w:lang w:val="hu-HU"/>
              </w:rPr>
              <w:t> </w:t>
            </w:r>
            <w:r w:rsidRPr="00863E92">
              <w:rPr>
                <w:lang w:val="hu-HU"/>
              </w:rPr>
              <w:t>562</w:t>
            </w:r>
            <w:r>
              <w:rPr>
                <w:lang w:val="hu-HU"/>
              </w:rPr>
              <w:t> </w:t>
            </w:r>
            <w:r w:rsidR="00CE358C">
              <w:rPr>
                <w:lang w:val="hu-HU"/>
              </w:rPr>
              <w:t>ezer</w:t>
            </w:r>
            <w:r>
              <w:rPr>
                <w:lang w:val="hu-HU"/>
              </w:rPr>
              <w:t xml:space="preserve"> Ft)</w:t>
            </w:r>
            <w:r w:rsidRPr="000013B8">
              <w:rPr>
                <w:lang w:val="hu-HU"/>
              </w:rPr>
              <w:t>;</w:t>
            </w:r>
          </w:p>
          <w:p w14:paraId="7E398106" w14:textId="6CB39F9B" w:rsidR="00C7585B" w:rsidRPr="00863E92" w:rsidRDefault="00863E92" w:rsidP="009C6CD0">
            <w:pPr>
              <w:pStyle w:val="Listaszerbekezds"/>
              <w:numPr>
                <w:ilvl w:val="0"/>
                <w:numId w:val="22"/>
              </w:numPr>
              <w:rPr>
                <w:u w:val="single"/>
              </w:rPr>
            </w:pPr>
            <w:r w:rsidRPr="000013B8">
              <w:t>Felhalmozási célú átvett pénzeszköz (</w:t>
            </w:r>
            <w:r w:rsidRPr="00863E92">
              <w:t>129</w:t>
            </w:r>
            <w:r>
              <w:t> </w:t>
            </w:r>
            <w:r w:rsidRPr="00863E92">
              <w:t>182</w:t>
            </w:r>
            <w:r>
              <w:t> </w:t>
            </w:r>
            <w:r w:rsidR="00CE358C">
              <w:t>ezer</w:t>
            </w:r>
            <w:r>
              <w:t xml:space="preserve"> Ft</w:t>
            </w:r>
            <w:r w:rsidRPr="000013B8">
              <w:t>).</w:t>
            </w:r>
          </w:p>
          <w:p w14:paraId="4DE6DB9D" w14:textId="3B3B786B" w:rsidR="00C7585B" w:rsidRDefault="00C7585B" w:rsidP="00C7585B">
            <w:pPr>
              <w:rPr>
                <w:u w:val="single"/>
                <w:lang w:val="hu-HU"/>
              </w:rPr>
            </w:pPr>
            <w:r w:rsidRPr="000013B8">
              <w:rPr>
                <w:u w:val="single"/>
                <w:lang w:val="hu-HU"/>
              </w:rPr>
              <w:t>Felhalmozási költségvetés kiadásai</w:t>
            </w:r>
          </w:p>
          <w:p w14:paraId="738784E6" w14:textId="18BD43E9" w:rsidR="00C7585B" w:rsidRPr="000013B8" w:rsidRDefault="00863E92" w:rsidP="00C7585B">
            <w:pPr>
              <w:rPr>
                <w:u w:val="single"/>
                <w:lang w:val="hu-HU"/>
              </w:rPr>
            </w:pPr>
            <w:r w:rsidRPr="000013B8">
              <w:rPr>
                <w:lang w:val="hu-HU"/>
              </w:rPr>
              <w:t xml:space="preserve">A kiadási ág meghaladja a bevételit a felhalmozási költségvetés esetében </w:t>
            </w:r>
            <w:r w:rsidRPr="00863E92">
              <w:rPr>
                <w:lang w:val="hu-HU"/>
              </w:rPr>
              <w:t>3 128</w:t>
            </w:r>
            <w:r>
              <w:rPr>
                <w:lang w:val="hu-HU"/>
              </w:rPr>
              <w:t> </w:t>
            </w:r>
            <w:r w:rsidRPr="00863E92">
              <w:rPr>
                <w:lang w:val="hu-HU"/>
              </w:rPr>
              <w:t>784</w:t>
            </w:r>
            <w:r>
              <w:rPr>
                <w:lang w:val="hu-HU"/>
              </w:rPr>
              <w:t> </w:t>
            </w:r>
            <w:r w:rsidR="00CE358C">
              <w:rPr>
                <w:lang w:val="hu-HU"/>
              </w:rPr>
              <w:t>ezer</w:t>
            </w:r>
            <w:r>
              <w:rPr>
                <w:lang w:val="hu-HU"/>
              </w:rPr>
              <w:t xml:space="preserve"> </w:t>
            </w:r>
            <w:r w:rsidRPr="000013B8">
              <w:rPr>
                <w:lang w:val="hu-HU"/>
              </w:rPr>
              <w:t>Ft-os értékével.</w:t>
            </w:r>
            <w:r w:rsidR="00073001">
              <w:t xml:space="preserve"> </w:t>
            </w:r>
            <w:r w:rsidR="00073001" w:rsidRPr="00073001">
              <w:rPr>
                <w:lang w:val="hu-HU"/>
              </w:rPr>
              <w:t>A különböző beruházási tételek 799</w:t>
            </w:r>
            <w:r w:rsidR="00073001">
              <w:rPr>
                <w:lang w:val="hu-HU"/>
              </w:rPr>
              <w:t> </w:t>
            </w:r>
            <w:r w:rsidR="00073001" w:rsidRPr="00073001">
              <w:rPr>
                <w:lang w:val="hu-HU"/>
              </w:rPr>
              <w:t>959</w:t>
            </w:r>
            <w:r w:rsidR="00073001">
              <w:rPr>
                <w:lang w:val="hu-HU"/>
              </w:rPr>
              <w:t xml:space="preserve"> </w:t>
            </w:r>
            <w:r w:rsidR="00CE358C">
              <w:rPr>
                <w:lang w:val="hu-HU"/>
              </w:rPr>
              <w:t>ezer</w:t>
            </w:r>
            <w:r w:rsidR="00073001" w:rsidRPr="00073001">
              <w:rPr>
                <w:lang w:val="hu-HU"/>
              </w:rPr>
              <w:t xml:space="preserve"> Ft-ot, míg a felújítási tevékenységek 569</w:t>
            </w:r>
            <w:r w:rsidR="00073001">
              <w:rPr>
                <w:lang w:val="hu-HU"/>
              </w:rPr>
              <w:t> </w:t>
            </w:r>
            <w:r w:rsidR="00073001" w:rsidRPr="00073001">
              <w:rPr>
                <w:lang w:val="hu-HU"/>
              </w:rPr>
              <w:t>214</w:t>
            </w:r>
            <w:r w:rsidR="00073001">
              <w:rPr>
                <w:lang w:val="hu-HU"/>
              </w:rPr>
              <w:t xml:space="preserve"> </w:t>
            </w:r>
            <w:r w:rsidR="00CE358C">
              <w:rPr>
                <w:lang w:val="hu-HU"/>
              </w:rPr>
              <w:t>ezer</w:t>
            </w:r>
            <w:r w:rsidR="00073001" w:rsidRPr="00073001">
              <w:rPr>
                <w:lang w:val="hu-HU"/>
              </w:rPr>
              <w:t xml:space="preserve"> Ft-ot emésztettek fel, a további </w:t>
            </w:r>
            <w:r w:rsidR="00073001">
              <w:rPr>
                <w:lang w:val="hu-HU"/>
              </w:rPr>
              <w:t xml:space="preserve">– túlnyomó – </w:t>
            </w:r>
            <w:r w:rsidR="00073001" w:rsidRPr="00073001">
              <w:rPr>
                <w:lang w:val="hu-HU"/>
              </w:rPr>
              <w:t>költségelemet pedig az egyéb felhalmozási kiadások</w:t>
            </w:r>
            <w:r w:rsidR="00073001">
              <w:t xml:space="preserve"> (</w:t>
            </w:r>
            <w:r w:rsidR="00073001" w:rsidRPr="00073001">
              <w:rPr>
                <w:lang w:val="hu-HU"/>
              </w:rPr>
              <w:t>1 759</w:t>
            </w:r>
            <w:r w:rsidR="00073001">
              <w:rPr>
                <w:lang w:val="hu-HU"/>
              </w:rPr>
              <w:t> </w:t>
            </w:r>
            <w:r w:rsidR="00073001" w:rsidRPr="00073001">
              <w:rPr>
                <w:lang w:val="hu-HU"/>
              </w:rPr>
              <w:t>611</w:t>
            </w:r>
            <w:r w:rsidR="00073001">
              <w:rPr>
                <w:lang w:val="hu-HU"/>
              </w:rPr>
              <w:t> </w:t>
            </w:r>
            <w:r w:rsidR="00CE358C">
              <w:rPr>
                <w:lang w:val="hu-HU"/>
              </w:rPr>
              <w:t>ezer</w:t>
            </w:r>
            <w:r w:rsidR="00073001">
              <w:rPr>
                <w:lang w:val="hu-HU"/>
              </w:rPr>
              <w:t xml:space="preserve"> Ft)</w:t>
            </w:r>
            <w:r w:rsidR="00073001" w:rsidRPr="00073001">
              <w:rPr>
                <w:lang w:val="hu-HU"/>
              </w:rPr>
              <w:t xml:space="preserve"> adják.</w:t>
            </w:r>
          </w:p>
          <w:p w14:paraId="4D6AF557" w14:textId="77777777" w:rsidR="00C7585B" w:rsidRPr="000013B8" w:rsidRDefault="00C7585B" w:rsidP="00C7585B">
            <w:pPr>
              <w:rPr>
                <w:b/>
                <w:bCs/>
                <w:lang w:val="hu-HU"/>
              </w:rPr>
            </w:pPr>
            <w:r w:rsidRPr="000013B8">
              <w:rPr>
                <w:b/>
                <w:bCs/>
                <w:lang w:val="hu-HU"/>
              </w:rPr>
              <w:t>III. Finanszírozási költségvetés</w:t>
            </w:r>
          </w:p>
          <w:p w14:paraId="1B52E678" w14:textId="77777777" w:rsidR="00C7585B" w:rsidRPr="000013B8" w:rsidRDefault="00C7585B" w:rsidP="00C7585B">
            <w:pPr>
              <w:rPr>
                <w:u w:val="single"/>
                <w:lang w:val="hu-HU"/>
              </w:rPr>
            </w:pPr>
            <w:r w:rsidRPr="000013B8">
              <w:rPr>
                <w:u w:val="single"/>
                <w:lang w:val="hu-HU"/>
              </w:rPr>
              <w:t>Finanszírozási költségvetés bevételei</w:t>
            </w:r>
          </w:p>
          <w:p w14:paraId="187B00BE" w14:textId="709FDD38" w:rsidR="002A5FBC" w:rsidRDefault="002A5FBC" w:rsidP="00C7585B">
            <w:r>
              <w:t>A b</w:t>
            </w:r>
            <w:r w:rsidRPr="002A5FBC">
              <w:t>elföldi finanszírozás bevételei</w:t>
            </w:r>
            <w:r>
              <w:t xml:space="preserve"> igen jelentősek voltak az Önkormányzat számára 2022-ben</w:t>
            </w:r>
            <w:r w:rsidR="003E124F">
              <w:t xml:space="preserve"> (összesen </w:t>
            </w:r>
            <w:r w:rsidR="00CE358C">
              <w:t>31 975</w:t>
            </w:r>
            <w:r w:rsidR="003E124F">
              <w:t> </w:t>
            </w:r>
            <w:r w:rsidR="00CE358C">
              <w:t>90</w:t>
            </w:r>
            <w:r w:rsidR="003E124F" w:rsidRPr="003E124F">
              <w:t>6</w:t>
            </w:r>
            <w:r w:rsidR="003E124F">
              <w:t> </w:t>
            </w:r>
            <w:r w:rsidR="00CE358C">
              <w:rPr>
                <w:lang w:val="hu-HU"/>
              </w:rPr>
              <w:t>ezer</w:t>
            </w:r>
            <w:r w:rsidR="003E124F">
              <w:t xml:space="preserve"> Ft)</w:t>
            </w:r>
            <w:r>
              <w:t>. A l</w:t>
            </w:r>
            <w:r w:rsidRPr="002A5FBC">
              <w:t>ekötött bankbetétek megszüntetése</w:t>
            </w:r>
            <w:r>
              <w:t xml:space="preserve"> </w:t>
            </w:r>
            <w:r w:rsidR="00C012D9">
              <w:t xml:space="preserve">halmozottan </w:t>
            </w:r>
            <w:r w:rsidRPr="002A5FBC">
              <w:t>16 963</w:t>
            </w:r>
            <w:r>
              <w:t> </w:t>
            </w:r>
            <w:r w:rsidRPr="002A5FBC">
              <w:t>395</w:t>
            </w:r>
            <w:r>
              <w:t> </w:t>
            </w:r>
            <w:r w:rsidR="00C012D9">
              <w:t>ezer</w:t>
            </w:r>
            <w:r>
              <w:t xml:space="preserve"> Ft-ot, a k</w:t>
            </w:r>
            <w:r w:rsidRPr="002A5FBC">
              <w:t>özponti, irányító szervi támogatás</w:t>
            </w:r>
            <w:r>
              <w:t xml:space="preserve"> </w:t>
            </w:r>
            <w:r w:rsidRPr="002A5FBC">
              <w:t>6 463</w:t>
            </w:r>
            <w:r>
              <w:t> </w:t>
            </w:r>
            <w:r w:rsidRPr="002A5FBC">
              <w:t>2</w:t>
            </w:r>
            <w:r w:rsidR="00CE358C">
              <w:t>71</w:t>
            </w:r>
            <w:r>
              <w:t> </w:t>
            </w:r>
            <w:r w:rsidR="00CE358C">
              <w:rPr>
                <w:lang w:val="hu-HU"/>
              </w:rPr>
              <w:t>ezer</w:t>
            </w:r>
            <w:r>
              <w:t xml:space="preserve"> Ft-ot, a f</w:t>
            </w:r>
            <w:r w:rsidRPr="002A5FBC">
              <w:t>orgatási célú belföldi értékpapírok beváltása, értékesítése</w:t>
            </w:r>
            <w:r>
              <w:t xml:space="preserve"> 4 426 476 </w:t>
            </w:r>
            <w:r w:rsidR="00CE358C">
              <w:rPr>
                <w:lang w:val="hu-HU"/>
              </w:rPr>
              <w:t>ezer</w:t>
            </w:r>
            <w:r>
              <w:t xml:space="preserve"> Ft-ot, az e</w:t>
            </w:r>
            <w:r w:rsidRPr="002A5FBC">
              <w:t>lőző év költségvetési maradványának igénybevétele</w:t>
            </w:r>
            <w:r>
              <w:t xml:space="preserve"> 3 308 522 </w:t>
            </w:r>
            <w:r w:rsidR="00CE358C">
              <w:rPr>
                <w:lang w:val="hu-HU"/>
              </w:rPr>
              <w:t>ezer</w:t>
            </w:r>
            <w:r>
              <w:t xml:space="preserve"> Ft-ot, míg az á</w:t>
            </w:r>
            <w:r w:rsidRPr="002A5FBC">
              <w:t>llamháztartáson belüli megelőlegezések</w:t>
            </w:r>
            <w:r>
              <w:t xml:space="preserve"> </w:t>
            </w:r>
            <w:r w:rsidRPr="002A5FBC">
              <w:t>814</w:t>
            </w:r>
            <w:r>
              <w:t> </w:t>
            </w:r>
            <w:r w:rsidR="00F515CD">
              <w:t>242</w:t>
            </w:r>
            <w:r>
              <w:t> </w:t>
            </w:r>
            <w:r w:rsidR="00CE358C">
              <w:rPr>
                <w:lang w:val="hu-HU"/>
              </w:rPr>
              <w:t>ezer</w:t>
            </w:r>
            <w:r>
              <w:t xml:space="preserve"> Ft-ot jelentettek a tárgyévben.</w:t>
            </w:r>
          </w:p>
          <w:p w14:paraId="0CB4EB66" w14:textId="77777777" w:rsidR="00C7585B" w:rsidRDefault="00C7585B" w:rsidP="00C7585B">
            <w:pPr>
              <w:rPr>
                <w:u w:val="single"/>
                <w:lang w:val="hu-HU"/>
              </w:rPr>
            </w:pPr>
            <w:r w:rsidRPr="000013B8">
              <w:rPr>
                <w:u w:val="single"/>
                <w:lang w:val="hu-HU"/>
              </w:rPr>
              <w:t>Finanszírozási költségvetés kiadásai</w:t>
            </w:r>
          </w:p>
          <w:p w14:paraId="17B8598E" w14:textId="3FF69412" w:rsidR="00C7585B" w:rsidRDefault="00B90C05" w:rsidP="00C7585B">
            <w:r>
              <w:t xml:space="preserve">A finanszírozási kiadások a bevételekhez hasonló mértéket öltöttek, azonban nem haladták meg annak szintjét: a 2022. évi várható teljesítés ezen a jogcímen </w:t>
            </w:r>
            <w:r w:rsidRPr="00B90C05">
              <w:t>30 229</w:t>
            </w:r>
            <w:r w:rsidR="00F515CD">
              <w:t> 073 ezer</w:t>
            </w:r>
            <w:r>
              <w:t xml:space="preserve"> Ft. Ezen belül a legjelentősebb kiadást a p</w:t>
            </w:r>
            <w:r w:rsidRPr="00B90C05">
              <w:t>énzeszközök lekötött bankbetétként elhelyezése</w:t>
            </w:r>
            <w:r>
              <w:t xml:space="preserve"> (</w:t>
            </w:r>
            <w:r w:rsidR="00C012D9">
              <w:t xml:space="preserve">halmozottan </w:t>
            </w:r>
            <w:r w:rsidRPr="00B90C05">
              <w:t>22 963</w:t>
            </w:r>
            <w:r>
              <w:t> </w:t>
            </w:r>
            <w:r w:rsidRPr="00B90C05">
              <w:t>395</w:t>
            </w:r>
            <w:r>
              <w:t> </w:t>
            </w:r>
            <w:r w:rsidR="00F515CD">
              <w:rPr>
                <w:lang w:val="hu-HU"/>
              </w:rPr>
              <w:t>ezer</w:t>
            </w:r>
            <w:r>
              <w:t xml:space="preserve"> Ft) okozta, illetve a k</w:t>
            </w:r>
            <w:r w:rsidRPr="00B90C05">
              <w:t>özponti, irányító szervi támogatás folyósítása</w:t>
            </w:r>
            <w:r>
              <w:t xml:space="preserve"> (</w:t>
            </w:r>
            <w:r w:rsidRPr="00B90C05">
              <w:t>6 463</w:t>
            </w:r>
            <w:r>
              <w:t> </w:t>
            </w:r>
            <w:r w:rsidRPr="00B90C05">
              <w:t>272</w:t>
            </w:r>
            <w:r>
              <w:t> </w:t>
            </w:r>
            <w:r w:rsidR="00F515CD">
              <w:rPr>
                <w:lang w:val="hu-HU"/>
              </w:rPr>
              <w:t>ezer</w:t>
            </w:r>
            <w:r>
              <w:t xml:space="preserve"> Ft) is jelentős volt. Emellett még az á</w:t>
            </w:r>
            <w:r w:rsidRPr="00B90C05">
              <w:t>llamháztartáson belüli megelőlegezések visszafizetése</w:t>
            </w:r>
            <w:r>
              <w:t xml:space="preserve"> jelentett </w:t>
            </w:r>
            <w:r w:rsidRPr="00B90C05">
              <w:t>802</w:t>
            </w:r>
            <w:r w:rsidR="00F515CD">
              <w:t> 407 ezer</w:t>
            </w:r>
            <w:r>
              <w:t xml:space="preserve"> Ft-nyi kiadást.</w:t>
            </w:r>
          </w:p>
          <w:p w14:paraId="165057C8" w14:textId="77777777" w:rsidR="00C7585B" w:rsidRPr="000013B8" w:rsidRDefault="00C7585B" w:rsidP="00C7585B">
            <w:pPr>
              <w:rPr>
                <w:b/>
                <w:bCs/>
                <w:lang w:val="hu-HU"/>
              </w:rPr>
            </w:pPr>
            <w:r w:rsidRPr="000013B8">
              <w:rPr>
                <w:b/>
                <w:bCs/>
                <w:lang w:val="hu-HU"/>
              </w:rPr>
              <w:t>IV. Hitelképesség vizsgálata</w:t>
            </w:r>
          </w:p>
          <w:p w14:paraId="208D34D2" w14:textId="49641D2D" w:rsidR="00C7585B" w:rsidRDefault="00E656B3" w:rsidP="00C7585B">
            <w:r w:rsidRPr="00E656B3">
              <w:t xml:space="preserve">A Beruházási Koncepció pénzügyi fedezetének forrását részben képezheti hitel felvétele. A hitelképesség alapvető kritériuma a megfelelő fedezet megléte, melyre a pályázó üzleti – azaz </w:t>
            </w:r>
            <w:r w:rsidRPr="00E656B3">
              <w:lastRenderedPageBreak/>
              <w:t>jelzáloggal terhelhető – ingatlanvagyona adhat alapot.</w:t>
            </w:r>
            <w:r w:rsidR="00413230">
              <w:t xml:space="preserve"> Erzsébetváros Önkormányzatának </w:t>
            </w:r>
            <w:r w:rsidR="003D086C">
              <w:t xml:space="preserve">ingatlanvagyona a következők szerint alakul a </w:t>
            </w:r>
            <w:r w:rsidR="00413230">
              <w:t>2022-es adatok alapján</w:t>
            </w:r>
            <w:r w:rsidR="003D086C">
              <w:t>:</w:t>
            </w:r>
            <w:r w:rsidR="00413230">
              <w:t xml:space="preserve"> </w:t>
            </w:r>
          </w:p>
          <w:p w14:paraId="54FC3816" w14:textId="7FBD8A9F" w:rsidR="00D5129A" w:rsidRDefault="00D5129A" w:rsidP="009C6CD0">
            <w:pPr>
              <w:pStyle w:val="Listaszerbekezds"/>
              <w:numPr>
                <w:ilvl w:val="0"/>
                <w:numId w:val="24"/>
              </w:numPr>
              <w:rPr>
                <w:color w:val="auto"/>
              </w:rPr>
            </w:pPr>
            <w:r w:rsidRPr="003D086C">
              <w:rPr>
                <w:color w:val="auto"/>
              </w:rPr>
              <w:t xml:space="preserve">Önkormányzati tulajdonú lakások száma: 2 </w:t>
            </w:r>
            <w:r w:rsidR="003D086C" w:rsidRPr="003D086C">
              <w:rPr>
                <w:color w:val="auto"/>
              </w:rPr>
              <w:t>196</w:t>
            </w:r>
            <w:r w:rsidRPr="003D086C">
              <w:rPr>
                <w:color w:val="auto"/>
              </w:rPr>
              <w:t xml:space="preserve"> db;</w:t>
            </w:r>
          </w:p>
          <w:p w14:paraId="41E43100" w14:textId="057E2359" w:rsidR="003D086C" w:rsidRPr="003D086C" w:rsidRDefault="003D086C" w:rsidP="009C6CD0">
            <w:pPr>
              <w:pStyle w:val="Listaszerbekezds"/>
              <w:numPr>
                <w:ilvl w:val="0"/>
                <w:numId w:val="24"/>
              </w:numPr>
              <w:rPr>
                <w:color w:val="auto"/>
              </w:rPr>
            </w:pPr>
            <w:r w:rsidRPr="003D086C">
              <w:rPr>
                <w:color w:val="auto"/>
              </w:rPr>
              <w:t>A 100%-ban az önkormányzati tulajdonú lakóépületek száma (társasház és nem társasház összesen): 2</w:t>
            </w:r>
            <w:r w:rsidR="004148FD">
              <w:rPr>
                <w:color w:val="auto"/>
              </w:rPr>
              <w:t>9</w:t>
            </w:r>
            <w:r>
              <w:rPr>
                <w:color w:val="auto"/>
              </w:rPr>
              <w:t xml:space="preserve"> db;</w:t>
            </w:r>
          </w:p>
          <w:p w14:paraId="1AC0B275" w14:textId="3A80A8DD" w:rsidR="00D5129A" w:rsidRPr="003D086C" w:rsidRDefault="003D086C" w:rsidP="009C6CD0">
            <w:pPr>
              <w:pStyle w:val="Listaszerbekezds"/>
              <w:numPr>
                <w:ilvl w:val="0"/>
                <w:numId w:val="24"/>
              </w:numPr>
              <w:rPr>
                <w:color w:val="auto"/>
              </w:rPr>
            </w:pPr>
            <w:r>
              <w:rPr>
                <w:color w:val="auto"/>
              </w:rPr>
              <w:t xml:space="preserve">Olyan </w:t>
            </w:r>
            <w:r w:rsidR="00D5129A" w:rsidRPr="003D086C">
              <w:rPr>
                <w:color w:val="auto"/>
              </w:rPr>
              <w:t>lakóépületek száma</w:t>
            </w:r>
            <w:r w:rsidRPr="003D086C">
              <w:rPr>
                <w:color w:val="auto"/>
              </w:rPr>
              <w:t xml:space="preserve">, ahol van </w:t>
            </w:r>
            <w:r>
              <w:rPr>
                <w:color w:val="auto"/>
              </w:rPr>
              <w:t>valam</w:t>
            </w:r>
            <w:r w:rsidRPr="003D086C">
              <w:rPr>
                <w:color w:val="auto"/>
              </w:rPr>
              <w:t>i</w:t>
            </w:r>
            <w:r>
              <w:rPr>
                <w:color w:val="auto"/>
              </w:rPr>
              <w:t>lyen mennyiségű</w:t>
            </w:r>
            <w:r w:rsidRPr="003D086C">
              <w:rPr>
                <w:color w:val="auto"/>
              </w:rPr>
              <w:t xml:space="preserve"> önkormányzati tulajdon</w:t>
            </w:r>
            <w:r w:rsidR="00F2398F">
              <w:t xml:space="preserve"> </w:t>
            </w:r>
            <w:r w:rsidR="00F2398F" w:rsidRPr="00F2398F">
              <w:rPr>
                <w:color w:val="auto"/>
              </w:rPr>
              <w:t>(nem feltétlen lakás)</w:t>
            </w:r>
            <w:r w:rsidR="00D5129A" w:rsidRPr="003D086C">
              <w:rPr>
                <w:color w:val="auto"/>
              </w:rPr>
              <w:t>: 9</w:t>
            </w:r>
            <w:r w:rsidRPr="003D086C">
              <w:rPr>
                <w:color w:val="auto"/>
              </w:rPr>
              <w:t>08</w:t>
            </w:r>
            <w:r w:rsidR="00D5129A" w:rsidRPr="003D086C">
              <w:rPr>
                <w:color w:val="auto"/>
              </w:rPr>
              <w:t xml:space="preserve"> db.</w:t>
            </w:r>
          </w:p>
          <w:p w14:paraId="0410D653" w14:textId="6C10098B" w:rsidR="00FF51A1" w:rsidRPr="00757D15" w:rsidRDefault="00FF51A1" w:rsidP="00FF51A1">
            <w:r w:rsidRPr="00757D15">
              <w:t xml:space="preserve">Az ingatlanpiac </w:t>
            </w:r>
            <w:r w:rsidR="00901805" w:rsidRPr="00757D15">
              <w:t>stabil értéktartó aspektusát</w:t>
            </w:r>
            <w:r w:rsidRPr="00757D15">
              <w:t xml:space="preserve"> alapul véve hosszútávon is </w:t>
            </w:r>
            <w:r w:rsidR="00901805" w:rsidRPr="00757D15">
              <w:t>biztos alapot szolgálhat az</w:t>
            </w:r>
            <w:r w:rsidRPr="00757D15">
              <w:t xml:space="preserve"> ingatlanállomány, mely hitelfelvétel esetén növelheti a pozitív elbírálás lehetőségét.</w:t>
            </w:r>
          </w:p>
          <w:p w14:paraId="418F5ABE" w14:textId="6E9568D7" w:rsidR="00FF51A1" w:rsidRPr="00D5129A" w:rsidRDefault="00FF51A1" w:rsidP="00FF51A1">
            <w:r w:rsidRPr="00212411">
              <w:t xml:space="preserve">A fentiek alapján megállapíthatjuk, hogy az Önkormányzat </w:t>
            </w:r>
            <w:r w:rsidR="00212411" w:rsidRPr="00212411">
              <w:t>inkább pozitív</w:t>
            </w:r>
            <w:r w:rsidRPr="00212411">
              <w:t xml:space="preserve"> hitelfelvételi pozícióban állhat, mel</w:t>
            </w:r>
            <w:r w:rsidR="00212411" w:rsidRPr="00212411">
              <w:t>l</w:t>
            </w:r>
            <w:r w:rsidRPr="00212411">
              <w:t>y</w:t>
            </w:r>
            <w:r w:rsidR="00212411" w:rsidRPr="00212411">
              <w:t xml:space="preserve">el </w:t>
            </w:r>
            <w:r w:rsidRPr="00212411">
              <w:t>a koncepc</w:t>
            </w:r>
            <w:r w:rsidR="00C012D9">
              <w:t>ió megvalósíthatóságának esélye</w:t>
            </w:r>
            <w:bookmarkStart w:id="20" w:name="_GoBack"/>
            <w:bookmarkEnd w:id="20"/>
            <w:r w:rsidR="00212411" w:rsidRPr="00212411">
              <w:t xml:space="preserve"> növekedhet</w:t>
            </w:r>
            <w:r w:rsidRPr="00212411">
              <w:t xml:space="preserve">. </w:t>
            </w:r>
            <w:r w:rsidR="00212411" w:rsidRPr="00212411">
              <w:t>E</w:t>
            </w:r>
            <w:r w:rsidRPr="00212411">
              <w:t>z a körülmény alapvetően csökkenti a pályázóra vonatkozó pénzügyi kockázatot.</w:t>
            </w:r>
          </w:p>
        </w:tc>
      </w:tr>
      <w:tr w:rsidR="009A5D57" w14:paraId="2274B228" w14:textId="77777777" w:rsidTr="00917508">
        <w:tc>
          <w:tcPr>
            <w:tcW w:w="8702" w:type="dxa"/>
            <w:gridSpan w:val="4"/>
            <w:shd w:val="clear" w:color="auto" w:fill="F2F2F2" w:themeFill="background1" w:themeFillShade="F2"/>
          </w:tcPr>
          <w:p w14:paraId="0D80D4E9" w14:textId="7202F3E7" w:rsidR="009A5D57" w:rsidRPr="009A5D57" w:rsidRDefault="009A5D57" w:rsidP="00917508">
            <w:pPr>
              <w:pStyle w:val="Cmsor2"/>
              <w:outlineLvl w:val="1"/>
            </w:pPr>
            <w:bookmarkStart w:id="21" w:name="_Toc133510172"/>
            <w:r w:rsidRPr="009A5D57">
              <w:lastRenderedPageBreak/>
              <w:t>2.4. (Helyi) érintett felek elemzése</w:t>
            </w:r>
            <w:bookmarkEnd w:id="21"/>
          </w:p>
        </w:tc>
      </w:tr>
      <w:tr w:rsidR="009A5D57" w14:paraId="3E163ED1" w14:textId="77777777" w:rsidTr="009A5D57">
        <w:tc>
          <w:tcPr>
            <w:tcW w:w="8702" w:type="dxa"/>
            <w:gridSpan w:val="4"/>
          </w:tcPr>
          <w:p w14:paraId="5625B562" w14:textId="6EFE49F9" w:rsidR="000F7C07" w:rsidRPr="000F7C07" w:rsidRDefault="000F7C07" w:rsidP="000F7C07">
            <w:r w:rsidRPr="000F7C07">
              <w:t>A partnerség és az együttműködés minden nagyobb projekt alapkövetelménye, valamint hosszú távú sikerességének kulcsa is egyben. Az érintettek bevonása kifejezetten kardinális a klíma- és környezetvédelmi fókuszú programok esetében, mivel a célok eléréséhez elengedhetetlen az elkötelezett helyi vezetők, lakosok és egyéb szervezetek hozzájárulása.</w:t>
            </w:r>
          </w:p>
          <w:p w14:paraId="7FAC4BB6" w14:textId="3EBE4676" w:rsidR="000F7C07" w:rsidRPr="000F7C07" w:rsidRDefault="000F7C07" w:rsidP="000F7C07">
            <w:r w:rsidRPr="000F7C07">
              <w:t>A stakeholdereket a fejlesztési területen lévő épületek</w:t>
            </w:r>
            <w:r>
              <w:t xml:space="preserve"> </w:t>
            </w:r>
            <w:r w:rsidRPr="000F7C07">
              <w:t>tulajdonosai és bérlői, illetve a beruházás tematikájához/területéhez kapcsolódó civil szervezetek képviselői alkotják. A helyi lakosság (a projekt megvalósulásáig választott) elsősorban a képviselőiken keresztül kerül</w:t>
            </w:r>
            <w:r>
              <w:t>tek</w:t>
            </w:r>
            <w:r w:rsidRPr="000F7C07">
              <w:t xml:space="preserve"> bevonásra, az Önkormányzat által szervezett</w:t>
            </w:r>
            <w:r w:rsidR="005375C8">
              <w:t xml:space="preserve"> kilenc</w:t>
            </w:r>
            <w:r w:rsidRPr="000F7C07">
              <w:t xml:space="preserve"> </w:t>
            </w:r>
            <w:r>
              <w:t>interjú</w:t>
            </w:r>
            <w:r w:rsidR="005375C8">
              <w:t xml:space="preserve"> (közös képviselők, az </w:t>
            </w:r>
            <w:r w:rsidR="005375C8" w:rsidRPr="005375C8">
              <w:t>Erzsébetvárosi Szolgáltató Kft. ügyvezető</w:t>
            </w:r>
            <w:r w:rsidR="005375C8">
              <w:t>je, ingatlankezelők)</w:t>
            </w:r>
            <w:r>
              <w:t xml:space="preserve"> keretében.</w:t>
            </w:r>
            <w:r w:rsidR="005375C8">
              <w:t xml:space="preserve"> </w:t>
            </w:r>
            <w:r>
              <w:t xml:space="preserve">A koncepció véglegesítése után </w:t>
            </w:r>
            <w:r w:rsidRPr="000F7C07">
              <w:t>workshopok fog</w:t>
            </w:r>
            <w:r>
              <w:t>ják biztosítani az érintett lakosok bevonását.</w:t>
            </w:r>
            <w:r w:rsidRPr="000F7C07">
              <w:t xml:space="preserve"> </w:t>
            </w:r>
            <w:r w:rsidRPr="00F2373D">
              <w:t>A bevonás pontos ütemtervét és eszközeit az Önkormányzat által készített módszertani útmutató fogja tartalmazni.</w:t>
            </w:r>
          </w:p>
          <w:p w14:paraId="0FE18087" w14:textId="0EDC714A" w:rsidR="000F7C07" w:rsidRPr="000F7C07" w:rsidRDefault="000F7C07" w:rsidP="000F7C07">
            <w:r w:rsidRPr="000F7C07">
              <w:t>A</w:t>
            </w:r>
            <w:r>
              <w:t xml:space="preserve"> koncepció megvalósítása során az</w:t>
            </w:r>
            <w:r w:rsidRPr="000F7C07">
              <w:t xml:space="preserve"> érintett felek</w:t>
            </w:r>
            <w:r>
              <w:t xml:space="preserve"> számára</w:t>
            </w:r>
            <w:r w:rsidRPr="000F7C07">
              <w:t xml:space="preserve"> részletesen ismertetik a projekt várható pozitívumait, kiemelve az olyan pénzügyi és környezeti szempontokat, mint az ingatlan értéknövekedése, a rezsiköltségek csökkenése, a releváns pályázati források lehívása, valamint a kisebb mértékű lokális légszennyezés. Ezek segítségével várhatóan minden szereplő számára beláthatóvá válik, hogy a projekt hogyan növelheti az életminőségük színvonalát.</w:t>
            </w:r>
          </w:p>
          <w:p w14:paraId="590C74D0" w14:textId="24A1EBC5" w:rsidR="000F7C07" w:rsidRPr="000F7C07" w:rsidRDefault="000F7C07" w:rsidP="000F7C07">
            <w:r w:rsidRPr="000F7C07">
              <w:t xml:space="preserve">A civilek főbb szerepe az ötletadás, a </w:t>
            </w:r>
            <w:r>
              <w:t>jelen dokumentum</w:t>
            </w:r>
            <w:r w:rsidRPr="000F7C07">
              <w:t xml:space="preserve"> előzetes verzióinak</w:t>
            </w:r>
            <w:r>
              <w:t>, illetve a későbbiekben</w:t>
            </w:r>
            <w:r w:rsidRPr="000F7C07">
              <w:t xml:space="preserve"> az egyes kiviteli tervek véleményezése</w:t>
            </w:r>
            <w:r>
              <w:t>, ha ez szükséges lesz</w:t>
            </w:r>
            <w:r w:rsidRPr="000F7C07">
              <w:t xml:space="preserve">. </w:t>
            </w:r>
            <w:r>
              <w:t>A civilek várható legofontosabb elvárásai: a</w:t>
            </w:r>
            <w:r w:rsidRPr="000F7C07">
              <w:t>z élhető környezet kialakítás</w:t>
            </w:r>
            <w:r>
              <w:t>a</w:t>
            </w:r>
            <w:r w:rsidRPr="000F7C07">
              <w:t>, a lehető legkisebb környezetterhelés és energiafelhasználás megvalósítása</w:t>
            </w:r>
            <w:r>
              <w:t>.</w:t>
            </w:r>
          </w:p>
          <w:p w14:paraId="4DEA2B20" w14:textId="7D048AB3" w:rsidR="000F7C07" w:rsidRPr="000F7C07" w:rsidRDefault="000F7C07" w:rsidP="000F7C07">
            <w:r w:rsidRPr="000F7C07">
              <w:t>A gazdasági, lakossági és intézményi szereplők legfőbb követelménye általában a minél kisebb összegű saját forrásszükséglet, melyhez a minél gyorsabb megtérülés és lebonyolítás párosul. Ezen felül a szereplők számára fontos elvárás lehet működésük</w:t>
            </w:r>
            <w:r w:rsidR="008E0375">
              <w:t>, lakhelyük</w:t>
            </w:r>
            <w:r w:rsidRPr="000F7C07">
              <w:t xml:space="preserve"> minél teljesebb biztosítása a beruházás során, valamint ügymenetük</w:t>
            </w:r>
            <w:r w:rsidR="008E0375">
              <w:t xml:space="preserve"> és életük</w:t>
            </w:r>
            <w:r w:rsidRPr="000F7C07">
              <w:t xml:space="preserve"> legkisebb mértékű megváltoztatása.</w:t>
            </w:r>
          </w:p>
          <w:p w14:paraId="71E37541" w14:textId="4768D344" w:rsidR="009A5D57" w:rsidRDefault="000F7C07" w:rsidP="000F7C07">
            <w:r w:rsidRPr="000F7C07">
              <w:t>A lakosság számára lényeges szempont továbbá, hogy a lakások zajterhelése ne emelkedjen, a vizuális környezet ne romoljon, illetve, hogy a beruházás minél kevesebb zavaró hatással valósuljon meg. Az intézményi szereplők esetében lényeges, hogy a működési rendjükhöz igazodjanak a fejlesztéshez kapcsolódó munkálatok.</w:t>
            </w:r>
          </w:p>
        </w:tc>
      </w:tr>
      <w:tr w:rsidR="009A5D57" w14:paraId="46E501F8" w14:textId="77777777" w:rsidTr="004D0D0B">
        <w:trPr>
          <w:trHeight w:val="350"/>
        </w:trPr>
        <w:tc>
          <w:tcPr>
            <w:tcW w:w="2106" w:type="dxa"/>
            <w:shd w:val="clear" w:color="auto" w:fill="BDD6EE" w:themeFill="accent5" w:themeFillTint="66"/>
            <w:vAlign w:val="center"/>
          </w:tcPr>
          <w:p w14:paraId="6F31328F" w14:textId="6471895E" w:rsidR="009A5D57" w:rsidRPr="009A5D57" w:rsidRDefault="009A5D57" w:rsidP="009A5D57">
            <w:pPr>
              <w:jc w:val="center"/>
              <w:rPr>
                <w:b/>
                <w:bCs/>
              </w:rPr>
            </w:pPr>
            <w:r w:rsidRPr="009A5D57">
              <w:rPr>
                <w:b/>
                <w:bCs/>
              </w:rPr>
              <w:lastRenderedPageBreak/>
              <w:t>Az érintett fél típusa</w:t>
            </w:r>
          </w:p>
        </w:tc>
        <w:tc>
          <w:tcPr>
            <w:tcW w:w="2067" w:type="dxa"/>
            <w:shd w:val="clear" w:color="auto" w:fill="BDD6EE" w:themeFill="accent5" w:themeFillTint="66"/>
            <w:vAlign w:val="center"/>
          </w:tcPr>
          <w:p w14:paraId="4D6D930E" w14:textId="72AFD833" w:rsidR="009A5D57" w:rsidRPr="009A5D57" w:rsidRDefault="009A5D57" w:rsidP="009A5D57">
            <w:pPr>
              <w:jc w:val="center"/>
              <w:rPr>
                <w:b/>
                <w:bCs/>
              </w:rPr>
            </w:pPr>
            <w:r w:rsidRPr="009A5D57">
              <w:rPr>
                <w:b/>
                <w:bCs/>
              </w:rPr>
              <w:t>Az bevonás jelenlegi státusza</w:t>
            </w:r>
          </w:p>
        </w:tc>
        <w:tc>
          <w:tcPr>
            <w:tcW w:w="2091" w:type="dxa"/>
            <w:shd w:val="clear" w:color="auto" w:fill="BDD6EE" w:themeFill="accent5" w:themeFillTint="66"/>
            <w:vAlign w:val="center"/>
          </w:tcPr>
          <w:p w14:paraId="7FAF6AB5" w14:textId="5F0622CC" w:rsidR="009A5D57" w:rsidRPr="009A5D57" w:rsidRDefault="009A5D57" w:rsidP="009A5D57">
            <w:pPr>
              <w:jc w:val="center"/>
              <w:rPr>
                <w:b/>
                <w:bCs/>
              </w:rPr>
            </w:pPr>
            <w:r w:rsidRPr="009A5D57">
              <w:rPr>
                <w:b/>
                <w:bCs/>
              </w:rPr>
              <w:t>Jövőbeli bevonási tevékenységek</w:t>
            </w:r>
          </w:p>
        </w:tc>
        <w:tc>
          <w:tcPr>
            <w:tcW w:w="2438" w:type="dxa"/>
            <w:shd w:val="clear" w:color="auto" w:fill="BDD6EE" w:themeFill="accent5" w:themeFillTint="66"/>
            <w:vAlign w:val="center"/>
          </w:tcPr>
          <w:p w14:paraId="0B0B2DB4" w14:textId="0971D922" w:rsidR="009A5D57" w:rsidRPr="009A5D57" w:rsidRDefault="009A5D57" w:rsidP="009A5D57">
            <w:pPr>
              <w:jc w:val="center"/>
              <w:rPr>
                <w:b/>
                <w:bCs/>
              </w:rPr>
            </w:pPr>
            <w:r w:rsidRPr="009A5D57">
              <w:rPr>
                <w:b/>
                <w:bCs/>
              </w:rPr>
              <w:t>A disszeminációra és interakcióra használt eszközök/csatornák</w:t>
            </w:r>
          </w:p>
        </w:tc>
      </w:tr>
      <w:tr w:rsidR="009A5D57" w:rsidRPr="004D0D0B" w14:paraId="251A6432" w14:textId="77777777" w:rsidTr="004D0D0B">
        <w:trPr>
          <w:trHeight w:val="348"/>
        </w:trPr>
        <w:tc>
          <w:tcPr>
            <w:tcW w:w="2106" w:type="dxa"/>
            <w:shd w:val="clear" w:color="auto" w:fill="auto"/>
          </w:tcPr>
          <w:p w14:paraId="1BB2CC5B" w14:textId="5F4ACA37" w:rsidR="009A5D57" w:rsidRPr="004D0D0B" w:rsidRDefault="00DF07EC" w:rsidP="004D0D0B">
            <w:pPr>
              <w:jc w:val="left"/>
              <w:rPr>
                <w:sz w:val="20"/>
                <w:szCs w:val="20"/>
              </w:rPr>
            </w:pPr>
            <w:r w:rsidRPr="004D0D0B">
              <w:rPr>
                <w:sz w:val="20"/>
                <w:szCs w:val="20"/>
              </w:rPr>
              <w:t>Lakosság</w:t>
            </w:r>
          </w:p>
        </w:tc>
        <w:tc>
          <w:tcPr>
            <w:tcW w:w="2067" w:type="dxa"/>
            <w:shd w:val="clear" w:color="auto" w:fill="auto"/>
          </w:tcPr>
          <w:p w14:paraId="3556851E" w14:textId="2F275AC3" w:rsidR="009A5D57" w:rsidRPr="004D0D0B" w:rsidRDefault="00DF07EC" w:rsidP="004D0D0B">
            <w:pPr>
              <w:jc w:val="left"/>
              <w:rPr>
                <w:sz w:val="20"/>
                <w:szCs w:val="20"/>
              </w:rPr>
            </w:pPr>
            <w:r w:rsidRPr="004D0D0B">
              <w:rPr>
                <w:sz w:val="20"/>
                <w:szCs w:val="20"/>
              </w:rPr>
              <w:t>Tájékoztatás, Kooperáció</w:t>
            </w:r>
          </w:p>
        </w:tc>
        <w:tc>
          <w:tcPr>
            <w:tcW w:w="2091" w:type="dxa"/>
            <w:shd w:val="clear" w:color="auto" w:fill="auto"/>
          </w:tcPr>
          <w:p w14:paraId="533DA35E" w14:textId="699DAC08" w:rsidR="009A5D57" w:rsidRPr="004D0D0B" w:rsidRDefault="00DF07EC" w:rsidP="004D0D0B">
            <w:pPr>
              <w:jc w:val="left"/>
              <w:rPr>
                <w:sz w:val="20"/>
                <w:szCs w:val="20"/>
              </w:rPr>
            </w:pPr>
            <w:r w:rsidRPr="004D0D0B">
              <w:rPr>
                <w:sz w:val="20"/>
                <w:szCs w:val="20"/>
              </w:rPr>
              <w:t>Tájékoztatás, Vélemények és észrevételek begyűjtése, Kooperáció (tervezés, döntéshozatal, végrehajtás)</w:t>
            </w:r>
          </w:p>
        </w:tc>
        <w:tc>
          <w:tcPr>
            <w:tcW w:w="2438" w:type="dxa"/>
            <w:shd w:val="clear" w:color="auto" w:fill="auto"/>
          </w:tcPr>
          <w:p w14:paraId="51FDB098" w14:textId="77777777" w:rsidR="00DF07EC" w:rsidRPr="004D0D0B" w:rsidRDefault="00DF07EC" w:rsidP="004D0D0B">
            <w:pPr>
              <w:spacing w:before="0" w:after="0"/>
              <w:jc w:val="left"/>
              <w:rPr>
                <w:sz w:val="20"/>
                <w:szCs w:val="20"/>
              </w:rPr>
            </w:pPr>
            <w:r w:rsidRPr="004D0D0B">
              <w:rPr>
                <w:sz w:val="20"/>
                <w:szCs w:val="20"/>
              </w:rPr>
              <w:t>Városi/önkormányzati honlap,</w:t>
            </w:r>
          </w:p>
          <w:p w14:paraId="0C6C9961" w14:textId="77777777" w:rsidR="00DF07EC" w:rsidRPr="004D0D0B" w:rsidRDefault="00DF07EC" w:rsidP="004D0D0B">
            <w:pPr>
              <w:spacing w:before="0" w:after="0"/>
              <w:jc w:val="left"/>
              <w:rPr>
                <w:sz w:val="20"/>
                <w:szCs w:val="20"/>
              </w:rPr>
            </w:pPr>
            <w:r w:rsidRPr="004D0D0B">
              <w:rPr>
                <w:sz w:val="20"/>
                <w:szCs w:val="20"/>
              </w:rPr>
              <w:t xml:space="preserve">Közösségi oldalak, </w:t>
            </w:r>
          </w:p>
          <w:p w14:paraId="3D44CFC4" w14:textId="77777777" w:rsidR="00DF07EC" w:rsidRPr="004D0D0B" w:rsidRDefault="00DF07EC" w:rsidP="004D0D0B">
            <w:pPr>
              <w:spacing w:before="0" w:after="0"/>
              <w:jc w:val="left"/>
              <w:rPr>
                <w:sz w:val="20"/>
                <w:szCs w:val="20"/>
              </w:rPr>
            </w:pPr>
            <w:r w:rsidRPr="004D0D0B">
              <w:rPr>
                <w:sz w:val="20"/>
                <w:szCs w:val="20"/>
              </w:rPr>
              <w:t>Helyi televízió és újság,</w:t>
            </w:r>
          </w:p>
          <w:p w14:paraId="13E36E85" w14:textId="77777777" w:rsidR="00DF07EC" w:rsidRPr="004D0D0B" w:rsidRDefault="00DF07EC" w:rsidP="004D0D0B">
            <w:pPr>
              <w:spacing w:before="0" w:after="0"/>
              <w:jc w:val="left"/>
              <w:rPr>
                <w:sz w:val="20"/>
                <w:szCs w:val="20"/>
              </w:rPr>
            </w:pPr>
            <w:r w:rsidRPr="004D0D0B">
              <w:rPr>
                <w:sz w:val="20"/>
                <w:szCs w:val="20"/>
              </w:rPr>
              <w:t>Zöld/környezetvédelmi napok,</w:t>
            </w:r>
          </w:p>
          <w:p w14:paraId="17138F67" w14:textId="77777777" w:rsidR="00DF07EC" w:rsidRPr="004D0D0B" w:rsidRDefault="00DF07EC" w:rsidP="004D0D0B">
            <w:pPr>
              <w:spacing w:before="0" w:after="0"/>
              <w:jc w:val="left"/>
              <w:rPr>
                <w:sz w:val="20"/>
                <w:szCs w:val="20"/>
              </w:rPr>
            </w:pPr>
            <w:r w:rsidRPr="004D0D0B">
              <w:rPr>
                <w:sz w:val="20"/>
                <w:szCs w:val="20"/>
              </w:rPr>
              <w:t>Közösségi rendezvények,</w:t>
            </w:r>
          </w:p>
          <w:p w14:paraId="647126E7" w14:textId="77777777" w:rsidR="00DF07EC" w:rsidRPr="004D0D0B" w:rsidRDefault="00DF07EC" w:rsidP="004D0D0B">
            <w:pPr>
              <w:spacing w:before="0" w:after="0"/>
              <w:jc w:val="left"/>
              <w:rPr>
                <w:sz w:val="20"/>
                <w:szCs w:val="20"/>
              </w:rPr>
            </w:pPr>
            <w:r w:rsidRPr="004D0D0B">
              <w:rPr>
                <w:sz w:val="20"/>
                <w:szCs w:val="20"/>
              </w:rPr>
              <w:t xml:space="preserve">Egyéb szakmai rendezvények, </w:t>
            </w:r>
          </w:p>
          <w:p w14:paraId="25C58209" w14:textId="63EE4681" w:rsidR="009A5D57" w:rsidRPr="004D0D0B" w:rsidRDefault="00DF07EC" w:rsidP="004D0D0B">
            <w:pPr>
              <w:spacing w:before="0" w:after="0"/>
              <w:jc w:val="left"/>
              <w:rPr>
                <w:sz w:val="20"/>
                <w:szCs w:val="20"/>
              </w:rPr>
            </w:pPr>
            <w:r w:rsidRPr="004D0D0B">
              <w:rPr>
                <w:sz w:val="20"/>
                <w:szCs w:val="20"/>
              </w:rPr>
              <w:t>Kérdőíves felmérés/interjúkészítés.</w:t>
            </w:r>
          </w:p>
        </w:tc>
      </w:tr>
      <w:tr w:rsidR="009A5D57" w:rsidRPr="004D0D0B" w14:paraId="2B4AAADF" w14:textId="77777777" w:rsidTr="004D0D0B">
        <w:trPr>
          <w:trHeight w:val="348"/>
        </w:trPr>
        <w:tc>
          <w:tcPr>
            <w:tcW w:w="2106" w:type="dxa"/>
            <w:shd w:val="clear" w:color="auto" w:fill="auto"/>
          </w:tcPr>
          <w:p w14:paraId="28283221" w14:textId="26C96757" w:rsidR="009A5D57" w:rsidRPr="004D0D0B" w:rsidRDefault="00DF07EC" w:rsidP="004D0D0B">
            <w:pPr>
              <w:jc w:val="left"/>
              <w:rPr>
                <w:sz w:val="20"/>
                <w:szCs w:val="20"/>
              </w:rPr>
            </w:pPr>
            <w:r w:rsidRPr="004D0D0B">
              <w:rPr>
                <w:sz w:val="20"/>
                <w:szCs w:val="20"/>
              </w:rPr>
              <w:t>Piaci szféra, helyi vállalkozók</w:t>
            </w:r>
          </w:p>
        </w:tc>
        <w:tc>
          <w:tcPr>
            <w:tcW w:w="2067" w:type="dxa"/>
            <w:shd w:val="clear" w:color="auto" w:fill="auto"/>
          </w:tcPr>
          <w:p w14:paraId="2917EB57" w14:textId="7CEADCB0" w:rsidR="009A5D57" w:rsidRPr="004D0D0B" w:rsidRDefault="00DF07EC" w:rsidP="004D0D0B">
            <w:pPr>
              <w:jc w:val="left"/>
              <w:rPr>
                <w:sz w:val="20"/>
                <w:szCs w:val="20"/>
              </w:rPr>
            </w:pPr>
            <w:r w:rsidRPr="004D0D0B">
              <w:rPr>
                <w:sz w:val="20"/>
                <w:szCs w:val="20"/>
              </w:rPr>
              <w:t>Tájékoztatás</w:t>
            </w:r>
          </w:p>
        </w:tc>
        <w:tc>
          <w:tcPr>
            <w:tcW w:w="2091" w:type="dxa"/>
            <w:shd w:val="clear" w:color="auto" w:fill="auto"/>
          </w:tcPr>
          <w:p w14:paraId="15AC29CC" w14:textId="3B239152" w:rsidR="009A5D57" w:rsidRPr="004D0D0B" w:rsidRDefault="00DF07EC" w:rsidP="004D0D0B">
            <w:pPr>
              <w:jc w:val="left"/>
              <w:rPr>
                <w:sz w:val="20"/>
                <w:szCs w:val="20"/>
              </w:rPr>
            </w:pPr>
            <w:r w:rsidRPr="004D0D0B">
              <w:rPr>
                <w:sz w:val="20"/>
                <w:szCs w:val="20"/>
              </w:rPr>
              <w:t>Tájékoztatás, Vélemények és észrevételek begyűjtése, Kooperáció (tervezés, döntéshozatal, végrehajtás)</w:t>
            </w:r>
          </w:p>
        </w:tc>
        <w:tc>
          <w:tcPr>
            <w:tcW w:w="2438" w:type="dxa"/>
            <w:shd w:val="clear" w:color="auto" w:fill="auto"/>
          </w:tcPr>
          <w:p w14:paraId="788506D4" w14:textId="77777777" w:rsidR="00DF07EC" w:rsidRPr="004D0D0B" w:rsidRDefault="00DF07EC" w:rsidP="004D0D0B">
            <w:pPr>
              <w:spacing w:before="0" w:after="0"/>
              <w:jc w:val="left"/>
              <w:rPr>
                <w:sz w:val="20"/>
                <w:szCs w:val="20"/>
              </w:rPr>
            </w:pPr>
            <w:r w:rsidRPr="004D0D0B">
              <w:rPr>
                <w:sz w:val="20"/>
                <w:szCs w:val="20"/>
              </w:rPr>
              <w:t>Városi/önkormányzati honlap,</w:t>
            </w:r>
          </w:p>
          <w:p w14:paraId="2263F64B" w14:textId="77777777" w:rsidR="00DF07EC" w:rsidRPr="004D0D0B" w:rsidRDefault="00DF07EC" w:rsidP="004D0D0B">
            <w:pPr>
              <w:spacing w:before="0" w:after="0"/>
              <w:jc w:val="left"/>
              <w:rPr>
                <w:sz w:val="20"/>
                <w:szCs w:val="20"/>
              </w:rPr>
            </w:pPr>
            <w:r w:rsidRPr="004D0D0B">
              <w:rPr>
                <w:sz w:val="20"/>
                <w:szCs w:val="20"/>
              </w:rPr>
              <w:t xml:space="preserve">Közösségi oldalak, </w:t>
            </w:r>
          </w:p>
          <w:p w14:paraId="6FEC57B6" w14:textId="77777777" w:rsidR="00DF07EC" w:rsidRPr="004D0D0B" w:rsidRDefault="00DF07EC" w:rsidP="004D0D0B">
            <w:pPr>
              <w:spacing w:before="0" w:after="0"/>
              <w:jc w:val="left"/>
              <w:rPr>
                <w:sz w:val="20"/>
                <w:szCs w:val="20"/>
              </w:rPr>
            </w:pPr>
            <w:r w:rsidRPr="004D0D0B">
              <w:rPr>
                <w:sz w:val="20"/>
                <w:szCs w:val="20"/>
              </w:rPr>
              <w:t>Helyi televízió és újság,</w:t>
            </w:r>
          </w:p>
          <w:p w14:paraId="58EDD15C" w14:textId="77777777" w:rsidR="00DF07EC" w:rsidRPr="004D0D0B" w:rsidRDefault="00DF07EC" w:rsidP="004D0D0B">
            <w:pPr>
              <w:spacing w:before="0" w:after="0"/>
              <w:jc w:val="left"/>
              <w:rPr>
                <w:sz w:val="20"/>
                <w:szCs w:val="20"/>
              </w:rPr>
            </w:pPr>
            <w:r w:rsidRPr="004D0D0B">
              <w:rPr>
                <w:sz w:val="20"/>
                <w:szCs w:val="20"/>
              </w:rPr>
              <w:t>Zöld/környezetvédelmi napok,</w:t>
            </w:r>
          </w:p>
          <w:p w14:paraId="36859428" w14:textId="77777777" w:rsidR="00DF07EC" w:rsidRPr="004D0D0B" w:rsidRDefault="00DF07EC" w:rsidP="004D0D0B">
            <w:pPr>
              <w:spacing w:before="0" w:after="0"/>
              <w:jc w:val="left"/>
              <w:rPr>
                <w:sz w:val="20"/>
                <w:szCs w:val="20"/>
              </w:rPr>
            </w:pPr>
            <w:r w:rsidRPr="004D0D0B">
              <w:rPr>
                <w:sz w:val="20"/>
                <w:szCs w:val="20"/>
              </w:rPr>
              <w:t>Közösségi rendezvények,</w:t>
            </w:r>
          </w:p>
          <w:p w14:paraId="3D91A54A" w14:textId="77777777" w:rsidR="00DF07EC" w:rsidRPr="004D0D0B" w:rsidRDefault="00DF07EC" w:rsidP="004D0D0B">
            <w:pPr>
              <w:spacing w:before="0" w:after="0"/>
              <w:jc w:val="left"/>
              <w:rPr>
                <w:sz w:val="20"/>
                <w:szCs w:val="20"/>
              </w:rPr>
            </w:pPr>
            <w:r w:rsidRPr="004D0D0B">
              <w:rPr>
                <w:sz w:val="20"/>
                <w:szCs w:val="20"/>
              </w:rPr>
              <w:t>Egyéb szakmai rendezvények,</w:t>
            </w:r>
          </w:p>
          <w:p w14:paraId="00828C3D" w14:textId="177ECACC" w:rsidR="009A5D57" w:rsidRPr="004D0D0B" w:rsidRDefault="00DF07EC" w:rsidP="004D0D0B">
            <w:pPr>
              <w:spacing w:before="0" w:after="0"/>
              <w:jc w:val="left"/>
              <w:rPr>
                <w:sz w:val="20"/>
                <w:szCs w:val="20"/>
              </w:rPr>
            </w:pPr>
            <w:r w:rsidRPr="004D0D0B">
              <w:rPr>
                <w:sz w:val="20"/>
                <w:szCs w:val="20"/>
              </w:rPr>
              <w:t>Kérdőíves felmérés/interjúkészítés.</w:t>
            </w:r>
          </w:p>
        </w:tc>
      </w:tr>
      <w:tr w:rsidR="009A5D57" w:rsidRPr="004D0D0B" w14:paraId="49899526" w14:textId="77777777" w:rsidTr="004D0D0B">
        <w:trPr>
          <w:trHeight w:val="348"/>
        </w:trPr>
        <w:tc>
          <w:tcPr>
            <w:tcW w:w="2106" w:type="dxa"/>
            <w:shd w:val="clear" w:color="auto" w:fill="auto"/>
          </w:tcPr>
          <w:p w14:paraId="356520B1" w14:textId="20E67B0D" w:rsidR="009A5D57" w:rsidRPr="004D0D0B" w:rsidRDefault="00DF07EC" w:rsidP="004D0D0B">
            <w:pPr>
              <w:jc w:val="left"/>
              <w:rPr>
                <w:sz w:val="20"/>
                <w:szCs w:val="20"/>
              </w:rPr>
            </w:pPr>
            <w:r w:rsidRPr="004D0D0B">
              <w:rPr>
                <w:sz w:val="20"/>
                <w:szCs w:val="20"/>
                <w:lang w:val="hu-HU"/>
              </w:rPr>
              <w:t>Egyesületek és civil szervezetek</w:t>
            </w:r>
          </w:p>
        </w:tc>
        <w:tc>
          <w:tcPr>
            <w:tcW w:w="2067" w:type="dxa"/>
            <w:shd w:val="clear" w:color="auto" w:fill="auto"/>
          </w:tcPr>
          <w:p w14:paraId="03A3F08F" w14:textId="2AEBEAE9" w:rsidR="009A5D57" w:rsidRPr="004D0D0B" w:rsidRDefault="00DF07EC" w:rsidP="004D0D0B">
            <w:pPr>
              <w:jc w:val="left"/>
              <w:rPr>
                <w:sz w:val="20"/>
                <w:szCs w:val="20"/>
              </w:rPr>
            </w:pPr>
            <w:r w:rsidRPr="004D0D0B">
              <w:rPr>
                <w:sz w:val="20"/>
                <w:szCs w:val="20"/>
              </w:rPr>
              <w:t>Tájékoztatás, Kooperáció</w:t>
            </w:r>
          </w:p>
        </w:tc>
        <w:tc>
          <w:tcPr>
            <w:tcW w:w="2091" w:type="dxa"/>
            <w:shd w:val="clear" w:color="auto" w:fill="auto"/>
          </w:tcPr>
          <w:p w14:paraId="435051A6" w14:textId="0E63E728" w:rsidR="009A5D57" w:rsidRPr="004D0D0B" w:rsidRDefault="00DF07EC" w:rsidP="004D0D0B">
            <w:pPr>
              <w:jc w:val="left"/>
              <w:rPr>
                <w:sz w:val="20"/>
                <w:szCs w:val="20"/>
              </w:rPr>
            </w:pPr>
            <w:r w:rsidRPr="004D0D0B">
              <w:rPr>
                <w:sz w:val="20"/>
                <w:szCs w:val="20"/>
              </w:rPr>
              <w:t>Tájékoztatás, Vélemények és észrevételek begyűjtése, Kooperáció (tervezés, döntéshozatal, végrehajtás)</w:t>
            </w:r>
          </w:p>
        </w:tc>
        <w:tc>
          <w:tcPr>
            <w:tcW w:w="2438" w:type="dxa"/>
            <w:shd w:val="clear" w:color="auto" w:fill="auto"/>
          </w:tcPr>
          <w:p w14:paraId="5F6DC93F" w14:textId="77777777" w:rsidR="00DF07EC" w:rsidRPr="004D0D0B" w:rsidRDefault="00DF07EC" w:rsidP="004D0D0B">
            <w:pPr>
              <w:spacing w:before="0" w:after="0"/>
              <w:jc w:val="left"/>
              <w:rPr>
                <w:sz w:val="20"/>
                <w:szCs w:val="20"/>
              </w:rPr>
            </w:pPr>
            <w:r w:rsidRPr="004D0D0B">
              <w:rPr>
                <w:sz w:val="20"/>
                <w:szCs w:val="20"/>
              </w:rPr>
              <w:t>Városi/önkormányzati honlap,</w:t>
            </w:r>
          </w:p>
          <w:p w14:paraId="11CE4E28" w14:textId="77777777" w:rsidR="00DF07EC" w:rsidRPr="004D0D0B" w:rsidRDefault="00DF07EC" w:rsidP="004D0D0B">
            <w:pPr>
              <w:spacing w:before="0" w:after="0"/>
              <w:jc w:val="left"/>
              <w:rPr>
                <w:sz w:val="20"/>
                <w:szCs w:val="20"/>
              </w:rPr>
            </w:pPr>
            <w:r w:rsidRPr="004D0D0B">
              <w:rPr>
                <w:sz w:val="20"/>
                <w:szCs w:val="20"/>
              </w:rPr>
              <w:t xml:space="preserve">Közösségi oldalak, </w:t>
            </w:r>
          </w:p>
          <w:p w14:paraId="329906F6" w14:textId="77777777" w:rsidR="00DF07EC" w:rsidRPr="004D0D0B" w:rsidRDefault="00DF07EC" w:rsidP="004D0D0B">
            <w:pPr>
              <w:spacing w:before="0" w:after="0"/>
              <w:jc w:val="left"/>
              <w:rPr>
                <w:sz w:val="20"/>
                <w:szCs w:val="20"/>
              </w:rPr>
            </w:pPr>
            <w:r w:rsidRPr="004D0D0B">
              <w:rPr>
                <w:sz w:val="20"/>
                <w:szCs w:val="20"/>
              </w:rPr>
              <w:t>Helyi televízió és újság,</w:t>
            </w:r>
          </w:p>
          <w:p w14:paraId="33ACC836" w14:textId="77777777" w:rsidR="00DF07EC" w:rsidRPr="004D0D0B" w:rsidRDefault="00DF07EC" w:rsidP="004D0D0B">
            <w:pPr>
              <w:spacing w:before="0" w:after="0"/>
              <w:jc w:val="left"/>
              <w:rPr>
                <w:sz w:val="20"/>
                <w:szCs w:val="20"/>
              </w:rPr>
            </w:pPr>
            <w:r w:rsidRPr="004D0D0B">
              <w:rPr>
                <w:sz w:val="20"/>
                <w:szCs w:val="20"/>
              </w:rPr>
              <w:t>Zöld/környezetvédelmi napok,</w:t>
            </w:r>
          </w:p>
          <w:p w14:paraId="068985FB" w14:textId="77777777" w:rsidR="00DF07EC" w:rsidRPr="004D0D0B" w:rsidRDefault="00DF07EC" w:rsidP="004D0D0B">
            <w:pPr>
              <w:spacing w:before="0" w:after="0"/>
              <w:jc w:val="left"/>
              <w:rPr>
                <w:sz w:val="20"/>
                <w:szCs w:val="20"/>
              </w:rPr>
            </w:pPr>
            <w:r w:rsidRPr="004D0D0B">
              <w:rPr>
                <w:sz w:val="20"/>
                <w:szCs w:val="20"/>
              </w:rPr>
              <w:t>Közösségi rendezvények,</w:t>
            </w:r>
          </w:p>
          <w:p w14:paraId="64E590CC" w14:textId="77777777" w:rsidR="00DF07EC" w:rsidRPr="004D0D0B" w:rsidRDefault="00DF07EC" w:rsidP="004D0D0B">
            <w:pPr>
              <w:spacing w:before="0" w:after="0"/>
              <w:jc w:val="left"/>
              <w:rPr>
                <w:sz w:val="20"/>
                <w:szCs w:val="20"/>
              </w:rPr>
            </w:pPr>
            <w:r w:rsidRPr="004D0D0B">
              <w:rPr>
                <w:sz w:val="20"/>
                <w:szCs w:val="20"/>
              </w:rPr>
              <w:t>Egyéb szakmai rendezvények,</w:t>
            </w:r>
          </w:p>
          <w:p w14:paraId="6A89F504" w14:textId="55F0DF2A" w:rsidR="009A5D57" w:rsidRPr="004D0D0B" w:rsidRDefault="00DF07EC" w:rsidP="004D0D0B">
            <w:pPr>
              <w:spacing w:before="0" w:after="0"/>
              <w:jc w:val="left"/>
              <w:rPr>
                <w:sz w:val="20"/>
                <w:szCs w:val="20"/>
              </w:rPr>
            </w:pPr>
            <w:r w:rsidRPr="004D0D0B">
              <w:rPr>
                <w:sz w:val="20"/>
                <w:szCs w:val="20"/>
              </w:rPr>
              <w:t>Kérdőíves felmérés/interjúkészítés.</w:t>
            </w:r>
          </w:p>
        </w:tc>
      </w:tr>
      <w:tr w:rsidR="009A5D57" w:rsidRPr="004D0D0B" w14:paraId="2C2C2BE2" w14:textId="77777777" w:rsidTr="004D0D0B">
        <w:trPr>
          <w:trHeight w:val="348"/>
        </w:trPr>
        <w:tc>
          <w:tcPr>
            <w:tcW w:w="2106" w:type="dxa"/>
            <w:shd w:val="clear" w:color="auto" w:fill="auto"/>
          </w:tcPr>
          <w:p w14:paraId="0F17E979" w14:textId="137AE499" w:rsidR="009A5D57" w:rsidRPr="004D0D0B" w:rsidRDefault="00DF07EC" w:rsidP="004D0D0B">
            <w:pPr>
              <w:jc w:val="left"/>
              <w:rPr>
                <w:sz w:val="20"/>
                <w:szCs w:val="20"/>
              </w:rPr>
            </w:pPr>
            <w:r w:rsidRPr="004D0D0B">
              <w:rPr>
                <w:sz w:val="20"/>
                <w:szCs w:val="20"/>
                <w:lang w:val="hu-HU"/>
              </w:rPr>
              <w:t>Közintézmények</w:t>
            </w:r>
          </w:p>
        </w:tc>
        <w:tc>
          <w:tcPr>
            <w:tcW w:w="2067" w:type="dxa"/>
            <w:shd w:val="clear" w:color="auto" w:fill="auto"/>
          </w:tcPr>
          <w:p w14:paraId="23647DBB" w14:textId="1A76C8C1" w:rsidR="009A5D57" w:rsidRPr="004D0D0B" w:rsidRDefault="00DF07EC" w:rsidP="004D0D0B">
            <w:pPr>
              <w:jc w:val="left"/>
              <w:rPr>
                <w:sz w:val="20"/>
                <w:szCs w:val="20"/>
              </w:rPr>
            </w:pPr>
            <w:r w:rsidRPr="004D0D0B">
              <w:rPr>
                <w:sz w:val="20"/>
                <w:szCs w:val="20"/>
              </w:rPr>
              <w:t>Tájékoztatás</w:t>
            </w:r>
          </w:p>
        </w:tc>
        <w:tc>
          <w:tcPr>
            <w:tcW w:w="2091" w:type="dxa"/>
            <w:shd w:val="clear" w:color="auto" w:fill="auto"/>
          </w:tcPr>
          <w:p w14:paraId="6138404E" w14:textId="79816E69" w:rsidR="009A5D57" w:rsidRPr="004D0D0B" w:rsidRDefault="00DF07EC" w:rsidP="004D0D0B">
            <w:pPr>
              <w:jc w:val="left"/>
              <w:rPr>
                <w:sz w:val="20"/>
                <w:szCs w:val="20"/>
              </w:rPr>
            </w:pPr>
            <w:r w:rsidRPr="004D0D0B">
              <w:rPr>
                <w:sz w:val="20"/>
                <w:szCs w:val="20"/>
              </w:rPr>
              <w:t>Tájékoztatás, Vélemények és észrevételek begyűjtése, Kooperáció (tervezés, döntéshozatal, végrehajtás)</w:t>
            </w:r>
          </w:p>
        </w:tc>
        <w:tc>
          <w:tcPr>
            <w:tcW w:w="2438" w:type="dxa"/>
            <w:shd w:val="clear" w:color="auto" w:fill="auto"/>
          </w:tcPr>
          <w:p w14:paraId="0DA90A38" w14:textId="77777777" w:rsidR="00DF07EC" w:rsidRPr="004D0D0B" w:rsidRDefault="00DF07EC" w:rsidP="004D0D0B">
            <w:pPr>
              <w:spacing w:before="0" w:after="0"/>
              <w:jc w:val="left"/>
              <w:rPr>
                <w:sz w:val="20"/>
                <w:szCs w:val="20"/>
              </w:rPr>
            </w:pPr>
            <w:r w:rsidRPr="004D0D0B">
              <w:rPr>
                <w:sz w:val="20"/>
                <w:szCs w:val="20"/>
              </w:rPr>
              <w:t>Városi/önkormányzati honlap,</w:t>
            </w:r>
          </w:p>
          <w:p w14:paraId="28F9B866" w14:textId="77777777" w:rsidR="00DF07EC" w:rsidRPr="004D0D0B" w:rsidRDefault="00DF07EC" w:rsidP="004D0D0B">
            <w:pPr>
              <w:spacing w:before="0" w:after="0"/>
              <w:jc w:val="left"/>
              <w:rPr>
                <w:sz w:val="20"/>
                <w:szCs w:val="20"/>
              </w:rPr>
            </w:pPr>
            <w:r w:rsidRPr="004D0D0B">
              <w:rPr>
                <w:sz w:val="20"/>
                <w:szCs w:val="20"/>
              </w:rPr>
              <w:t xml:space="preserve">Közösségi oldalak, </w:t>
            </w:r>
          </w:p>
          <w:p w14:paraId="0F23E16C" w14:textId="77777777" w:rsidR="00DF07EC" w:rsidRPr="004D0D0B" w:rsidRDefault="00DF07EC" w:rsidP="004D0D0B">
            <w:pPr>
              <w:spacing w:before="0" w:after="0"/>
              <w:jc w:val="left"/>
              <w:rPr>
                <w:sz w:val="20"/>
                <w:szCs w:val="20"/>
              </w:rPr>
            </w:pPr>
            <w:r w:rsidRPr="004D0D0B">
              <w:rPr>
                <w:sz w:val="20"/>
                <w:szCs w:val="20"/>
              </w:rPr>
              <w:t>Helyi televízió és újság,</w:t>
            </w:r>
          </w:p>
          <w:p w14:paraId="6E8BA0D5" w14:textId="77777777" w:rsidR="00DF07EC" w:rsidRPr="004D0D0B" w:rsidRDefault="00DF07EC" w:rsidP="004D0D0B">
            <w:pPr>
              <w:spacing w:before="0" w:after="0"/>
              <w:jc w:val="left"/>
              <w:rPr>
                <w:sz w:val="20"/>
                <w:szCs w:val="20"/>
              </w:rPr>
            </w:pPr>
            <w:r w:rsidRPr="004D0D0B">
              <w:rPr>
                <w:sz w:val="20"/>
                <w:szCs w:val="20"/>
              </w:rPr>
              <w:t>Zöld/környezetvédelmi napok,</w:t>
            </w:r>
          </w:p>
          <w:p w14:paraId="7DA5F8D9" w14:textId="77777777" w:rsidR="00DF07EC" w:rsidRPr="004D0D0B" w:rsidRDefault="00DF07EC" w:rsidP="004D0D0B">
            <w:pPr>
              <w:spacing w:before="0" w:after="0"/>
              <w:jc w:val="left"/>
              <w:rPr>
                <w:sz w:val="20"/>
                <w:szCs w:val="20"/>
              </w:rPr>
            </w:pPr>
            <w:r w:rsidRPr="004D0D0B">
              <w:rPr>
                <w:sz w:val="20"/>
                <w:szCs w:val="20"/>
              </w:rPr>
              <w:t>Közösségi rendezvények,</w:t>
            </w:r>
          </w:p>
          <w:p w14:paraId="63488535" w14:textId="77777777" w:rsidR="00DF07EC" w:rsidRPr="004D0D0B" w:rsidRDefault="00DF07EC" w:rsidP="004D0D0B">
            <w:pPr>
              <w:spacing w:before="0" w:after="0"/>
              <w:jc w:val="left"/>
              <w:rPr>
                <w:sz w:val="20"/>
                <w:szCs w:val="20"/>
              </w:rPr>
            </w:pPr>
            <w:r w:rsidRPr="004D0D0B">
              <w:rPr>
                <w:sz w:val="20"/>
                <w:szCs w:val="20"/>
              </w:rPr>
              <w:t>Egyéb szakmai rendezvények,</w:t>
            </w:r>
          </w:p>
          <w:p w14:paraId="3E2BAA2C" w14:textId="702B1D24" w:rsidR="009A5D57" w:rsidRPr="004D0D0B" w:rsidRDefault="00DF07EC" w:rsidP="004D0D0B">
            <w:pPr>
              <w:spacing w:before="0" w:after="0"/>
              <w:jc w:val="left"/>
              <w:rPr>
                <w:sz w:val="20"/>
                <w:szCs w:val="20"/>
              </w:rPr>
            </w:pPr>
            <w:r w:rsidRPr="004D0D0B">
              <w:rPr>
                <w:sz w:val="20"/>
                <w:szCs w:val="20"/>
              </w:rPr>
              <w:t>Kérdőíves felmérés/interjúkészítés.</w:t>
            </w:r>
          </w:p>
        </w:tc>
      </w:tr>
    </w:tbl>
    <w:p w14:paraId="2174EF7D" w14:textId="1D3E24EC" w:rsidR="00235CD4" w:rsidRDefault="00235CD4" w:rsidP="00CE3EEA"/>
    <w:p w14:paraId="741B2116" w14:textId="77777777" w:rsidR="00235CD4" w:rsidRDefault="00235CD4" w:rsidP="00CE3EEA"/>
    <w:p w14:paraId="2AEA53FD" w14:textId="0C3C5BC7" w:rsidR="00CA2CF4" w:rsidRDefault="00CE3EEA" w:rsidP="009C6CD0">
      <w:pPr>
        <w:pStyle w:val="Cmsor1"/>
        <w:numPr>
          <w:ilvl w:val="0"/>
          <w:numId w:val="4"/>
        </w:numPr>
      </w:pPr>
      <w:bookmarkStart w:id="22" w:name="_Toc133510173"/>
      <w:r>
        <w:lastRenderedPageBreak/>
        <w:t>Jogi elemzés</w:t>
      </w:r>
      <w:r w:rsidR="00235CD4">
        <w:t xml:space="preserve"> – a tervezett beruházás jogi megvalósíthatósága</w:t>
      </w:r>
      <w:bookmarkEnd w:id="22"/>
    </w:p>
    <w:tbl>
      <w:tblPr>
        <w:tblStyle w:val="Rcsostblzat"/>
        <w:tblW w:w="0" w:type="auto"/>
        <w:tblLook w:val="04A0" w:firstRow="1" w:lastRow="0" w:firstColumn="1" w:lastColumn="0" w:noHBand="0" w:noVBand="1"/>
      </w:tblPr>
      <w:tblGrid>
        <w:gridCol w:w="9062"/>
      </w:tblGrid>
      <w:tr w:rsidR="006733A9" w14:paraId="610B67FB" w14:textId="77777777" w:rsidTr="006733A9">
        <w:tc>
          <w:tcPr>
            <w:tcW w:w="9062" w:type="dxa"/>
          </w:tcPr>
          <w:p w14:paraId="57C820FF" w14:textId="77777777" w:rsidR="006733A9" w:rsidRDefault="006733A9" w:rsidP="006733A9">
            <w:r>
              <w:t>A megújuló energiafelhasználásra vonatkozó hatályos magyar jogszabályi környezet elsősorban az engedélyeztetési szempontokat középpontba állító műszaki elvárásokat sorolja fel. Megvalósítói szempontból a részletes jogi szabályzásnak való megfelelés egyfelől további adminisztrációs terheket, illetve a tervezésre fordított idő és szakértői díjköltség növekedését eredményezi, másfelől azonban a jogszabályi szinten lefektetett elvárások betartása elősegíti a projektelemek későbbi minőségbiztosítását.</w:t>
            </w:r>
          </w:p>
          <w:p w14:paraId="33A6AD68" w14:textId="77777777" w:rsidR="006733A9" w:rsidRDefault="006733A9" w:rsidP="006733A9">
            <w:r>
              <w:t>A jogi hátteret vizsgálva ösztönző elemeket is azonosíthatunk. A megújuló energiát termelőket a kötelező átvételi árakat növelő támogatással segíti az állam. A korábbi Kötelező Átvételi (KÁT) rendszer a 2016. december 31-ig benyújtott támogatási kérelmekre vonatkozott. Ezt azonban 2017. január 1-jével a METÁR támogatási rendszer váltotta fel. A METÁR-rendszer legfőbb újdonsága az elődjéhez képest, hogy az 1 MW-nál nagyobb termelők kizárólag versenyeztetéssel nyerhetnek el támogatást.</w:t>
            </w:r>
          </w:p>
          <w:p w14:paraId="1C572F4C" w14:textId="77777777" w:rsidR="006733A9" w:rsidRDefault="006733A9" w:rsidP="006733A9">
            <w:r>
              <w:t>Ebben a rendszerben prémium típusú támogatásra bármely olyan – a vonatkozó jogszabályi feltételeket teljesítő – megújuló energiaforrásból villamos energiát termelő jogosult lehet, ahol a megújuló energiaforrásból történő villamosenergia-termelés új beruházáshoz kapcsolódik. A támogatáshoz kapcsolódó induló támogatott árat pályázati eljárás keretében állapítják meg. A pályázati eljárásban a termelők induló támogatott árra tett ajánlataik alapján versenyeznek. A megállapított támogatás legfeljebb 20 évre nyújtható. A 62/2016. (XII. 28.) NFM rendeletben meghatározott maximálisan kiosztható új támogatás 2022 és 2026 között évenként 548 millió Ft. A METÁR legutóbbi (2022-es) kiírásában a pályázónak az erőművel egyidejűleg új akkumulátoros tárolói kapacitást is létesítenie kell, melynek teljesítménye legalább az erőműegység névleges teljesítményének 10 százaléka. Továbbá vállalnia kell, hogy a rendszerirányító részére automatikusan szabályozható tartalékot biztosít. Ezek az elvárások az új kapacitások biztonságos integrálását szolgálják a meglévő hálózatba.</w:t>
            </w:r>
          </w:p>
          <w:p w14:paraId="57BE3925" w14:textId="77777777" w:rsidR="006733A9" w:rsidRDefault="006733A9" w:rsidP="006733A9">
            <w:r>
              <w:t xml:space="preserve">A METÁR-rendeletben meghatározottak alapján a projektben a későbbiekben kialakítani tervezett erőművi kapacitásokra vonatkoztatva a napenergiával termelt villamos energia kötelező átvételi bázisárai a 2020. évet követően támogatási keretből kiadott támogatási jogosultságok esetében: 25,42 Ft/kWh minden termelési időszakban egységesen. </w:t>
            </w:r>
          </w:p>
          <w:p w14:paraId="0ED373BA" w14:textId="37A325AC" w:rsidR="006733A9" w:rsidRDefault="006733A9" w:rsidP="006733A9">
            <w:r>
              <w:t>Az alábbiakban bemutatjuk az egyes szabályozó tényezőket, akadályokat és azok kezelési módját. A projekt keretében kijelölt épületek energetikai fejlesztésébe beletartozik a hőszigetelés, nyílászárócsere, kiserőművek telepítése és hőszivattyús rendszerek kiépítése. Ezen felül a projektelemek jelentős része társasházi beruházásokat takar, így a társasházakra és energiaközösségekre vonatkozó jogszabályokat is vizsgáljuk.</w:t>
            </w:r>
          </w:p>
        </w:tc>
      </w:tr>
      <w:tr w:rsidR="006733A9" w14:paraId="578C9DD3" w14:textId="77777777" w:rsidTr="006733A9">
        <w:tc>
          <w:tcPr>
            <w:tcW w:w="9062" w:type="dxa"/>
            <w:shd w:val="clear" w:color="auto" w:fill="E7E6E6" w:themeFill="background2"/>
          </w:tcPr>
          <w:p w14:paraId="6CD236C9" w14:textId="53682C03" w:rsidR="006733A9" w:rsidRDefault="006733A9" w:rsidP="006733A9">
            <w:pPr>
              <w:pStyle w:val="Cmsor2"/>
              <w:outlineLvl w:val="1"/>
            </w:pPr>
            <w:bookmarkStart w:id="23" w:name="_Toc133510174"/>
            <w:r>
              <w:t xml:space="preserve">3.1 </w:t>
            </w:r>
            <w:r w:rsidRPr="001C778C">
              <w:t>Technológiai jogi környezet</w:t>
            </w:r>
            <w:bookmarkEnd w:id="23"/>
          </w:p>
        </w:tc>
      </w:tr>
      <w:tr w:rsidR="006733A9" w14:paraId="1AAB5D0A" w14:textId="77777777" w:rsidTr="006733A9">
        <w:tc>
          <w:tcPr>
            <w:tcW w:w="9062" w:type="dxa"/>
          </w:tcPr>
          <w:p w14:paraId="38B8629F" w14:textId="77777777" w:rsidR="006733A9" w:rsidRPr="006733A9" w:rsidRDefault="006733A9" w:rsidP="006733A9">
            <w:pPr>
              <w:rPr>
                <w:u w:val="single"/>
              </w:rPr>
            </w:pPr>
            <w:r w:rsidRPr="006733A9">
              <w:rPr>
                <w:u w:val="single"/>
              </w:rPr>
              <w:t>Hőszigetelés, nyílászárócsere</w:t>
            </w:r>
          </w:p>
          <w:p w14:paraId="14AC47C1" w14:textId="77777777" w:rsidR="006733A9" w:rsidRPr="006733A9" w:rsidRDefault="006733A9" w:rsidP="006733A9">
            <w:pPr>
              <w:rPr>
                <w:b/>
                <w:bCs/>
              </w:rPr>
            </w:pPr>
            <w:r w:rsidRPr="006733A9">
              <w:rPr>
                <w:bCs/>
              </w:rPr>
              <w:t xml:space="preserve">Az épületek utólagos hőszigetelése és a nyílászárók cseréje (amennyiben nem változik az ablaknyílások mérete) nem építési engedélyköteles tevékenység, így engedélyes terv elkészítésére sincs szükség ezekhez. </w:t>
            </w:r>
          </w:p>
          <w:p w14:paraId="3049705C" w14:textId="77777777" w:rsidR="006733A9" w:rsidRPr="006733A9" w:rsidRDefault="006733A9" w:rsidP="006733A9">
            <w:pPr>
              <w:rPr>
                <w:b/>
                <w:bCs/>
              </w:rPr>
            </w:pPr>
            <w:r w:rsidRPr="006733A9">
              <w:rPr>
                <w:bCs/>
              </w:rPr>
              <w:t>A projekt kivitelezése során az érintett ingatlan jellegétől függően nemzeti szinten a kulturális örökség védelmével kapcsolatos szabályok, helyi szinten pedig az építési és településkép-védelmi előírások esetleges további korlátokat állíthatnak a projekt sikeres megvalósítása elé. Ezen korlátok abban az esetben válhatnak relevánssá, amennyiben:</w:t>
            </w:r>
          </w:p>
          <w:p w14:paraId="0C684A93" w14:textId="77777777" w:rsidR="006733A9" w:rsidRPr="001C778C" w:rsidRDefault="006733A9" w:rsidP="006733A9">
            <w:pPr>
              <w:pStyle w:val="Listaszerbekezds"/>
              <w:numPr>
                <w:ilvl w:val="1"/>
                <w:numId w:val="3"/>
              </w:numPr>
              <w:rPr>
                <w:b/>
                <w:bCs/>
              </w:rPr>
            </w:pPr>
            <w:r w:rsidRPr="001C778C">
              <w:rPr>
                <w:bCs/>
              </w:rPr>
              <w:t xml:space="preserve">a fejlesztés műemléki vagy helyi védettség alá eső épületeken kerül megvalósításra; </w:t>
            </w:r>
          </w:p>
          <w:p w14:paraId="18019204" w14:textId="77777777" w:rsidR="006733A9" w:rsidRPr="001C778C" w:rsidRDefault="006733A9" w:rsidP="006733A9">
            <w:pPr>
              <w:pStyle w:val="Listaszerbekezds"/>
              <w:numPr>
                <w:ilvl w:val="1"/>
                <w:numId w:val="3"/>
              </w:numPr>
              <w:rPr>
                <w:b/>
                <w:bCs/>
              </w:rPr>
            </w:pPr>
            <w:r w:rsidRPr="001C778C">
              <w:rPr>
                <w:bCs/>
              </w:rPr>
              <w:lastRenderedPageBreak/>
              <w:t xml:space="preserve">a fejlesztés számottevően megváltoztatja az adott ingatlan jellegét, településképbe történő illeszkedését; </w:t>
            </w:r>
          </w:p>
          <w:p w14:paraId="0F4B682A" w14:textId="77777777" w:rsidR="006733A9" w:rsidRPr="001C778C" w:rsidRDefault="006733A9" w:rsidP="006733A9">
            <w:pPr>
              <w:pStyle w:val="Listaszerbekezds"/>
              <w:numPr>
                <w:ilvl w:val="1"/>
                <w:numId w:val="3"/>
              </w:numPr>
              <w:rPr>
                <w:b/>
                <w:bCs/>
              </w:rPr>
            </w:pPr>
            <w:r w:rsidRPr="001C778C">
              <w:rPr>
                <w:bCs/>
              </w:rPr>
              <w:t>a fejlesztés a már meglévő ingatlan engedélyezési eljárás hatálya alá tartozó bővítését igényli.</w:t>
            </w:r>
          </w:p>
          <w:p w14:paraId="5AE7DC63" w14:textId="77777777" w:rsidR="006733A9" w:rsidRPr="006733A9" w:rsidRDefault="006733A9" w:rsidP="006733A9">
            <w:pPr>
              <w:rPr>
                <w:b/>
                <w:bCs/>
              </w:rPr>
            </w:pPr>
            <w:r w:rsidRPr="006733A9">
              <w:rPr>
                <w:bCs/>
              </w:rPr>
              <w:t>Komplex épületenergetikai felújítás ott tervezett a projektben, ahol ilyen beavatkozás még egyáltalán nem történt, függetlenül attól, hogy a korábbi felújítás megfelel-e a követelményeknek. A már meglévő épületek esetében utólagos homlokzati hőszigetelés kialakításával javítható az energiahatékonyság.</w:t>
            </w:r>
          </w:p>
          <w:p w14:paraId="0BFEA699" w14:textId="77777777" w:rsidR="006733A9" w:rsidRPr="006733A9" w:rsidRDefault="006733A9" w:rsidP="006733A9">
            <w:pPr>
              <w:rPr>
                <w:b/>
                <w:bCs/>
              </w:rPr>
            </w:pPr>
            <w:r w:rsidRPr="006733A9">
              <w:rPr>
                <w:bCs/>
              </w:rPr>
              <w:t xml:space="preserve">Az épületek utólagos hőszigetelése terén hozott életszerű megoldásra törekvő egyszerűsítéseket a 2021 júliusában megváltozott OTÉK. Ennek értelmében az utólagos hőszigetelés és homlokzatburkolás az elő-, oldal- és hátsókert méretét csökkentheti, a telek homlokvonalára kiépített épület esetében a közterületre átnyúlhat, és az oldalhatárra kiépített épület esetében a szomszéd ingatlan tulajdonosának hozzájárulása esetén a szomszéd ingatlanra is átnyúlhat. A nyílászárókra vonatkozóan az OTÉK előírása, hogy az akadálymentes használat érdekében könnyen kezelhető, nagy erőkifejtést nem igénylő nyílászárókat kell beépíteni, szükség esetén automatikus nyitást biztosítva. Továbbá a nagy üvegfelületek, üvegajtók olyan vastagságúak és szerkezetűek kell legyenek, melyek biztonságot nyújtanak minden építményhasználó számára. A sérülésveszély elkerülése érdekében a nagy üvegezett felületeket, üvegajtókat 1,00–1,50 m magas sávban érzékelhető jelöléssel kell ellátni. </w:t>
            </w:r>
          </w:p>
          <w:p w14:paraId="4349ECE3" w14:textId="77777777" w:rsidR="006733A9" w:rsidRPr="006733A9" w:rsidRDefault="006733A9" w:rsidP="006733A9">
            <w:pPr>
              <w:rPr>
                <w:b/>
                <w:bCs/>
              </w:rPr>
            </w:pPr>
            <w:r w:rsidRPr="006733A9">
              <w:rPr>
                <w:bCs/>
              </w:rPr>
              <w:t>A külső falak, födémek és nyílászárók esetében a 7/2006. (V. 24.) TNM rendelet már jelentős (a határoló szerkezetek összes felületének legalább a 25%-át érintő) felújítás esetén is az új építésű épületek épülethatároló szerkezeteivel azonos hőátbocsátási tényezőket határoz meg 2018 évelejétől kezdve. Többek között a homlokzati fal esetében: 0,24 W/m</w:t>
            </w:r>
            <w:r w:rsidRPr="006733A9">
              <w:rPr>
                <w:bCs/>
                <w:vertAlign w:val="superscript"/>
              </w:rPr>
              <w:t>2</w:t>
            </w:r>
            <w:r w:rsidRPr="006733A9">
              <w:rPr>
                <w:bCs/>
              </w:rPr>
              <w:t>K, a lapostetőnél: 0,17 W/m</w:t>
            </w:r>
            <w:r w:rsidRPr="006733A9">
              <w:rPr>
                <w:bCs/>
                <w:vertAlign w:val="superscript"/>
              </w:rPr>
              <w:t>2</w:t>
            </w:r>
            <w:r w:rsidRPr="006733A9">
              <w:rPr>
                <w:bCs/>
              </w:rPr>
              <w:t>K, az alsó zárófödém fűtetlen terek felett: 0,26 W/m</w:t>
            </w:r>
            <w:r w:rsidRPr="006733A9">
              <w:rPr>
                <w:bCs/>
                <w:vertAlign w:val="superscript"/>
              </w:rPr>
              <w:t>2</w:t>
            </w:r>
            <w:r w:rsidRPr="006733A9">
              <w:rPr>
                <w:bCs/>
              </w:rPr>
              <w:t>K, az üvegezésnél: 1 W/m</w:t>
            </w:r>
            <w:r w:rsidRPr="006733A9">
              <w:rPr>
                <w:bCs/>
                <w:vertAlign w:val="superscript"/>
              </w:rPr>
              <w:t>2</w:t>
            </w:r>
            <w:r w:rsidRPr="006733A9">
              <w:rPr>
                <w:bCs/>
              </w:rPr>
              <w:t>K, a fa vagy PVC keretszerkezetű homlokzati üvegezett nyílászárók esetében: 1,15 W/m</w:t>
            </w:r>
            <w:r w:rsidRPr="006733A9">
              <w:rPr>
                <w:bCs/>
                <w:vertAlign w:val="superscript"/>
              </w:rPr>
              <w:t>2</w:t>
            </w:r>
            <w:r w:rsidRPr="006733A9">
              <w:rPr>
                <w:bCs/>
              </w:rPr>
              <w:t>K, a fém keretszerkezetű homlokzati üvegezett nyílászáróknál: 1,4 W/m</w:t>
            </w:r>
            <w:r w:rsidRPr="006733A9">
              <w:rPr>
                <w:bCs/>
                <w:vertAlign w:val="superscript"/>
              </w:rPr>
              <w:t>2</w:t>
            </w:r>
            <w:r w:rsidRPr="006733A9">
              <w:rPr>
                <w:bCs/>
              </w:rPr>
              <w:t xml:space="preserve">K.  </w:t>
            </w:r>
          </w:p>
          <w:p w14:paraId="061187E0" w14:textId="29E77736" w:rsidR="006733A9" w:rsidRPr="006733A9" w:rsidRDefault="006733A9" w:rsidP="006733A9">
            <w:pPr>
              <w:rPr>
                <w:b/>
                <w:bCs/>
              </w:rPr>
            </w:pPr>
            <w:r w:rsidRPr="006733A9">
              <w:rPr>
                <w:bCs/>
              </w:rPr>
              <w:t>A külső falak esetében a meghatározott hőátbocsátási tényező eléréséhez – a fogadó fal anyagától és a hőszigetelő összetételétől (kőzetgyapot/hagyományos ill. grafitos polisztirol) függően – legalább 8-15 cm</w:t>
            </w:r>
            <w:r w:rsidR="00B677EB">
              <w:rPr>
                <w:bCs/>
              </w:rPr>
              <w:t xml:space="preserve"> (de inkább 15-17 cm az ideális)</w:t>
            </w:r>
            <w:r w:rsidRPr="006733A9">
              <w:rPr>
                <w:bCs/>
              </w:rPr>
              <w:t xml:space="preserve"> vastag hőszigetelő felhelyezése szükséges.</w:t>
            </w:r>
            <w:r w:rsidR="00B320AC">
              <w:rPr>
                <w:bCs/>
              </w:rPr>
              <w:t xml:space="preserve"> A műemléki védelem alatt áló épületek esetében a belső hőszigetelő megoldást kell alkalmazni.</w:t>
            </w:r>
            <w:r w:rsidRPr="006733A9">
              <w:rPr>
                <w:bCs/>
              </w:rPr>
              <w:t xml:space="preserve"> Általánosságban a legvastagabb utólagos hőszigetelő réteget a tömörtéglából és a vasbetonból készült épületek igénylik. A nyílászárók esetében a teljes ablakra vonatkozó elvárt értékeket a háromrétegű üvegezéssel készülő, vagy a kétrétegűek közül csak azok tudják teljesíteni, melyeknél a profil megfelel az 1 W/m</w:t>
            </w:r>
            <w:r w:rsidRPr="006733A9">
              <w:rPr>
                <w:bCs/>
                <w:vertAlign w:val="superscript"/>
              </w:rPr>
              <w:t>2</w:t>
            </w:r>
            <w:r w:rsidRPr="006733A9">
              <w:rPr>
                <w:bCs/>
              </w:rPr>
              <w:t>K elvárásnak, melegperemes technológiával készültek, illetve a rétegek között kripton gáztöltéssel rendelkeznek.</w:t>
            </w:r>
          </w:p>
          <w:p w14:paraId="699653D2" w14:textId="77777777" w:rsidR="006733A9" w:rsidRDefault="006733A9" w:rsidP="006733A9">
            <w:pPr>
              <w:pStyle w:val="Listaszerbekezds"/>
              <w:ind w:left="720"/>
              <w:rPr>
                <w:bCs/>
              </w:rPr>
            </w:pPr>
          </w:p>
          <w:p w14:paraId="471A8903" w14:textId="273C84DA" w:rsidR="006733A9" w:rsidRPr="006733A9" w:rsidRDefault="006733A9" w:rsidP="006733A9">
            <w:pPr>
              <w:rPr>
                <w:b/>
                <w:bCs/>
              </w:rPr>
            </w:pPr>
            <w:r w:rsidRPr="006733A9">
              <w:rPr>
                <w:b/>
                <w:i/>
                <w:iCs/>
              </w:rPr>
              <w:t>Az akadály jelentősége a projekt szempontjából</w:t>
            </w:r>
            <w:r w:rsidRPr="006733A9">
              <w:rPr>
                <w:bCs/>
              </w:rPr>
              <w:t xml:space="preserve">: </w:t>
            </w:r>
            <w:r w:rsidR="00B320AC">
              <w:rPr>
                <w:bCs/>
              </w:rPr>
              <w:t>Magas</w:t>
            </w:r>
          </w:p>
          <w:p w14:paraId="60071D3E" w14:textId="77777777" w:rsidR="006733A9" w:rsidRPr="006733A9" w:rsidRDefault="006733A9" w:rsidP="006733A9">
            <w:pPr>
              <w:rPr>
                <w:b/>
                <w:bCs/>
              </w:rPr>
            </w:pPr>
            <w:r w:rsidRPr="006733A9">
              <w:rPr>
                <w:b/>
                <w:i/>
                <w:iCs/>
              </w:rPr>
              <w:t>A jogi akadályt állító intézmény, kompetenciaszint</w:t>
            </w:r>
            <w:r w:rsidRPr="006733A9">
              <w:rPr>
                <w:bCs/>
              </w:rPr>
              <w:t>: Magyar Állam (illetékes minisztériumok, magyar kormány), helyi önkormányzat</w:t>
            </w:r>
          </w:p>
          <w:p w14:paraId="0BF9B59C" w14:textId="0455E54E" w:rsidR="006733A9" w:rsidRPr="006733A9" w:rsidRDefault="006733A9" w:rsidP="006733A9">
            <w:pPr>
              <w:rPr>
                <w:bCs/>
              </w:rPr>
            </w:pPr>
            <w:r w:rsidRPr="006733A9">
              <w:rPr>
                <w:b/>
                <w:i/>
                <w:iCs/>
              </w:rPr>
              <w:t>A jogi akadály kezelésének módja</w:t>
            </w:r>
            <w:r w:rsidRPr="006733A9">
              <w:rPr>
                <w:bCs/>
              </w:rPr>
              <w:t>: A műszaki tervezés és a kivitelezés jogszabályoknak megfelelő megvalósítása</w:t>
            </w:r>
            <w:r w:rsidR="00B320AC">
              <w:rPr>
                <w:bCs/>
              </w:rPr>
              <w:t>/jogszabályi kivétel képzés</w:t>
            </w:r>
            <w:r w:rsidRPr="006733A9">
              <w:rPr>
                <w:bCs/>
              </w:rPr>
              <w:t>.</w:t>
            </w:r>
          </w:p>
          <w:p w14:paraId="05B8CC3C" w14:textId="77777777" w:rsidR="006733A9" w:rsidRPr="001C778C" w:rsidRDefault="006733A9" w:rsidP="006733A9">
            <w:pPr>
              <w:pStyle w:val="Listaszerbekezds"/>
              <w:ind w:left="720"/>
              <w:rPr>
                <w:b/>
                <w:bCs/>
              </w:rPr>
            </w:pPr>
          </w:p>
          <w:p w14:paraId="1D7FD3DE" w14:textId="77777777" w:rsidR="006733A9" w:rsidRPr="006733A9" w:rsidRDefault="006733A9" w:rsidP="006733A9">
            <w:pPr>
              <w:rPr>
                <w:u w:val="single"/>
              </w:rPr>
            </w:pPr>
            <w:r w:rsidRPr="006733A9">
              <w:rPr>
                <w:u w:val="single"/>
              </w:rPr>
              <w:t>Napenergia</w:t>
            </w:r>
          </w:p>
          <w:p w14:paraId="4BEFBCB8" w14:textId="77777777" w:rsidR="006733A9" w:rsidRPr="006733A9" w:rsidRDefault="006733A9" w:rsidP="006733A9">
            <w:pPr>
              <w:rPr>
                <w:b/>
                <w:bCs/>
              </w:rPr>
            </w:pPr>
            <w:r w:rsidRPr="006733A9">
              <w:rPr>
                <w:bCs/>
              </w:rPr>
              <w:t xml:space="preserve">Az épületek energetikai jellemzőinek meghatározásáról szóló 7/2006. (V. 24.) TNM rendelet rögzíti, hogy a napsugárzás energiájának hasznosítását illetően szükséges megvizsgálni, hogy az energiagyűjtő elemek megfelelően elhelyezhetőek-e az épületen, illetve a benapozottság </w:t>
            </w:r>
            <w:r w:rsidRPr="006733A9">
              <w:rPr>
                <w:bCs/>
              </w:rPr>
              <w:lastRenderedPageBreak/>
              <w:t>megfelelő-e. Amennyiben az előző szempontok alapján az energiagyűjtő elemek elhelyezése és benapozottsága lehetséges, illetve biztosított, és a szoláris rendszer elektromosenergia-ellátásra szolgál, akkor meg kell vizsgálni, hogy a termelt energia teljes egészében az épületben szigetüzemben hasznosítható-e; illetve ha a szoláris rendszer nem szigetüzemben működik, akkor a hálózatra való csatlakozás feltételei adottak-e. A műszaki projekttartalom a fenti kritériumoknak eleget fog tenni.</w:t>
            </w:r>
          </w:p>
          <w:p w14:paraId="4727CD37" w14:textId="77777777" w:rsidR="006733A9" w:rsidRPr="006733A9" w:rsidRDefault="006733A9" w:rsidP="006733A9">
            <w:pPr>
              <w:rPr>
                <w:b/>
                <w:bCs/>
              </w:rPr>
            </w:pPr>
            <w:r w:rsidRPr="006733A9">
              <w:rPr>
                <w:bCs/>
              </w:rPr>
              <w:t>A 382/2007. (XII. 23.) Korm. rendeletben foglaltak alapján az erőmű építési engedélyezési eljárás a termelői engedélyes vagy az építtető kérelmére indul. A közművek, kezelők és üzemeltetők nyilatkozatát a hálózati engedélyes vagy megbízása alapján a tervező köteles beszerezni és a kérelemhez csatolni. Már az építési engedélyezéshez szükséges többek között az összes szakáganként szaktervező által készített műszaki tervdokumentáció is. Az építési engedély iránti kérelemben igazolni kell, hogy a közcélú, magán-, termelői és közvetlen vezeték üzemeltetője regisztrált e-közmű adatszolgáltató. Napelemes erőmű létesítése során a területrendezési és településrendezési előírásoknak való megfelelést vizsgálják. Továbbá műemléket vagy műemlék telkét érintő építmény esetében elbírálásra kerül, hogy az építmény vagy tevékenység a kulturális örökség védelme jogszabályban rögzített követelményeinek a kérelemben foglaltak szerint vagy további feltételek mellett megfelel-e . Ezen túlmenően a 273/2007. (X. 19.) Korm. rendelet rendelkezik a – projektben is tervezett – 50 MW-nál nagyobb teljesítményű erőművek létesítésére vonatkozó létesítési engedélyezéséhez szükséges elvárásokról.</w:t>
            </w:r>
          </w:p>
          <w:p w14:paraId="5CF87FCF" w14:textId="77777777" w:rsidR="006733A9" w:rsidRPr="006733A9" w:rsidRDefault="006733A9" w:rsidP="006733A9">
            <w:pPr>
              <w:rPr>
                <w:b/>
                <w:bCs/>
              </w:rPr>
            </w:pPr>
            <w:r w:rsidRPr="006733A9">
              <w:rPr>
                <w:bCs/>
              </w:rPr>
              <w:t xml:space="preserve">Az 55/2016. (XII. 21.) NFM rendelet részletezi a napenergia villamosenergia-termelés célú hasznosítása esetére vonatkozó műszaki követelményeket (rendelet 4. melléklete). Ezek alapján a minimális hatásfok követelmény kristályos napelem esetében 15%; vékonyrétegű napelem esetében pedig 7%. Ezen túlmenően a napelemnek meg kell felelnie az MSZ EN 61730 szabványsorozat előírásainak vagy azzal egyenértékű műszaki követelményeknek, továbbá az MSZ EN 61215 szabvány előírásainak vagy azzal egyenértékű műszaki követelményeknek kristályos napelem esetén; valamint az MSZ EN 61646 szabvány előírásainak vagy azzal egyenértékű műszaki követelményeknek vékonyrétegű napelem esetén. A fotovillamos rendszerhez telepített invertereknek meg kell felelniük az MSZ EN 62116 szabvány előírásainak vagy azzal egyenértékű műszaki követelményeknek. A napelemes rendszer létesítésére, ellenőrzésére és dokumentálására vonatkozóan meg kell felelni az alábbi szabványok előírásainak vagy azzal egyenértékű műszaki követelményeknek: MSZ HD 60364-7-712, MSZ HD 60364-6, MSZ EN 62446. Biztosítani kell továbbá legalább negyedórás időfelbontású, termelt és a hálózati csatlakozási ponton kiadott energia mérések elkülönített kialakítását, aminek alkalmasnak kell lennie az elszámolási és valós idejű termelés figyelésére, illetve a berendezés rendelkezik telepítési, üzemeltetési és karbantartási útmutatóval. </w:t>
            </w:r>
          </w:p>
          <w:p w14:paraId="444C1751" w14:textId="77777777" w:rsidR="006733A9" w:rsidRPr="006733A9" w:rsidRDefault="006733A9" w:rsidP="006733A9">
            <w:pPr>
              <w:rPr>
                <w:b/>
                <w:bCs/>
              </w:rPr>
            </w:pPr>
            <w:r w:rsidRPr="006733A9">
              <w:rPr>
                <w:bCs/>
              </w:rPr>
              <w:t>Mindezen kívül az a) pontban már részletezett településkép-védelmi előírások ebben az esetben is érvényesek. E problémát elkerülve célszerű a napelemes rendszereket tudatosan, a településképi előírásoknak megfelelően tervezni, az érintett hatóságokkal előzetesen egyeztetve.</w:t>
            </w:r>
          </w:p>
          <w:p w14:paraId="36276694" w14:textId="77777777" w:rsidR="006733A9" w:rsidRPr="006733A9" w:rsidRDefault="006733A9" w:rsidP="006733A9">
            <w:pPr>
              <w:rPr>
                <w:b/>
                <w:bCs/>
              </w:rPr>
            </w:pPr>
            <w:r w:rsidRPr="006733A9">
              <w:rPr>
                <w:bCs/>
              </w:rPr>
              <w:t xml:space="preserve">A magyarországi napenergia-piac lendületes fejlődése prognosztizálható volt egészen egy friss fejleményig a korábban leírtak szerint: a MAVIR (Magyar Villamosenergia-ipari Átviteli Rendszerirányító Zrt.) 2022. május 10-én közleményében naperőmű csatlakozási stopot hirdetett: „A villamosenergiáról szóló 2007. évi LXXXVI. törvény (Vet.) 35.§ (8) bekezdés alapján a hálózati engedélyesek 2022. május 2-án közzétették a nagyfeszültségű és a nagy/középfeszültségű transzformátorállomásokhoz rendelt aktuális szabad kapacitásokat 0 megavoltamper (MVA) mértékben. Az érvényes jogszabályi előírások alapján, az átviteli rendszerirányító, a villamosenergia-rendszer teljesítmény-egyensúlyának és a kiegyenlítő szabályozási kapacitásoknak a biztosíthatósága szempontjából a villamosenergia-rendszerbe befogadható időjárásfüggő erőművi kapacitás mértékét (korlátját) ugyancsak 0 MVA-ban állapítja meg. A már befogadott csatlakozási igényeken túl, újabb csatlakozási igény egyedi eljárás keretében, valamint az időjárásfüggő </w:t>
            </w:r>
            <w:r w:rsidRPr="006733A9">
              <w:rPr>
                <w:bCs/>
              </w:rPr>
              <w:lastRenderedPageBreak/>
              <w:t>erőművek esetén a jogszabályi előírások szerinti, úgynevezett mentességi feltételek vállalása esetén fogadható be.”</w:t>
            </w:r>
          </w:p>
          <w:p w14:paraId="209701AD" w14:textId="77777777" w:rsidR="006733A9" w:rsidRPr="006733A9" w:rsidRDefault="006733A9" w:rsidP="006733A9">
            <w:pPr>
              <w:rPr>
                <w:b/>
                <w:bCs/>
              </w:rPr>
            </w:pPr>
            <w:r w:rsidRPr="006733A9">
              <w:rPr>
                <w:bCs/>
              </w:rPr>
              <w:t>A csatlakozási igényét 2022. május 2. után benyújtó naperőmű-beruházáshoz (háztartási méretű kiserőműnél nagyobb teljesítményű erőmű esetében) elvárt valamilyen megfelelő rugalmassági kapacitás telepítése. Ez akkumulátoros energiatároló, gázmotor vagy egyéb hagyományos nem időjárásfüggő erőművi technológia lehet, de a szabályozás alapján a kritérium fogyasztóoldali szabályozás révén is teljesíthető. Ezek a megoldások jelentősen csökkentenék a projekt megtérülését, illetve fogyasztóoldali szabályozás kivételével jelentős beruházási költséget igényelnek . Villamosenergia-tároló esetén a szükséges tárolókapacitás az időjárásfüggő erőműegység névleges teljesítőképességére vetítve legalább 0,6 MWh/MW.</w:t>
            </w:r>
          </w:p>
          <w:p w14:paraId="5C280F61" w14:textId="77777777" w:rsidR="006733A9" w:rsidRPr="006733A9" w:rsidRDefault="006733A9" w:rsidP="006733A9">
            <w:pPr>
              <w:rPr>
                <w:b/>
                <w:bCs/>
              </w:rPr>
            </w:pPr>
            <w:r w:rsidRPr="006733A9">
              <w:rPr>
                <w:bCs/>
              </w:rPr>
              <w:t>A május óta kialakult helyzetet súlyosbította egy még frisseb rendelet. A 413/2022. (X. 26.) Korm. rendelet kijelentette, hogy a „villamos energiáról szóló 2007. évi LXXXVI. törvény egyes rendelkezéseinek végrehajtásáról szóló 273/2007.  (X.  19.) Korm. rendelet 5. § (4)–(6) bekezdésében foglalt rendelkezésektől eltérően csak az a háztartási méretű kiserőmű helyezhető üzembe, amely kizárólag saját villamosenergia-fogyasztásának kielégítése érdekében termel villamos energiát, az  így üzembe helyezett háztartási méretű kiserőművek közcélú hálózatba történő feltáplálásának lehetősége ideiglenesen felfüggesztésre kerül. A 2022. október 31. napját megelőzően tett igénybejelentések alapján megvalósított háztartási méretű kiserőművek a közcélú hálózatra feltáplálhatnak”, de a koncepcióban szereplő napelemes rendszerek kizárólag saját fogyasztást fedezhetnek a jogszabály módosulásáig.  Az ideiglenes felfüggesztés megszüntetésére és a megszüntetés ütemezésére a közcélú hálózat- és rendszerfejlesztés függvényében a Magyar Energetikai és Közmű-szabályozási Hivatal tehet javaslatot a technológiai és ipari miniszter részére, aki az ideiglenes felfüggesztés megszüntetésének időpontjáról és ütemezéséről rendeletben határoz majd.</w:t>
            </w:r>
          </w:p>
          <w:p w14:paraId="07E2EBA9" w14:textId="77777777" w:rsidR="006733A9" w:rsidRPr="006733A9" w:rsidRDefault="006733A9" w:rsidP="006733A9">
            <w:pPr>
              <w:rPr>
                <w:b/>
                <w:bCs/>
              </w:rPr>
            </w:pPr>
            <w:r w:rsidRPr="006733A9">
              <w:rPr>
                <w:bCs/>
              </w:rPr>
              <w:t>A hazai villamosenergia-rendszer jelenleg megközelítőleg 3000 megawattnyi (MW) ipari és háztartási napenergia kapacitással rendelkezik, melynek mértéke várhatóan erősen fog növekedni – az elmúlt öt évben megtízszereződött a beépített napelemek összes kapacitása. A hálózati engedélyesek a meglévő megújuló kapacitásokon túl legalább 5000 MW megújuló csatlakozási igényt tartanak nyilván. A megfelelő működés és energiaellátás érdekében azonban szükséges a rendszer infrastruktúrájának és rugalmasságának javítása, a hálózatfejlesztés.</w:t>
            </w:r>
          </w:p>
          <w:p w14:paraId="277769B2" w14:textId="77777777" w:rsidR="006733A9" w:rsidRPr="006733A9" w:rsidRDefault="006733A9" w:rsidP="006733A9">
            <w:pPr>
              <w:rPr>
                <w:bCs/>
              </w:rPr>
            </w:pPr>
            <w:r w:rsidRPr="006733A9">
              <w:rPr>
                <w:bCs/>
              </w:rPr>
              <w:t>A háztartási méretű kiserőműveknél nagyobb kapacitású napelemes rendszerek kialakítását a MAVIR korlátozó közleményének feloldásáig nem célszerű megkezdeni, mivel a csatlakozási lehetőség hiányában lejáró hatályú engedélyek és szerződések határidejének újabb és újabb meghosszabbítása komoly költségeket jelent.</w:t>
            </w:r>
          </w:p>
          <w:p w14:paraId="2B1E8717" w14:textId="77777777" w:rsidR="006733A9" w:rsidRDefault="006733A9" w:rsidP="006733A9">
            <w:pPr>
              <w:pStyle w:val="Listaszerbekezds"/>
              <w:ind w:left="720"/>
              <w:rPr>
                <w:b/>
                <w:bCs/>
              </w:rPr>
            </w:pPr>
          </w:p>
          <w:p w14:paraId="4D314463" w14:textId="77777777" w:rsidR="006733A9" w:rsidRPr="006733A9" w:rsidRDefault="006733A9" w:rsidP="006733A9">
            <w:pPr>
              <w:rPr>
                <w:b/>
                <w:bCs/>
              </w:rPr>
            </w:pPr>
            <w:r w:rsidRPr="006733A9">
              <w:rPr>
                <w:b/>
                <w:i/>
                <w:iCs/>
              </w:rPr>
              <w:t>Az akadály jelentősége a projekt szempontjából</w:t>
            </w:r>
            <w:r w:rsidRPr="006733A9">
              <w:rPr>
                <w:bCs/>
              </w:rPr>
              <w:t xml:space="preserve">: Változó, magas kockázatot az említett 2022. évi új jogszabályok jelentenek </w:t>
            </w:r>
          </w:p>
          <w:p w14:paraId="76196B4B" w14:textId="77777777" w:rsidR="006733A9" w:rsidRPr="006733A9" w:rsidRDefault="006733A9" w:rsidP="006733A9">
            <w:pPr>
              <w:rPr>
                <w:b/>
                <w:bCs/>
              </w:rPr>
            </w:pPr>
            <w:r w:rsidRPr="006733A9">
              <w:rPr>
                <w:b/>
                <w:i/>
                <w:iCs/>
              </w:rPr>
              <w:t>A jogi akadályt állító intézmény, kompetenciaszint</w:t>
            </w:r>
            <w:r w:rsidRPr="006733A9">
              <w:rPr>
                <w:bCs/>
              </w:rPr>
              <w:t>: Magyar Állam (illetékes minisztériumok, magyar kormány), MAVIR, helyi önkormányzat</w:t>
            </w:r>
          </w:p>
          <w:p w14:paraId="48361A93" w14:textId="77777777" w:rsidR="006733A9" w:rsidRPr="006733A9" w:rsidRDefault="006733A9" w:rsidP="006733A9">
            <w:pPr>
              <w:rPr>
                <w:bCs/>
              </w:rPr>
            </w:pPr>
            <w:r w:rsidRPr="006733A9">
              <w:rPr>
                <w:b/>
                <w:i/>
                <w:iCs/>
              </w:rPr>
              <w:t>A jogi akadály kezelésének módja</w:t>
            </w:r>
            <w:r w:rsidRPr="006733A9">
              <w:rPr>
                <w:bCs/>
              </w:rPr>
              <w:t>: A műszaki tervezés jogszabályoknak megfelelő megvalósítása a technológiára vonatkozó műszaki jellegű jogi kritériumokat kezeli, azonban a napelemes rendszerek kialakítását a 2022. évi hálózati feltáplálást korlátozó jogszabályok feloldásáig nem célszerű megkezdeni. Az ideiglenesen bevezetett jogszabályok a háztartási méretű kiserőművek telepítését pénzügyi szempontból ellehetetlenítik. Az új jogszabályok generálta akadályok kezelésének módja – a várakozáson felül – egyelőre nem látható. A magyar villamosenergia-hálózattal történő kereskedés nélkül a nyáron megtermelt jelentős villamosenergia-mennyiséget pénzügyi szempontból nem lehetséges a téli, napenergiában szegény időszakig eltárolni a kijelölt területen.</w:t>
            </w:r>
          </w:p>
          <w:p w14:paraId="5EA65CD5" w14:textId="77777777" w:rsidR="006733A9" w:rsidRPr="001C778C" w:rsidRDefault="006733A9" w:rsidP="006733A9">
            <w:pPr>
              <w:pStyle w:val="Listaszerbekezds"/>
              <w:ind w:left="720"/>
              <w:rPr>
                <w:b/>
                <w:bCs/>
              </w:rPr>
            </w:pPr>
          </w:p>
          <w:p w14:paraId="2F4432A5" w14:textId="77777777" w:rsidR="006733A9" w:rsidRPr="006733A9" w:rsidRDefault="006733A9" w:rsidP="006733A9">
            <w:pPr>
              <w:rPr>
                <w:u w:val="single"/>
              </w:rPr>
            </w:pPr>
            <w:r w:rsidRPr="006733A9">
              <w:rPr>
                <w:u w:val="single"/>
              </w:rPr>
              <w:t xml:space="preserve">Hőszivattyús fűtési rendszerek kiépítése </w:t>
            </w:r>
          </w:p>
          <w:p w14:paraId="6657A08E" w14:textId="77777777" w:rsidR="006733A9" w:rsidRPr="006733A9" w:rsidRDefault="006733A9" w:rsidP="006733A9">
            <w:pPr>
              <w:rPr>
                <w:b/>
                <w:bCs/>
              </w:rPr>
            </w:pPr>
            <w:r w:rsidRPr="006733A9">
              <w:rPr>
                <w:bCs/>
              </w:rPr>
              <w:t>Az épületek energetikai jellemzőinek meghatározásáról szóló 7/2006. (V. 24.) TNM rendelet rögzíti a levegő/víz hőszivattyúk teljesítménytényezőit, melyeknek meg kell felelni.</w:t>
            </w:r>
          </w:p>
          <w:p w14:paraId="4AB765C4" w14:textId="77777777" w:rsidR="006733A9" w:rsidRPr="006733A9" w:rsidRDefault="006733A9" w:rsidP="006733A9">
            <w:pPr>
              <w:rPr>
                <w:bCs/>
              </w:rPr>
            </w:pPr>
            <w:r w:rsidRPr="006733A9">
              <w:rPr>
                <w:bCs/>
              </w:rPr>
              <w:t>A levegő/víz hőszivattyúval termelt megújuló energia hasznosításának műszaki követelményeit - a szezonális jóságfok és vízmelegítési hatásfok minimum értékei, a használat jellege és az energiaforrás függvényében - az 55/2016. (XII. 21.) NFM rendelet 2. melléklete rögzíti, ahogy azt is, hogy a levegő-víz hőszivattyús berendezések alkalmazása esetén az éves hőenergia igényeket min. 50%-ban a hőszivattyúnak kell biztosítania. Ezen felül a rendelet kimondja, hogy a helyiségfűtő hőszivattyús berendezések és kombinált hőszivattyús berendezések működési tartománya igazodjon az MSZ 04-140/3-87 szabvány szerinti, vagy ezzel egyenértékű számítással meghatározott magyar éghajlati viszonyokhoz, a fűtési rendszer tervezett hőmérsékletéhez, valamint a használat jellegéhez. A berendezésnek a használat tényleges helyén a szabvány szerinti méretezési külső hőmérsékleten is üzemelnie kell. A hőszivattyús vízmelegítők kivételével – tehát a helyiségfűtő és kombinált berendezéseknek gyárilag rendelkeznie kell, vagy fel kell azokat szerelni II-III. vagy V-VIII. osztályokba tartozó időjárás-kompenzációs hőmérséklet-szabályzóval, mely a berendezés áramlási hőmérsékletét szabályozza a külső hőmérséklet figyelembevételével.</w:t>
            </w:r>
          </w:p>
          <w:p w14:paraId="78C7E58B" w14:textId="77777777" w:rsidR="006733A9" w:rsidRPr="001C778C" w:rsidRDefault="006733A9" w:rsidP="006733A9">
            <w:pPr>
              <w:pStyle w:val="Listaszerbekezds"/>
              <w:ind w:left="720"/>
              <w:rPr>
                <w:b/>
                <w:bCs/>
              </w:rPr>
            </w:pPr>
          </w:p>
          <w:p w14:paraId="27BE016E" w14:textId="77777777" w:rsidR="006733A9" w:rsidRPr="006733A9" w:rsidRDefault="006733A9" w:rsidP="006733A9">
            <w:pPr>
              <w:rPr>
                <w:b/>
                <w:bCs/>
              </w:rPr>
            </w:pPr>
            <w:r w:rsidRPr="006733A9">
              <w:rPr>
                <w:b/>
                <w:i/>
                <w:iCs/>
              </w:rPr>
              <w:t>Az akadály jelentősége a projekt szempontjából</w:t>
            </w:r>
            <w:r w:rsidRPr="006733A9">
              <w:rPr>
                <w:bCs/>
              </w:rPr>
              <w:t>: Alacsony</w:t>
            </w:r>
          </w:p>
          <w:p w14:paraId="3F499D39" w14:textId="77777777" w:rsidR="006733A9" w:rsidRPr="006733A9" w:rsidRDefault="006733A9" w:rsidP="006733A9">
            <w:pPr>
              <w:rPr>
                <w:b/>
                <w:bCs/>
              </w:rPr>
            </w:pPr>
            <w:r w:rsidRPr="006733A9">
              <w:rPr>
                <w:b/>
                <w:i/>
                <w:iCs/>
              </w:rPr>
              <w:t>A jogi akadályt állító intézmény, kompetenciaszint</w:t>
            </w:r>
            <w:r w:rsidRPr="006733A9">
              <w:rPr>
                <w:bCs/>
              </w:rPr>
              <w:t>: Magyar Állam (illetékes minisztériumok, magyar kormány), helyi önkormányzat</w:t>
            </w:r>
          </w:p>
          <w:p w14:paraId="06215965" w14:textId="77777777" w:rsidR="006733A9" w:rsidRPr="006733A9" w:rsidRDefault="006733A9" w:rsidP="006733A9">
            <w:pPr>
              <w:rPr>
                <w:b/>
                <w:bCs/>
              </w:rPr>
            </w:pPr>
            <w:r w:rsidRPr="006733A9">
              <w:rPr>
                <w:b/>
                <w:i/>
                <w:iCs/>
              </w:rPr>
              <w:t>A jogi akadály kezelésének módja</w:t>
            </w:r>
            <w:r w:rsidRPr="006733A9">
              <w:rPr>
                <w:bCs/>
              </w:rPr>
              <w:t>: A műszaki tervezés és a kivitelezés jogszabályoknak megfelelő megvalósítása.</w:t>
            </w:r>
          </w:p>
          <w:p w14:paraId="486F2852" w14:textId="77777777" w:rsidR="006733A9" w:rsidRDefault="006733A9" w:rsidP="006733A9">
            <w:pPr>
              <w:pStyle w:val="Listaszerbekezds"/>
              <w:ind w:left="720"/>
              <w:rPr>
                <w:b/>
                <w:bCs/>
              </w:rPr>
            </w:pPr>
          </w:p>
          <w:p w14:paraId="209F4F21" w14:textId="477DD7C5" w:rsidR="006733A9" w:rsidRPr="006733A9" w:rsidRDefault="006733A9" w:rsidP="006733A9">
            <w:pPr>
              <w:rPr>
                <w:bCs/>
              </w:rPr>
            </w:pPr>
            <w:r w:rsidRPr="006733A9">
              <w:rPr>
                <w:bCs/>
              </w:rPr>
              <w:t>Megjegyzendő, hogy a 2022. július 21-én megjelenő, rezsicsökkentést érintő változások érintik a Beruházási Koncepció elemeit. A Kormány 259/2022. (VII. 21.) Korm. rendelete egyes egyetemes szolgáltatási árszabások meghatározásáról értelmében a hőszivattyúnál használt H tarifa módosítása továbbra is engedélyezi a téli időszakban való kedvezményes áron történő fűtést, azonban a nyári hűtés nem támogatott. A rendelet kitér a napelemes termelés (háztartási méretű kiserőmű) árszabására is, ez alapján a fogyasztáson túl megtermelt (betáplált) plusz mennyiség a rezsicsökkentett, alacsonyabb áron kerülhet elszámolásra.</w:t>
            </w:r>
          </w:p>
        </w:tc>
      </w:tr>
      <w:tr w:rsidR="006733A9" w14:paraId="7097E88F" w14:textId="77777777" w:rsidTr="006733A9">
        <w:tc>
          <w:tcPr>
            <w:tcW w:w="9062" w:type="dxa"/>
            <w:shd w:val="clear" w:color="auto" w:fill="E7E6E6" w:themeFill="background2"/>
          </w:tcPr>
          <w:p w14:paraId="29D1CC50" w14:textId="2992B051" w:rsidR="006733A9" w:rsidRPr="006733A9" w:rsidRDefault="006733A9" w:rsidP="006733A9">
            <w:pPr>
              <w:pStyle w:val="Cmsor2"/>
              <w:outlineLvl w:val="1"/>
            </w:pPr>
            <w:bookmarkStart w:id="24" w:name="_Toc133510175"/>
            <w:r>
              <w:lastRenderedPageBreak/>
              <w:t>3.2 Kiserőmű</w:t>
            </w:r>
            <w:bookmarkEnd w:id="24"/>
          </w:p>
        </w:tc>
      </w:tr>
      <w:tr w:rsidR="006733A9" w14:paraId="25EFC220" w14:textId="77777777" w:rsidTr="006733A9">
        <w:tc>
          <w:tcPr>
            <w:tcW w:w="9062" w:type="dxa"/>
          </w:tcPr>
          <w:p w14:paraId="79F7022A" w14:textId="77777777" w:rsidR="006733A9" w:rsidRDefault="006733A9" w:rsidP="006733A9">
            <w:r>
              <w:t>A projekt keretein belül jellemzően háztartási kiserőműnél</w:t>
            </w:r>
            <w:r>
              <w:rPr>
                <w:rStyle w:val="Lbjegyzet-hivatkozs"/>
              </w:rPr>
              <w:footnoteReference w:id="38"/>
            </w:r>
            <w:r>
              <w:t xml:space="preserve"> nagyobb teljesítményű napelemes rendszerek épülnek ki. A kiserőmű (mely kategóriába a háztartási méretű kiserőművek is beletartozik) az 50 MW-nál kisebb névleges teljesítőképességű erőmű. Jelenleg saját üzleti kockázatára – néhány, projektet nem érintő kivételtől eltekintve – bárki létesíthet új termelő kapacitást a VET -ben és a külön jogszabályokban meghatározottak szerint. A kiserőművek beüzemeléséhez kiserőművi összevont engedélyre van szükség (a háztartási méretű kiserőműveken kívül), mely az engedélyköteles kiserőmű létesítésére és villamosenergia-termelésére vonatkozó engedélyt foglalja magában. </w:t>
            </w:r>
          </w:p>
          <w:p w14:paraId="141AFC79" w14:textId="77777777" w:rsidR="006733A9" w:rsidRDefault="006733A9" w:rsidP="006733A9">
            <w:r>
              <w:t>Megújuló energiaforrást hasznosító új termelőkapacitások létesítése során a hálózati engedélyesek VET</w:t>
            </w:r>
            <w:r>
              <w:rPr>
                <w:rStyle w:val="Lbjegyzet-hivatkozs"/>
              </w:rPr>
              <w:footnoteReference w:id="39"/>
            </w:r>
            <w:r>
              <w:t xml:space="preserve"> végrehajtására kiadott jogszabályban és a Hivatal határozatában meghatározott feltételek </w:t>
            </w:r>
            <w:r>
              <w:lastRenderedPageBreak/>
              <w:t>szerint és mértékben kötelesek viselni a közcélú hálózat műszaki átalakításából (különösen hálózati csatlakozások és a hálózat megerősítéséből) származó azon költségeket, amelyek az elosztó és átviteli hálózatra való csatlakozás műszaki feltételeit megteremtik. Ezen költségeknek a hálózati engedélyeseket terhelő részét a Hivatal a rendszerhasználati díjak megállapítása során indokolt mértékben figyelembe veszi.</w:t>
            </w:r>
          </w:p>
          <w:p w14:paraId="6A546121" w14:textId="77777777" w:rsidR="006733A9" w:rsidRDefault="006733A9" w:rsidP="006733A9">
            <w:r>
              <w:t>A kiserőmű a saját maga által termelt villamos energiát és az átviteli rendszerirányítótól rendszerszintű szolgáltatások vagy az elosztótól elosztói rugalmassági szolgáltatás keretében átvett villamos energiát is értékesítheti. A felhasználók részére közvetlenül értékesítő termelőt – a villamosenergia-kereskedelemre vonatkozó működési engedély kérelmezésére vonatkozó kötelezettség kivételével – úgy kell tekinteni, mint a felhasználók részére közvetlenül értékesítő villamosenergia-kereskedőt.</w:t>
            </w:r>
          </w:p>
          <w:p w14:paraId="421F3183" w14:textId="77777777" w:rsidR="006733A9" w:rsidRDefault="006733A9" w:rsidP="006733A9">
            <w:r w:rsidRPr="0050171D">
              <w:rPr>
                <w:b/>
                <w:bCs/>
                <w:i/>
                <w:iCs/>
              </w:rPr>
              <w:t>Az akadály jelentősége a projekt szempontjából</w:t>
            </w:r>
            <w:r>
              <w:t>: Alacsony</w:t>
            </w:r>
          </w:p>
          <w:p w14:paraId="41BB5877" w14:textId="77777777" w:rsidR="006733A9" w:rsidRDefault="006733A9" w:rsidP="006733A9">
            <w:r w:rsidRPr="0050171D">
              <w:rPr>
                <w:b/>
                <w:bCs/>
                <w:i/>
                <w:iCs/>
              </w:rPr>
              <w:t>A jogi akadályt állító intézmény, kompetenciaszint</w:t>
            </w:r>
            <w:r>
              <w:t>: Magyar Állam (illetékes minisztériumok, magyar kormány), Magyar Energetikai és Közmű-szabályozási Hivatal</w:t>
            </w:r>
          </w:p>
          <w:p w14:paraId="64A4EB9D" w14:textId="136E4C4A" w:rsidR="006733A9" w:rsidRDefault="006733A9" w:rsidP="006733A9">
            <w:r w:rsidRPr="0050171D">
              <w:rPr>
                <w:b/>
                <w:bCs/>
                <w:i/>
                <w:iCs/>
              </w:rPr>
              <w:t>A jogi akadály kezelésének módja</w:t>
            </w:r>
            <w:r>
              <w:t>: A műszaki tervezés jogszabályoknak megfelelő megvalósítása.</w:t>
            </w:r>
          </w:p>
        </w:tc>
      </w:tr>
      <w:tr w:rsidR="00922FBC" w14:paraId="60554619" w14:textId="77777777" w:rsidTr="00922FBC">
        <w:tc>
          <w:tcPr>
            <w:tcW w:w="9062" w:type="dxa"/>
            <w:shd w:val="clear" w:color="auto" w:fill="E7E6E6" w:themeFill="background2"/>
          </w:tcPr>
          <w:p w14:paraId="514F0A91" w14:textId="1BAB255D" w:rsidR="00922FBC" w:rsidRDefault="00922FBC" w:rsidP="00922FBC">
            <w:pPr>
              <w:pStyle w:val="Cmsor2"/>
              <w:outlineLvl w:val="1"/>
            </w:pPr>
            <w:bookmarkStart w:id="25" w:name="_Toc133510176"/>
            <w:r>
              <w:lastRenderedPageBreak/>
              <w:t>3.3</w:t>
            </w:r>
            <w:r w:rsidRPr="0050171D">
              <w:t xml:space="preserve"> Társasházak</w:t>
            </w:r>
            <w:bookmarkEnd w:id="25"/>
          </w:p>
        </w:tc>
      </w:tr>
      <w:tr w:rsidR="00922FBC" w14:paraId="173B965B" w14:textId="77777777" w:rsidTr="006733A9">
        <w:tc>
          <w:tcPr>
            <w:tcW w:w="9062" w:type="dxa"/>
          </w:tcPr>
          <w:p w14:paraId="03618369" w14:textId="77777777" w:rsidR="00922FBC" w:rsidRDefault="00922FBC" w:rsidP="00922FBC">
            <w:r>
              <w:t>A projektelemek többsége társasházakat érint, a tulajdonosoknak együtt kell döntéseket hozniuk a beruházásról és annak fenntartásáról. A társasházakról szóló 2003. évi CXXXIII. törvény kimondja, hogy „a társasház tulajdonostársainak közössége az általa viselt közös név alatt az épület fenntartása és a közös tulajdonnal kapcsolatos ügyek intézése során jogokat szerezhet és kötelezettségeket vállalhat, gyakorolja a közös tulajdonnal kapcsolatos tulajdonosi jogokat, viseli a közös tulajdon terheit. A közösség egészét terhelő kötelezettség teljesítéséért a tulajdonostársak tulajdoni hányaduk – vagy a szervezeti-működési szabályzatban ettől eltérően meghatározott mérték – szerint felelnek az egyszerű (sortartásos) kezesség szabályai szerint.”</w:t>
            </w:r>
          </w:p>
          <w:p w14:paraId="4EFAF397" w14:textId="77777777" w:rsidR="00922FBC" w:rsidRDefault="00922FBC" w:rsidP="00922FBC">
            <w:r>
              <w:t>A beruházások többsége közös tulajdont érint (pl. napelemek felszerelése a tetőre), mivel a társasházak homlokzata, a felszálló vezetékek és a tető a legtöbb esetben osztatlan közös tulajdonban van, ezért átlagos esetben minden lakó tulajdonosi hozzájárulása szükséges lesz a projekt elindításához. Napelemek tetőre történő telepítését megelőzően szükséges továbbá felmérni, hogy a tetőszerkezet teherbíróképessége megfelelő-e, illetve a lakóház betápláló vezetéke és az épületen belüli hálózat alkalmas-e a napelemek rákötésére. A társasházak esetében felmerülhetnek továbbá olyan szükségszerű felújítások, melyek nem az energiahatékonyságot szolgálják (pl. lépcsőházfestés, kamerarendszer telepítés), de prioritást élveznek a lakók körében a projekt beavatkozásaival szemben. A lakók esetleges ellenállásának elkerülése érdekében részletes tájékoztatók fognak készülni többek között az energetikai beruházással elérhető előnyök bemutatásával, kiemelve, hogy a megtakarított energiaköltségek megteremtik a fedezetet a halogatott felújítások végrehajtásához. A folyamatot továbbá segítheti az érdekeltek (stakeholderek), így a lakosság bevonása a közös gondolkodásba, a munkálatok ütemezésének és módjának megtervezésébe, valamint a szabályok meghatározásába.</w:t>
            </w:r>
          </w:p>
          <w:p w14:paraId="0C5FB449" w14:textId="77777777" w:rsidR="00922FBC" w:rsidRDefault="00922FBC" w:rsidP="00922FBC">
            <w:r>
              <w:t xml:space="preserve">A projekt szempontjából lényeges változtatással módosult a társasházakról szóló 2003. évi CXXXIII. törvény 2022. augusztus 9-én (10-i hatálybalépés). A szomszédos országban fennálló fegyveres konfliktus, illetve humanitárius katasztrófa magyarországi következményeinek elhárításáról szóló 2022. évi VI. törvény hatályvesztéséig érvényes módosítás legfontosabb elemének értelmében a közös tulajdonban álló épületrészekre napkollektor, napelemes rendszer telepítéséről és üzemeltetéséről a közgyűlés az összes tulajdoni hányad szerinti, legalább 75%-os többségével rendelkező tulajdonostársak igenlő szavazatával dönthet. Így a veszélyhelyzet ideje alatt nincs szükség minden tulajdonos hozzájárulására napelemes rendszer telepítéséhez – ez a tényező korábban komoly akadályt jelentett. A rendelet továbbá kimondja, hogy meg kell állapítani a </w:t>
            </w:r>
            <w:r>
              <w:lastRenderedPageBreak/>
              <w:t>rendszer telepítésével és üzemeltetésével kapcsolatos részletszabályokat, így a csatlakozás feltételeit, valamint a költségek és a bevételek megosztását</w:t>
            </w:r>
            <w:r>
              <w:rPr>
                <w:rStyle w:val="Lbjegyzet-hivatkozs"/>
              </w:rPr>
              <w:footnoteReference w:id="40"/>
            </w:r>
            <w:r>
              <w:t xml:space="preserve">. A rendelet egyéb pontjai: a külön tulajdonban álló lakás vagy nem lakás céljára szolgáló helyiség energiaellátására csak abban az esetben telepíthető a közös tulajdonban álló épületrészre fotovoltaikus rendszer, ha az a közös költség csökkentésére telepítendő napelem felhelyezését nem akadályozza vagy korlátozza. Legfeljebb hatlakásos társasház-közösségre pedig a Tht. 13. § (3) bekezdésében foglaltak alapján a Polgári Törvénykönyvről szóló 2013. évi V. törvénynek a közös tulajdonra vonatkozó szabályai érvényesek. A szabályozást a 347/2022. (IX. 9.) Korm. rendelet ismételten módosította. Ennek köszönhetően „a közös tulajdonban álló épületrészre – a társasházközösség közös költségének csökkentése érdekében telepítendő és üzemeltetendő – napkollektor, napelemes rendszer telepítését és üzemeltetését a közgyűlés, illetve a megismételt közgyűlés a jelen lévő tulajdonostársak tulajdoni hányada több mint felének szavazatával megtilthatja”. </w:t>
            </w:r>
          </w:p>
          <w:p w14:paraId="4E94127C" w14:textId="77777777" w:rsidR="00922FBC" w:rsidRDefault="00922FBC" w:rsidP="00922FBC">
            <w:r>
              <w:t>A társasházi napelemek telepítése esetén fontos szempont a megfelelő előkészítés. Ennek során tisztázni kell, hogy a termelt villamosenergia melyik villanyórán keresztül termel vissza a hálózatba. Van-e olyan közös mérőórája a társasháznak, amelyen keresztül le tudja bonyolítani az áram adásvételt. Azt is érdemes megvizsgálni ebben az esetben, hogy a napelem telepítése megtérül-e abban az esetben, ha csak az épület közös villamosenergia költségeit akarják vele kiváltani – vagyis nem kapcsolódik a lakók külön mérőóráihoz a rendszer. A közös villamosenergia költségek épületenként eltérőek lehetnek, attól függően, hogy pl. csak a közös tulajdonú területek világítása vagy a teljes épület fűtési és használati melegvíz előállítása történik-e elektromos kazán segítségével.</w:t>
            </w:r>
          </w:p>
          <w:p w14:paraId="21960135" w14:textId="77777777" w:rsidR="00922FBC" w:rsidRDefault="00922FBC" w:rsidP="00922FBC">
            <w:r>
              <w:t>Az említett törvény szerint „A közös tulajdonba tartozó épületrész, épületberendezés, nem lakás céljára szolgáló helyiség és lakás fenntartásának költsége, valamint a rendes gazdálkodás körét meghaladó kiadás (a továbbiakban együtt: közös költség) a tulajdonostársakat tulajdoni hányaduk szerint terheli, ha a szervezeti-működési szabályzat másképp nem rendelkezik.” Azaz a karbantartási és egyéb projekttel kapcsolatosan felmerülő fenntartási költségek megoszlása is szabályozott.</w:t>
            </w:r>
          </w:p>
          <w:p w14:paraId="12B8FFC9" w14:textId="77777777" w:rsidR="00922FBC" w:rsidRDefault="00922FBC" w:rsidP="00922FBC">
            <w:r>
              <w:t>A társasházak „legfőbb döntéshozó szerve a tulajdonostársakból álló közgyűlés, amelyen valamennyi tulajdonostárs részt vehet. A közösség ügyintézését a közös képviselő vagy az intézőbizottság látja el. Abban a társasházban, amelyben huszonöt lakásnál több lakás van, a közösség gazdálkodásának ellenőrzésére számvizsgáló bizottság” is működik. A projektmenedzsmentnek a két érintett településen a közös képviselőkkel vagy az intézőbizottságokkal szorosan együtt kell működnie.</w:t>
            </w:r>
          </w:p>
          <w:p w14:paraId="5E3977F7" w14:textId="4A584BA3" w:rsidR="00922FBC" w:rsidRDefault="00922FBC" w:rsidP="00922FBC">
            <w:r>
              <w:t>„A közgyűlés kizárólagos hatáskörében határoz:</w:t>
            </w:r>
            <w:r w:rsidR="00EE17F2">
              <w:rPr>
                <w:rStyle w:val="Lbjegyzet-hivatkozs"/>
              </w:rPr>
              <w:footnoteReference w:id="41"/>
            </w:r>
            <w:r>
              <w:t xml:space="preserve"> ..., b) a közös tulajdonban álló épületrészek használatáról, hasznosításáról, fenntartásáról és a rendes gazdálkodás körét meghaladó kiadások vállalásáról”. Ebből fakadóan a projekt megvalósítása és fenntartása a közgyűlés határozatain fog múlni. Amennyiben a projekthez (is) kapcsolódó közös költséget (pl. karbantartás költsége) nem fizeti minden egyes tulajdonostárs, akkor abban az esetben „a közgyűlés a határozatával a legalább három hónapnak megfelelő közös költség összegének befizetésével hátralékba került tulajdonostárs </w:t>
            </w:r>
            <w:r>
              <w:lastRenderedPageBreak/>
              <w:t>külön tulajdonának és a hozzá tartozó közös tulajdoni hányadának jelzálogjoggal való megterhelését rendelheti el a hátralék megfizetésének biztosítékául.</w:t>
            </w:r>
          </w:p>
          <w:p w14:paraId="5DBC368A" w14:textId="77777777" w:rsidR="00922FBC" w:rsidRDefault="00922FBC" w:rsidP="00922FBC">
            <w:r w:rsidRPr="0050171D">
              <w:rPr>
                <w:b/>
                <w:bCs/>
                <w:i/>
                <w:iCs/>
              </w:rPr>
              <w:t>Az akadály jelentősége a projekt szempontjából</w:t>
            </w:r>
            <w:r>
              <w:t>: Közepes</w:t>
            </w:r>
          </w:p>
          <w:p w14:paraId="188536FC" w14:textId="77777777" w:rsidR="00922FBC" w:rsidRDefault="00922FBC" w:rsidP="00922FBC">
            <w:r w:rsidRPr="0050171D">
              <w:rPr>
                <w:b/>
                <w:bCs/>
                <w:i/>
                <w:iCs/>
              </w:rPr>
              <w:t>Kompetenciaszint</w:t>
            </w:r>
            <w:r>
              <w:t>: Helyi önkormányzat, Magyar Állam (illetékes minisztériumok, magyar kormány)</w:t>
            </w:r>
          </w:p>
          <w:p w14:paraId="3BADD7C6" w14:textId="3B579F7E" w:rsidR="00922FBC" w:rsidRDefault="00922FBC" w:rsidP="00922FBC">
            <w:r w:rsidRPr="0050171D">
              <w:rPr>
                <w:b/>
                <w:bCs/>
                <w:i/>
                <w:iCs/>
              </w:rPr>
              <w:t>A jogi akadály kezelésének módja</w:t>
            </w:r>
            <w:r>
              <w:t>: A lakók és a lakástulajdonosok teljes körű bevonása a projekt tervezésébe és megvalósításába, a közös képviselőkkel, intézőbizottságokkal szoros kapcsolat kialakítása. A projekt előnyeinek közérthető bemutatása, a felmerülő lakossági problémák kezelése.</w:t>
            </w:r>
          </w:p>
        </w:tc>
      </w:tr>
      <w:tr w:rsidR="006733A9" w14:paraId="738D9F45" w14:textId="77777777" w:rsidTr="00922FBC">
        <w:tc>
          <w:tcPr>
            <w:tcW w:w="9062" w:type="dxa"/>
            <w:shd w:val="clear" w:color="auto" w:fill="E7E6E6" w:themeFill="background2"/>
          </w:tcPr>
          <w:p w14:paraId="3B743121" w14:textId="0F07072E" w:rsidR="006733A9" w:rsidRDefault="006733A9" w:rsidP="006733A9">
            <w:pPr>
              <w:pStyle w:val="Cmsor2"/>
              <w:outlineLvl w:val="1"/>
            </w:pPr>
            <w:bookmarkStart w:id="26" w:name="_Toc133510177"/>
            <w:r>
              <w:lastRenderedPageBreak/>
              <w:t>3.</w:t>
            </w:r>
            <w:r w:rsidR="00922FBC">
              <w:t>4</w:t>
            </w:r>
            <w:r>
              <w:t xml:space="preserve"> </w:t>
            </w:r>
            <w:r w:rsidRPr="00335E1C">
              <w:t>Energiaközösségek</w:t>
            </w:r>
            <w:bookmarkEnd w:id="26"/>
          </w:p>
        </w:tc>
      </w:tr>
      <w:tr w:rsidR="006733A9" w14:paraId="2FEFC23C" w14:textId="77777777" w:rsidTr="006733A9">
        <w:tc>
          <w:tcPr>
            <w:tcW w:w="9062" w:type="dxa"/>
          </w:tcPr>
          <w:p w14:paraId="7213FBFC" w14:textId="77777777" w:rsidR="00922FBC" w:rsidRDefault="00922FBC" w:rsidP="00922FBC">
            <w:r>
              <w:t>A projekt esetében – a korábban leírtak szerint – energiaközösségeket kell létrehozni. Az európai uniós szabályozás (az Európai Parlament és a Tanács (EU) 2019/944 Irányelve) értelmében a helyi energiaközösség olyan jogalany:</w:t>
            </w:r>
          </w:p>
          <w:p w14:paraId="03B6EA49" w14:textId="77777777" w:rsidR="00922FBC" w:rsidRDefault="00922FBC" w:rsidP="00922FBC">
            <w:pPr>
              <w:pStyle w:val="Listaszerbekezds"/>
              <w:numPr>
                <w:ilvl w:val="0"/>
                <w:numId w:val="13"/>
              </w:numPr>
            </w:pPr>
            <w:r>
              <w:t>„amely önkéntes és nyitott részvételen alapul, és amelyet ténylegesen tagok vagy részvényesek irányítanak, akik, illetve amelyek természetes személyek, helyi hatóságok, ideértve az önkormányzatokat vagy a kisvállalkozásokat is”;</w:t>
            </w:r>
          </w:p>
          <w:p w14:paraId="1B46B030" w14:textId="77777777" w:rsidR="00922FBC" w:rsidRDefault="00922FBC" w:rsidP="00922FBC">
            <w:pPr>
              <w:pStyle w:val="Listaszerbekezds"/>
              <w:numPr>
                <w:ilvl w:val="0"/>
                <w:numId w:val="13"/>
              </w:numPr>
            </w:pPr>
            <w:r>
              <w:t>„amelynek elsődleges célja nem a pénzügyi haszonszerzés, hanem hogy tagjai vagy részvényesei vagy a működése alá tartozó helyi területek számára környezeti, gazdasági és szociális közösségi előnyöket biztosítson”;</w:t>
            </w:r>
          </w:p>
          <w:p w14:paraId="01E1E7B9" w14:textId="77777777" w:rsidR="00922FBC" w:rsidRDefault="00922FBC" w:rsidP="00922FBC">
            <w:pPr>
              <w:pStyle w:val="Listaszerbekezds"/>
              <w:numPr>
                <w:ilvl w:val="0"/>
                <w:numId w:val="13"/>
              </w:numPr>
            </w:pPr>
            <w:r>
              <w:t>„amely részt vehet energiatermelésben, beleértve a megújuló forrásokat, az energiaelosztásban, az energiaellátásban, az energiafogyasztásban, az aggregálásban, az energiatárolásban vagy az energiahatékonysági szolgáltatásokban, vagy az elektromos járművek feltöltésére irányuló szolgáltatásokban, vagy egyéb energetikai szolgáltatásokat nyújthat tagjai vagy részvényesei számára”.</w:t>
            </w:r>
          </w:p>
          <w:p w14:paraId="52836638" w14:textId="77777777" w:rsidR="00922FBC" w:rsidRDefault="00922FBC" w:rsidP="00922FBC">
            <w:r>
              <w:t>Magyarországon még kevésbé kiforrott az energiaközösség koncepciója és gyakorlati megvalósítása, illetve csak a villamos energiával foglalkozott a hazai jogalkotó. Az energiaközösségekre vonatkozó hazai joganyag összefoglalója az alábbiakban látható:</w:t>
            </w:r>
          </w:p>
          <w:p w14:paraId="15F54D29" w14:textId="77777777" w:rsidR="00922FBC" w:rsidRDefault="00922FBC" w:rsidP="00922FBC">
            <w:r>
              <w:t>A villamos energiáról 2007. évi LXXXVI. törvény (VET) 66./B §-a a következő meghatározást teszi: „Az energiaközösség szövetkezet vagy nonprofit gazdasági társaság formában működő jogalany, amelynek elsődleges célja nem a pénzügyi haszonszerzés, hanem hogy a tagjai számára, vagy az energiaközösség létesítő okiratában megjelölt működési területen környezeti, gazdasági és szociális közösségi előnyöket biztosítson azáltal, hogy villamosenergia termelés, tárolás, fogyasztás, elosztói rugalmassági szolgáltatás nyújtása, villamosenergia-megosztás, aggregálás, a közúti közlekedésről szóló törvény szerinti elektromobilitás szolgáltatás nyújtása és elektromos töltőberendezés üzemeltetése tevékenységek közül legalább az egyiket végzi.”</w:t>
            </w:r>
          </w:p>
          <w:p w14:paraId="7E9DEE10" w14:textId="77777777" w:rsidR="00922FBC" w:rsidRDefault="00922FBC" w:rsidP="00922FBC">
            <w:r>
              <w:t>A törvény elkülöníti a megújulóenergia-közösség (megújuló energiaforrásból termel villamos energiát, ilyen villamos energiát fogyaszt, tárol vagy értékesít) fogalmát is, amire az energiaközösségre vonatkozó szabályok érvényesek.</w:t>
            </w:r>
          </w:p>
          <w:p w14:paraId="0BC2E9A8" w14:textId="77777777" w:rsidR="00922FBC" w:rsidRDefault="00922FBC" w:rsidP="00922FBC">
            <w:r>
              <w:t>Az energiaközösség a megfelelő engedéllyel végezheti a következő tevékenységeket:</w:t>
            </w:r>
          </w:p>
          <w:p w14:paraId="4F8A7FA9" w14:textId="77777777" w:rsidR="00922FBC" w:rsidRDefault="00922FBC" w:rsidP="00922FBC">
            <w:pPr>
              <w:pStyle w:val="Listaszerbekezds"/>
              <w:numPr>
                <w:ilvl w:val="0"/>
                <w:numId w:val="14"/>
              </w:numPr>
            </w:pPr>
            <w:r>
              <w:t>kiserőmű létesítése, villamosenergia-termelés, valamint annak megszüntetése;</w:t>
            </w:r>
          </w:p>
          <w:p w14:paraId="0F5067FD" w14:textId="77777777" w:rsidR="00922FBC" w:rsidRDefault="00922FBC" w:rsidP="00922FBC">
            <w:pPr>
              <w:pStyle w:val="Listaszerbekezds"/>
              <w:numPr>
                <w:ilvl w:val="0"/>
                <w:numId w:val="14"/>
              </w:numPr>
            </w:pPr>
            <w:r>
              <w:t>50 MW és az ezt meghaladó névleges teljesítőképességű erőmű létesítése, bővítése, teljesítményének növelése vagy csökkentése, illetve villamosenergia-termelés, valamint annak megszüntetése;</w:t>
            </w:r>
          </w:p>
          <w:p w14:paraId="1AB2167A" w14:textId="77777777" w:rsidR="00922FBC" w:rsidRDefault="00922FBC" w:rsidP="00922FBC">
            <w:pPr>
              <w:pStyle w:val="Listaszerbekezds"/>
              <w:numPr>
                <w:ilvl w:val="0"/>
                <w:numId w:val="14"/>
              </w:numPr>
            </w:pPr>
            <w:r>
              <w:t>villamosenergia-kereskedelem;</w:t>
            </w:r>
          </w:p>
          <w:p w14:paraId="3D14F753" w14:textId="77777777" w:rsidR="00922FBC" w:rsidRDefault="00922FBC" w:rsidP="00922FBC">
            <w:pPr>
              <w:pStyle w:val="Listaszerbekezds"/>
              <w:numPr>
                <w:ilvl w:val="0"/>
                <w:numId w:val="14"/>
              </w:numPr>
            </w:pPr>
            <w:r>
              <w:t>a 0,5 MW és az ezt meghaladó névleges kimeneti teljesítőképességű villamosenergia-tároló üzemeltetése;</w:t>
            </w:r>
          </w:p>
          <w:p w14:paraId="6860FD0C" w14:textId="77777777" w:rsidR="00922FBC" w:rsidRDefault="00922FBC" w:rsidP="00922FBC">
            <w:pPr>
              <w:pStyle w:val="Listaszerbekezds"/>
              <w:numPr>
                <w:ilvl w:val="0"/>
                <w:numId w:val="14"/>
              </w:numPr>
            </w:pPr>
            <w:r>
              <w:lastRenderedPageBreak/>
              <w:t>a jogszabálynak megfelelően a közvetlen- és magánvezetékek létesítése, bővítése, megszüntetése.</w:t>
            </w:r>
          </w:p>
          <w:p w14:paraId="6BD8A3A7" w14:textId="77777777" w:rsidR="00922FBC" w:rsidRDefault="00922FBC" w:rsidP="00922FBC">
            <w:r>
              <w:t>Az energiaközösségek számára nem opció a szaldós elszámolás, így kereskedőre van szükségük a tevékenységhez. Nem végezhet az energiaközösség átviteli rendszerirányítást, villamosenergia-elosztást, egyetemes szolgáltatást és szervezett villamosenergia-piacot sem működtethet. Tevékenysége nem terjedhet ki az országhatáron túlra. Egyelőre jogilag nem megvalósítható egy társasházi energiaközösség számára az alábbi kritériumok együttese:</w:t>
            </w:r>
          </w:p>
          <w:p w14:paraId="710B25E4" w14:textId="2BB31923" w:rsidR="00922FBC" w:rsidRDefault="00412998" w:rsidP="00922FBC">
            <w:pPr>
              <w:pStyle w:val="Listaszerbekezds"/>
              <w:numPr>
                <w:ilvl w:val="0"/>
                <w:numId w:val="15"/>
              </w:numPr>
            </w:pPr>
            <w:r w:rsidRPr="00412998">
              <w:t>az energiaközösséget alapított társasház</w:t>
            </w:r>
            <w:r>
              <w:t xml:space="preserve"> </w:t>
            </w:r>
            <w:r w:rsidR="00922FBC">
              <w:t>egy közös villanyórán/árammérőn át kapcsolódhasson az országos hálózathoz, biztosítva a villamosenergia adás-vétel precíz elszámolását,</w:t>
            </w:r>
          </w:p>
          <w:p w14:paraId="53B98F24" w14:textId="77777777" w:rsidR="00922FBC" w:rsidRDefault="00922FBC" w:rsidP="00922FBC">
            <w:pPr>
              <w:pStyle w:val="Listaszerbekezds"/>
              <w:numPr>
                <w:ilvl w:val="0"/>
                <w:numId w:val="15"/>
              </w:numPr>
            </w:pPr>
            <w:r>
              <w:t>a társasház napelemes rendszere integrálódjon a társasház villamosenergia-rendszerébe,</w:t>
            </w:r>
          </w:p>
          <w:p w14:paraId="10B546E6" w14:textId="77777777" w:rsidR="00922FBC" w:rsidRDefault="00922FBC" w:rsidP="00922FBC">
            <w:pPr>
              <w:pStyle w:val="Listaszerbekezds"/>
              <w:numPr>
                <w:ilvl w:val="0"/>
                <w:numId w:val="15"/>
              </w:numPr>
            </w:pPr>
            <w:r>
              <w:t>minden lakás külön hitelesített villanyórán/árammérőn át mérje és számolja el a hálózati szolgáltatóval a villamosenergia-fogyasztását, csökkentve az egy lakásra eső napelemek által megtermelt villamosenergia-mennyiséggel,</w:t>
            </w:r>
          </w:p>
          <w:p w14:paraId="156DB1D6" w14:textId="77777777" w:rsidR="00922FBC" w:rsidRDefault="00922FBC" w:rsidP="00922FBC">
            <w:pPr>
              <w:pStyle w:val="Listaszerbekezds"/>
              <w:numPr>
                <w:ilvl w:val="0"/>
                <w:numId w:val="15"/>
              </w:numPr>
            </w:pPr>
            <w:r>
              <w:t>a rezsicsökkentéssel érintett kedvező árú villamosenergia-mennyiség biztosítása az egyes lakások számára.</w:t>
            </w:r>
          </w:p>
          <w:p w14:paraId="2C4C0EC6" w14:textId="77777777" w:rsidR="00922FBC" w:rsidRDefault="00922FBC" w:rsidP="00922FBC">
            <w:r>
              <w:t>Többek közt az előző sorokból is látható, hogy az energiaközösségekre vonatkozó joganyag még hiányos Magyarországon. Ebből fakadóan – jelen projekt szempontjából – elsősorban a társasházak napelemes rendszereinek esetében jelentkezhet probléma. Jelenleg a nagyobb társasházi energiaközösségek nagyfogyasztónak minősülnek. Ebből fakadóan az el nem fogyasztott ”napenergiát” a hálózati szolgáltatónak nagyfogyasztóként adják el és ebben a minőségben is vásárolnak tőle villamosenergiát. Ergo a lakosságra vonatkozó ”rezsicsökkentés” hatálya alól kiesnek ezek a társasházak, a lakóik nem esnek a kedvezményesen beszerezhető áramra jogosultak kategóriájába. Előfordulhat, hogy napelemes beruházás ellenére a villamosenergiára fordított összegek a többszörösére emelkednek a beruházás megvalósítása után, mivel a piaci árakat kénytelenek megfizetni a korábbi, külön mérőórákkal rendelkező lakossági fogyasztói státuszukkal szemben. Ezen lakóközösségek tagjai bár rendelkeznek külön mérőórákkal, ám az MVM csoport egyelőre nem engedélyezi, hogy az egyedi fogyasztásmérőik alapján mindenki külön, kisfogyasztónak számítson.</w:t>
            </w:r>
          </w:p>
          <w:p w14:paraId="7CDF85F6" w14:textId="77777777" w:rsidR="00922FBC" w:rsidRDefault="00922FBC" w:rsidP="00922FBC">
            <w:r>
              <w:t>Korlátozó tényezőként jelenhet meg az energiaközösség kapcsán az is, hogy az energiaközösség ügyvezetője, vagy ügyvezetésének tagja nem lehet az a természetes vagy jogi személy, aki foglalkozását vagy elsődleges gazdasági tevékenységét a villamosenergia, vagy gázellátás területén fejti ki, vagy olyan jogi személyben rendelkezik egyedüli vagy többségi tulajdonnal, meghatározó befolyással, illetve olyan jogi személy vezető tisztségviselője vagy kapcsolt vállalkozása, amely főtevékenységét az említett területén fejti ki.</w:t>
            </w:r>
          </w:p>
          <w:p w14:paraId="26232BE0" w14:textId="77777777" w:rsidR="00922FBC" w:rsidRDefault="00922FBC" w:rsidP="00922FBC">
            <w:r w:rsidRPr="00ED630C">
              <w:rPr>
                <w:b/>
                <w:bCs/>
                <w:i/>
                <w:iCs/>
              </w:rPr>
              <w:t>Az akadály jelentősége a projekt szempontjából</w:t>
            </w:r>
            <w:r>
              <w:t>: Jelentős</w:t>
            </w:r>
          </w:p>
          <w:p w14:paraId="2E56ED71" w14:textId="77777777" w:rsidR="00922FBC" w:rsidRDefault="00922FBC" w:rsidP="00922FBC">
            <w:r w:rsidRPr="00ED630C">
              <w:rPr>
                <w:b/>
                <w:bCs/>
                <w:i/>
                <w:iCs/>
              </w:rPr>
              <w:t>A jogi akadályt állító intézmény, kompetenciaszint</w:t>
            </w:r>
            <w:r>
              <w:t>: Magyar Állam (illetékes minisztériumok, magyar kormány)</w:t>
            </w:r>
          </w:p>
          <w:p w14:paraId="5A209B39" w14:textId="57DFE350" w:rsidR="006733A9" w:rsidRDefault="00922FBC" w:rsidP="005234C3">
            <w:r w:rsidRPr="00ED630C">
              <w:rPr>
                <w:b/>
                <w:bCs/>
                <w:i/>
                <w:iCs/>
              </w:rPr>
              <w:t>A jogi akadály kezelésének módja</w:t>
            </w:r>
            <w:r>
              <w:t>: Az energiaközösségek szabályozását a jogalkotónak részletezni és fejlesztenie szükséges. A helyi önkormányzatok részéről lobbizni kell az országos szabályozás fejlesztéséért. Amíg a szabályozás hiányos marad addig mindössze a társasházak közös energiafogyasztásának mértékéig (világítás, hőszivattyúk, lift stb.) és a háztartási méretű kiserőművek teljesítménykorlátjáig (50kW) célszerű kivitelezni a napelemes rendszereket a későbbi bővítési lehetőségek meghagyásával.</w:t>
            </w:r>
          </w:p>
        </w:tc>
      </w:tr>
      <w:tr w:rsidR="00922FBC" w14:paraId="7F674EFC" w14:textId="77777777" w:rsidTr="00922FBC">
        <w:tc>
          <w:tcPr>
            <w:tcW w:w="9062" w:type="dxa"/>
            <w:shd w:val="clear" w:color="auto" w:fill="E7E6E6" w:themeFill="background2"/>
          </w:tcPr>
          <w:p w14:paraId="72534412" w14:textId="16F79C65" w:rsidR="00922FBC" w:rsidRDefault="00922FBC" w:rsidP="00922FBC">
            <w:pPr>
              <w:pStyle w:val="Cmsor2"/>
              <w:outlineLvl w:val="1"/>
            </w:pPr>
            <w:bookmarkStart w:id="27" w:name="_Toc133510178"/>
            <w:r>
              <w:lastRenderedPageBreak/>
              <w:t>3.5 Közbeszerzések</w:t>
            </w:r>
            <w:bookmarkEnd w:id="27"/>
          </w:p>
        </w:tc>
      </w:tr>
      <w:tr w:rsidR="00922FBC" w14:paraId="3D8D4979" w14:textId="77777777" w:rsidTr="006733A9">
        <w:tc>
          <w:tcPr>
            <w:tcW w:w="9062" w:type="dxa"/>
          </w:tcPr>
          <w:p w14:paraId="396CF6F2" w14:textId="77777777" w:rsidR="00922FBC" w:rsidRDefault="00922FBC" w:rsidP="00922FBC">
            <w:r>
              <w:t>Erzsébetváros, mint a közbeszerzési eljárások szereplői a közbeszerzésekről szóló 2015. évi CXLIII. törvényben megfogalmazott uniós értékhatárokat, valamint nemzeti értékhatárokat kell figyelembe vegye:</w:t>
            </w:r>
          </w:p>
          <w:p w14:paraId="244A7456" w14:textId="77777777" w:rsidR="00922FBC" w:rsidRDefault="00922FBC" w:rsidP="00922FBC">
            <w:pPr>
              <w:pStyle w:val="Listaszerbekezds"/>
              <w:numPr>
                <w:ilvl w:val="0"/>
                <w:numId w:val="16"/>
              </w:numPr>
            </w:pPr>
            <w:r>
              <w:t>uniós értékhatár (2022. január 1. – 2022. december 31.) – építési beruházás, koncesszió esetében 5 382 000 EUR, azaz 1 883 592 360 HUF;</w:t>
            </w:r>
          </w:p>
          <w:p w14:paraId="575DD996" w14:textId="77777777" w:rsidR="00922FBC" w:rsidRDefault="00922FBC" w:rsidP="00922FBC">
            <w:pPr>
              <w:pStyle w:val="Listaszerbekezds"/>
              <w:numPr>
                <w:ilvl w:val="0"/>
                <w:numId w:val="16"/>
              </w:numPr>
            </w:pPr>
            <w:r>
              <w:t xml:space="preserve">nemzeti értékhatárok - árubeszerzés esetében 15,0 millió forint, építési beruházás esetében 50,0 millió forint, építési koncesszió esetében 100,0 millió forint, szolgáltatás megrendelése esetében 15,0 millió forint, szolgáltatási koncesszió esetében 30,0 millió forint; </w:t>
            </w:r>
          </w:p>
          <w:p w14:paraId="4671413C" w14:textId="77777777" w:rsidR="00922FBC" w:rsidRDefault="00922FBC" w:rsidP="00922FBC">
            <w:r>
              <w:t>az ajánlatkérőknek az uniós értékhatárt el nem érő és egyben a nemzeti értékhatárokat elérő értékű közbeszerzések - ide nem értve az építési és a szolgáltatási koncessziót – megvalósításakor a törvény Harmadik Rész szerint kell eljárnia. E rész szerinti eljárás alkalmazható továbbá olyan esetben, amelyre e törvény III. Fejezete azt lehetővé teszi vagy előírja, például akkor, ha egy építési beruházás részekre bontva, több szerződés útján valósul meg. Ekkor a közbeszerzés becsült értékének meghatározásához az összes rész értékét figyelembe kell venni. Ha a közbeszerzés bekezdés szerint megállapított becsült értéke eléri vagy meghaladja az e törvény szerinti uniós értékhatárokat, akkor a Harmadik Rész szerinti eljárás alkalmazható olyan szerződések megkötésére, amelyek önmagában vett becsült értéke építési beruházások esetében 1 000 000 eurónál (349 980 000 HUF) kevesebb.</w:t>
            </w:r>
            <w:r>
              <w:rPr>
                <w:rStyle w:val="Lbjegyzet-hivatkozs"/>
              </w:rPr>
              <w:footnoteReference w:id="42"/>
            </w:r>
          </w:p>
          <w:p w14:paraId="01E06A4D" w14:textId="77777777" w:rsidR="00922FBC" w:rsidRDefault="00922FBC" w:rsidP="00922FBC">
            <w:r>
              <w:t>A közbeszerzések során alkalmazandó eljárásrend hatással van az eljárás időtartamára, ugyanakkor nehéz megállapítani, hogy mennyi időt vesz igénybe egy energetikai közbeszerzései eljárás (6 hónap-1 év). Kiemelendő, hogy a tervezési szakaszban ki kell dolgozni az egész közbeszerzési folyamat reális menetrendjét, beleértve az esetleges jogorvoslati eljárásokat és az egész folyamatot a szerződés odaítéléséig és a végrehajtásig. Gyakoriak a túlzottan optimista menetrendek, amelyek a későbbi, végrehajtási szakaszokban hibákhoz vezetnek. Az ilyen menetrendek ugyanis a közbeszerzési folyamat sikertelenségét vagy komoly végrehajtási problémákat eredményezhetnek, mivel nem áll rendelkezésre elegendő idő az ajánlatok elkészítésére, ami korlátozza a benyújtott ajánlatok számát és befolyásolja a minőségüket.</w:t>
            </w:r>
          </w:p>
          <w:p w14:paraId="195AB4BD" w14:textId="77777777" w:rsidR="00922FBC" w:rsidRDefault="00922FBC" w:rsidP="00922FBC">
            <w:r>
              <w:t>A 45/2015. (XI. 2.) MvM rendelet a Közbeszerzési Döntőbizottság eljárásáért fizetendő igazgatási szolgáltatási díjról rögzíti, hogy a Közbeszerzési Döntőbizottság kérelemre indult eljárásáért - ideértve a koncessziós beszerzési eljárással kapcsolatos jogorvoslati eljárást is - igazgatási szolgáltatási díjat kell fizetni. Az igazgatási szolgáltatási díj alapja az uniós értékhatárokat elérő vagy meghaladó értékű közbeszerzési eljárás, koncessziós beszerzési eljárás, valamint tervpályázati eljárás esetében a beszerzés becsült értékének, illetve részajánlattétel esetében a jogorvoslattal érintett rész értékének 0,5%-a, de legalább 200 000 forint, legfeljebb 25 000 000 forint; uniós értékhatár alatti értékű közbeszerzési eljárás, koncessziós beszerzési eljárás, valamint tervpályázati eljárás esetében a beszerzés becsült értékének, illetve részajánlattétel esetében a jogorvoslattal érintett rész értékének 0,5%-a, de legalább 200 000 forint, legfeljebb 6 000 000 forint.</w:t>
            </w:r>
          </w:p>
          <w:p w14:paraId="47D462F2" w14:textId="77777777" w:rsidR="00922FBC" w:rsidRDefault="00922FBC" w:rsidP="00922FBC">
            <w:r>
              <w:t>Az igazgatási szolgáltatási díj mértéke a közbeszerzésekről szóló 2015. évi CXLIII. törvény (a továbbiakban: Kbt.) 3. § 16. pontja szerint megjelölt kérelmi elemek számához igazodóan a következő:</w:t>
            </w:r>
          </w:p>
          <w:p w14:paraId="39E4B5CE" w14:textId="77777777" w:rsidR="00922FBC" w:rsidRDefault="00922FBC" w:rsidP="00922FBC">
            <w:pPr>
              <w:pStyle w:val="Listaszerbekezds"/>
              <w:numPr>
                <w:ilvl w:val="0"/>
                <w:numId w:val="17"/>
              </w:numPr>
            </w:pPr>
            <w:r>
              <w:t>1-3 közötti számú kérelmi elem esetében a díj mértéke megegyezik a fenti bekezdés szerint meghatározott összeggel;</w:t>
            </w:r>
          </w:p>
          <w:p w14:paraId="161F7C27" w14:textId="77777777" w:rsidR="00922FBC" w:rsidRDefault="00922FBC" w:rsidP="00922FBC">
            <w:pPr>
              <w:pStyle w:val="Listaszerbekezds"/>
              <w:numPr>
                <w:ilvl w:val="0"/>
                <w:numId w:val="17"/>
              </w:numPr>
            </w:pPr>
            <w:r>
              <w:t>4-6 közötti számú kérelmi elem esetében a fenti bekezdés szerint meghatározott összeg 125%-a;</w:t>
            </w:r>
          </w:p>
          <w:p w14:paraId="50EA8F40" w14:textId="77777777" w:rsidR="00922FBC" w:rsidRDefault="00922FBC" w:rsidP="00922FBC">
            <w:pPr>
              <w:pStyle w:val="Listaszerbekezds"/>
              <w:numPr>
                <w:ilvl w:val="0"/>
                <w:numId w:val="17"/>
              </w:numPr>
            </w:pPr>
            <w:r>
              <w:lastRenderedPageBreak/>
              <w:t>7-10 közötti számú kérelmi elem esetében a fenti bekezdés szerint meghatározott összeg 150%-a;</w:t>
            </w:r>
          </w:p>
          <w:p w14:paraId="51867519" w14:textId="77777777" w:rsidR="00922FBC" w:rsidRDefault="00922FBC" w:rsidP="00922FBC">
            <w:pPr>
              <w:pStyle w:val="Listaszerbekezds"/>
              <w:numPr>
                <w:ilvl w:val="0"/>
                <w:numId w:val="17"/>
              </w:numPr>
            </w:pPr>
            <w:r>
              <w:t>11-15 közötti számú kérelmi elem esetében a fenti bekezdés szerint meghatározott összeg 175%-a;</w:t>
            </w:r>
          </w:p>
          <w:p w14:paraId="2E471AAC" w14:textId="77777777" w:rsidR="00922FBC" w:rsidRDefault="00922FBC" w:rsidP="00922FBC">
            <w:pPr>
              <w:pStyle w:val="Listaszerbekezds"/>
              <w:numPr>
                <w:ilvl w:val="0"/>
                <w:numId w:val="17"/>
              </w:numPr>
            </w:pPr>
            <w:r>
              <w:t>16 vagy afeletti számú kérelmi elem esetében a fenti bekezdés szerint meghatározott összeg kétszerese.</w:t>
            </w:r>
          </w:p>
          <w:p w14:paraId="78D7031C" w14:textId="77777777" w:rsidR="00922FBC" w:rsidRDefault="00922FBC" w:rsidP="00922FBC"/>
          <w:p w14:paraId="6B9F4613" w14:textId="77777777" w:rsidR="00922FBC" w:rsidRDefault="00922FBC" w:rsidP="00922FBC">
            <w:r w:rsidRPr="00ED630C">
              <w:rPr>
                <w:b/>
                <w:bCs/>
                <w:i/>
                <w:iCs/>
              </w:rPr>
              <w:t>Az akadály jelentősége a projekt szempontjából</w:t>
            </w:r>
            <w:r>
              <w:t>: Alacsony</w:t>
            </w:r>
          </w:p>
          <w:p w14:paraId="58503F50" w14:textId="77777777" w:rsidR="00922FBC" w:rsidRDefault="00922FBC" w:rsidP="00922FBC">
            <w:r w:rsidRPr="00ED630C">
              <w:rPr>
                <w:b/>
                <w:bCs/>
                <w:i/>
                <w:iCs/>
              </w:rPr>
              <w:t>A jogi akadályt állító intézmény, kompetenciaszint</w:t>
            </w:r>
            <w:r>
              <w:t>: Magyar Állam</w:t>
            </w:r>
          </w:p>
          <w:p w14:paraId="17DABCE5" w14:textId="3437816B" w:rsidR="00922FBC" w:rsidRDefault="00922FBC" w:rsidP="00922FBC">
            <w:r w:rsidRPr="00ED630C">
              <w:rPr>
                <w:b/>
                <w:bCs/>
                <w:i/>
                <w:iCs/>
              </w:rPr>
              <w:t>A jogi akadály kezelésének módja</w:t>
            </w:r>
            <w:r>
              <w:t>: A közbeszerzések jogszabályok szerinti megvalósítása, a közbeszerzés tartalmának eljuttatása a – projekt szempontjából releváns – kivitelezők minél szélesebb körének.</w:t>
            </w:r>
          </w:p>
        </w:tc>
      </w:tr>
      <w:tr w:rsidR="00922FBC" w14:paraId="656A3C69" w14:textId="77777777" w:rsidTr="00922FBC">
        <w:tc>
          <w:tcPr>
            <w:tcW w:w="9062" w:type="dxa"/>
            <w:shd w:val="clear" w:color="auto" w:fill="E7E6E6" w:themeFill="background2"/>
          </w:tcPr>
          <w:p w14:paraId="76D85CBA" w14:textId="6CA685B8" w:rsidR="00922FBC" w:rsidRDefault="00922FBC" w:rsidP="00922FBC">
            <w:pPr>
              <w:pStyle w:val="Cmsor2"/>
              <w:outlineLvl w:val="1"/>
            </w:pPr>
            <w:bookmarkStart w:id="28" w:name="_Toc133510179"/>
            <w:r>
              <w:lastRenderedPageBreak/>
              <w:t xml:space="preserve">3.6 </w:t>
            </w:r>
            <w:r w:rsidRPr="00ED630C">
              <w:t>Helyi szintű jogszabályi környezet</w:t>
            </w:r>
            <w:bookmarkEnd w:id="28"/>
          </w:p>
        </w:tc>
      </w:tr>
      <w:tr w:rsidR="00922FBC" w14:paraId="511600AE" w14:textId="77777777" w:rsidTr="006733A9">
        <w:tc>
          <w:tcPr>
            <w:tcW w:w="9062" w:type="dxa"/>
          </w:tcPr>
          <w:p w14:paraId="2DAD1E88" w14:textId="77777777" w:rsidR="00922FBC" w:rsidRDefault="00922FBC" w:rsidP="00922FBC">
            <w:r>
              <w:t>Budapest Főváros VII. kerület Erzsébetváros Önkormányzata Képviselő-testületének 25/2018. (XII.21.) számú rendelete Erzsébetváros Építési Szabályzatáról a következőket rögzíti:</w:t>
            </w:r>
          </w:p>
          <w:p w14:paraId="657906DE" w14:textId="77777777" w:rsidR="00922FBC" w:rsidRDefault="00922FBC" w:rsidP="00922FBC">
            <w:pPr>
              <w:pStyle w:val="Listaszerbekezds"/>
              <w:numPr>
                <w:ilvl w:val="0"/>
                <w:numId w:val="25"/>
              </w:numPr>
            </w:pPr>
            <w:r>
              <w:t>Nem helyezhető el környezetet zavaró hatású építmény, építményrész, rendeltetés, illetve ezek használati módja nem változtatható meg úgy, hogy a környezetet zavaró legyen.</w:t>
            </w:r>
          </w:p>
          <w:p w14:paraId="6F096D14" w14:textId="77777777" w:rsidR="00922FBC" w:rsidRDefault="00922FBC" w:rsidP="00922FBC">
            <w:pPr>
              <w:pStyle w:val="Listaszerbekezds"/>
              <w:numPr>
                <w:ilvl w:val="0"/>
                <w:numId w:val="25"/>
              </w:numPr>
            </w:pPr>
            <w:r>
              <w:t>Tetőtér-beépítés, emelet-ráépítés csak a teljes épületet érintően és egy ütemben alakítható ki, kivéve a tetőkontúron belül tervezett tetőtér-beépítés eseteit.</w:t>
            </w:r>
          </w:p>
          <w:p w14:paraId="08982D7E" w14:textId="57AA90D3" w:rsidR="00922FBC" w:rsidRDefault="00922FBC" w:rsidP="00922FBC">
            <w:r>
              <w:t>A városképi hangsúlyok, kiemelések, tornyok eredeti állapot szerinti tömege visszaépíthető, e rendelet és az EVR eltérő rendelkezései ellenére is.</w:t>
            </w:r>
          </w:p>
        </w:tc>
      </w:tr>
      <w:tr w:rsidR="00922FBC" w14:paraId="3C666B27" w14:textId="77777777" w:rsidTr="00922FBC">
        <w:tc>
          <w:tcPr>
            <w:tcW w:w="9062" w:type="dxa"/>
            <w:shd w:val="clear" w:color="auto" w:fill="E7E6E6" w:themeFill="background2"/>
          </w:tcPr>
          <w:p w14:paraId="46D38A1E" w14:textId="75C3BCD1" w:rsidR="00922FBC" w:rsidRDefault="00922FBC" w:rsidP="00922FBC">
            <w:pPr>
              <w:pStyle w:val="Cmsor2"/>
              <w:outlineLvl w:val="1"/>
            </w:pPr>
            <w:bookmarkStart w:id="29" w:name="_Toc133510180"/>
            <w:r>
              <w:t xml:space="preserve">3.7 </w:t>
            </w:r>
            <w:r w:rsidRPr="00ED630C">
              <w:t>Megvizsgált jogszabályok</w:t>
            </w:r>
            <w:bookmarkEnd w:id="29"/>
          </w:p>
        </w:tc>
      </w:tr>
      <w:tr w:rsidR="00922FBC" w14:paraId="6BD71F1D" w14:textId="77777777" w:rsidTr="006733A9">
        <w:tc>
          <w:tcPr>
            <w:tcW w:w="9062" w:type="dxa"/>
          </w:tcPr>
          <w:p w14:paraId="70A7EC84" w14:textId="77777777" w:rsidR="00922FBC" w:rsidRDefault="00922FBC" w:rsidP="00922FBC">
            <w:pPr>
              <w:pStyle w:val="Listaszerbekezds"/>
              <w:numPr>
                <w:ilvl w:val="0"/>
                <w:numId w:val="18"/>
              </w:numPr>
            </w:pPr>
            <w:r>
              <w:t xml:space="preserve">A közúti közlekedésről szóló 1988. évi I. törvény </w:t>
            </w:r>
          </w:p>
          <w:p w14:paraId="752986B3" w14:textId="77777777" w:rsidR="00922FBC" w:rsidRDefault="00922FBC" w:rsidP="00922FBC">
            <w:pPr>
              <w:pStyle w:val="Listaszerbekezds"/>
              <w:numPr>
                <w:ilvl w:val="0"/>
                <w:numId w:val="18"/>
              </w:numPr>
            </w:pPr>
            <w:r>
              <w:t xml:space="preserve">Az épített környezet alakításáról és védelméről szóló 1997. évi LXXVIII. törvény </w:t>
            </w:r>
          </w:p>
          <w:p w14:paraId="55217FE1" w14:textId="77777777" w:rsidR="00922FBC" w:rsidRDefault="00922FBC" w:rsidP="00922FBC">
            <w:pPr>
              <w:pStyle w:val="Listaszerbekezds"/>
              <w:numPr>
                <w:ilvl w:val="0"/>
                <w:numId w:val="18"/>
              </w:numPr>
            </w:pPr>
            <w:r>
              <w:t xml:space="preserve">A kulturális örökség védelméről szóló 2001. évi LXIV. törvény </w:t>
            </w:r>
          </w:p>
          <w:p w14:paraId="0133C883" w14:textId="77777777" w:rsidR="00922FBC" w:rsidRDefault="00922FBC" w:rsidP="00922FBC">
            <w:pPr>
              <w:pStyle w:val="Listaszerbekezds"/>
              <w:numPr>
                <w:ilvl w:val="0"/>
                <w:numId w:val="18"/>
              </w:numPr>
            </w:pPr>
            <w:r>
              <w:t>A társasházakról szóló 2003. évi CXXXIII. törvény</w:t>
            </w:r>
          </w:p>
          <w:p w14:paraId="3AA0010A" w14:textId="77777777" w:rsidR="00922FBC" w:rsidRDefault="00922FBC" w:rsidP="00922FBC">
            <w:pPr>
              <w:pStyle w:val="Listaszerbekezds"/>
              <w:numPr>
                <w:ilvl w:val="0"/>
                <w:numId w:val="18"/>
              </w:numPr>
            </w:pPr>
            <w:r>
              <w:t xml:space="preserve">A villamos energiáról szóló 2007. évi LXXXVI. törvény </w:t>
            </w:r>
          </w:p>
          <w:p w14:paraId="27549FFF" w14:textId="77777777" w:rsidR="00922FBC" w:rsidRDefault="00922FBC" w:rsidP="00922FBC">
            <w:pPr>
              <w:pStyle w:val="Listaszerbekezds"/>
              <w:numPr>
                <w:ilvl w:val="0"/>
                <w:numId w:val="18"/>
              </w:numPr>
            </w:pPr>
            <w:r>
              <w:t>A közbeszerzésekről szóló 2015. évi CXLIII. törvény</w:t>
            </w:r>
          </w:p>
          <w:p w14:paraId="748AC3E3" w14:textId="77777777" w:rsidR="00922FBC" w:rsidRDefault="00922FBC" w:rsidP="00922FBC">
            <w:pPr>
              <w:pStyle w:val="Listaszerbekezds"/>
              <w:numPr>
                <w:ilvl w:val="0"/>
                <w:numId w:val="18"/>
              </w:numPr>
            </w:pPr>
            <w:r>
              <w:t>A településkép védelméről szóló 2016. évi LXXIV. törvény</w:t>
            </w:r>
          </w:p>
          <w:p w14:paraId="0A89DBE5" w14:textId="77777777" w:rsidR="00922FBC" w:rsidRDefault="00922FBC" w:rsidP="00922FBC">
            <w:pPr>
              <w:pStyle w:val="Listaszerbekezds"/>
              <w:numPr>
                <w:ilvl w:val="0"/>
                <w:numId w:val="18"/>
              </w:numPr>
            </w:pPr>
            <w:r>
              <w:t>Az országos településrendezési és építési követelményekről szóló 253/1997. (XII. 20.) Korm. rendelet</w:t>
            </w:r>
          </w:p>
          <w:p w14:paraId="65C5A08E" w14:textId="77777777" w:rsidR="00922FBC" w:rsidRDefault="00922FBC" w:rsidP="00922FBC">
            <w:pPr>
              <w:pStyle w:val="Listaszerbekezds"/>
              <w:numPr>
                <w:ilvl w:val="0"/>
                <w:numId w:val="18"/>
              </w:numPr>
            </w:pPr>
            <w:r>
              <w:t>A villamosenergia-ipari építésügyi hatósági engedélyezési eljárásokról szóló 382/2007. (XII. 23.) Korm. rendelet</w:t>
            </w:r>
          </w:p>
          <w:p w14:paraId="69AD428C" w14:textId="77777777" w:rsidR="00922FBC" w:rsidRDefault="00922FBC" w:rsidP="00922FBC">
            <w:pPr>
              <w:pStyle w:val="Listaszerbekezds"/>
              <w:numPr>
                <w:ilvl w:val="0"/>
                <w:numId w:val="18"/>
              </w:numPr>
            </w:pPr>
            <w:r>
              <w:t xml:space="preserve">A villamos energiáról szóló 2007. évi LXXXVI. törvény egyes rendelkezéseinek végrehajtásáról szóló 273/2007. (X. 19.) Korm. rendelet </w:t>
            </w:r>
          </w:p>
          <w:p w14:paraId="36DEE255" w14:textId="77777777" w:rsidR="00922FBC" w:rsidRDefault="00922FBC" w:rsidP="00922FBC">
            <w:pPr>
              <w:pStyle w:val="Listaszerbekezds"/>
              <w:numPr>
                <w:ilvl w:val="0"/>
                <w:numId w:val="18"/>
              </w:numPr>
            </w:pPr>
            <w:r>
              <w:t>A megújuló energiaforrásból vagy hulladékból nyert energiával termelt villamos energia, valamint a kapcsoltan termelt villamos energia kötelező átvételéről és átvételi áráról szóló 389/2007. (XII. 23.) Korm. rendelet</w:t>
            </w:r>
          </w:p>
          <w:p w14:paraId="1F9D98D1" w14:textId="77777777" w:rsidR="00922FBC" w:rsidRDefault="00922FBC" w:rsidP="00922FBC">
            <w:pPr>
              <w:pStyle w:val="Listaszerbekezds"/>
              <w:numPr>
                <w:ilvl w:val="0"/>
                <w:numId w:val="18"/>
              </w:numPr>
            </w:pPr>
            <w:r>
              <w:t>Az épületek energetikai jellemzőinek tanúsításáról szóló 176/2008. (VI. 30.) Korm. rendelet</w:t>
            </w:r>
          </w:p>
          <w:p w14:paraId="7BFC5DC4" w14:textId="77777777" w:rsidR="00922FBC" w:rsidRDefault="00922FBC" w:rsidP="00922FBC">
            <w:pPr>
              <w:pStyle w:val="Listaszerbekezds"/>
              <w:numPr>
                <w:ilvl w:val="0"/>
                <w:numId w:val="18"/>
              </w:numPr>
            </w:pPr>
            <w:r>
              <w:t>Az építőipari kivitelezési tevékenységről szóló 191/2009. (IX.15) Korm. rendelet</w:t>
            </w:r>
          </w:p>
          <w:p w14:paraId="1BA63239" w14:textId="77777777" w:rsidR="00922FBC" w:rsidRDefault="00922FBC" w:rsidP="00922FBC">
            <w:pPr>
              <w:pStyle w:val="Listaszerbekezds"/>
              <w:numPr>
                <w:ilvl w:val="0"/>
                <w:numId w:val="18"/>
              </w:numPr>
            </w:pPr>
            <w:r>
              <w:t>A megújuló energiaforrásból termelt villamos energia kötelező átvételi és prémium típusú támogatásáról szóló 299/2017. (X. 17.) Korm. rendelet</w:t>
            </w:r>
          </w:p>
          <w:p w14:paraId="51E17EA9" w14:textId="77777777" w:rsidR="00922FBC" w:rsidRDefault="00922FBC" w:rsidP="00922FBC">
            <w:pPr>
              <w:pStyle w:val="Listaszerbekezds"/>
              <w:numPr>
                <w:ilvl w:val="0"/>
                <w:numId w:val="18"/>
              </w:numPr>
            </w:pPr>
            <w:r>
              <w:t xml:space="preserve">A kulturális örökség védelmével kapcsolatos szabályokról szóló 68/2018. (IV. 9.) Korm. rendelet </w:t>
            </w:r>
          </w:p>
          <w:p w14:paraId="52C4FDF3" w14:textId="77777777" w:rsidR="00922FBC" w:rsidRDefault="00922FBC" w:rsidP="00922FBC">
            <w:pPr>
              <w:pStyle w:val="Listaszerbekezds"/>
              <w:numPr>
                <w:ilvl w:val="0"/>
                <w:numId w:val="18"/>
              </w:numPr>
            </w:pPr>
            <w:r>
              <w:lastRenderedPageBreak/>
              <w:t>Egyes egyetemes szolgáltatási árszabások meghatározásáról szóló 259/2022. (VII. 21.) Korm. rendelet</w:t>
            </w:r>
          </w:p>
          <w:p w14:paraId="6A4F23F9" w14:textId="77777777" w:rsidR="00922FBC" w:rsidRDefault="00922FBC" w:rsidP="00922FBC">
            <w:pPr>
              <w:pStyle w:val="Listaszerbekezds"/>
              <w:numPr>
                <w:ilvl w:val="0"/>
                <w:numId w:val="18"/>
              </w:numPr>
            </w:pPr>
            <w:r>
              <w:t>A veszélyhelyzet ideje alatt a társasházakról szóló 2003. évi CXXXIII. törvénnyel kapcsolatos egyes rendelkezésekről szóló 293/2022. (VIII. 9.) Korm. rendeletnek a napkollektorok és napelemes rendszerek társasházi felhelyezésének további egyszerűsítésével összefüggő módosításáról szóló 347/2022. (IX. 9.) Korm. rendelet</w:t>
            </w:r>
          </w:p>
          <w:p w14:paraId="7923F958" w14:textId="77777777" w:rsidR="00922FBC" w:rsidRDefault="00922FBC" w:rsidP="00922FBC">
            <w:pPr>
              <w:pStyle w:val="Listaszerbekezds"/>
              <w:numPr>
                <w:ilvl w:val="0"/>
                <w:numId w:val="18"/>
              </w:numPr>
            </w:pPr>
            <w:r>
              <w:t>A megújuló energiaforrásból termelt villamos energia működési támogatásának mértékéről szóló 13/2017. (XI. 8.) MEKH rendelet</w:t>
            </w:r>
          </w:p>
          <w:p w14:paraId="7421A8C4" w14:textId="77777777" w:rsidR="00922FBC" w:rsidRDefault="00922FBC" w:rsidP="00922FBC">
            <w:pPr>
              <w:pStyle w:val="Listaszerbekezds"/>
              <w:numPr>
                <w:ilvl w:val="0"/>
                <w:numId w:val="18"/>
              </w:numPr>
            </w:pPr>
            <w:r>
              <w:t>Az egyes egyetemes szolgáltatási árszabások meghatározásáról szóló 259/2022. (VII. 21.) Korm. rendelet szerint egyetemes szolgáltatás keretében vételezett földgáz versenypiaci költségeket tükröző árának meghatározásáról szóló 6/2022. (VII. 21.) MEKH rendelet</w:t>
            </w:r>
          </w:p>
          <w:p w14:paraId="4A545486" w14:textId="77777777" w:rsidR="00922FBC" w:rsidRDefault="00922FBC" w:rsidP="00922FBC">
            <w:pPr>
              <w:pStyle w:val="Listaszerbekezds"/>
              <w:numPr>
                <w:ilvl w:val="0"/>
                <w:numId w:val="18"/>
              </w:numPr>
            </w:pPr>
            <w:r>
              <w:t xml:space="preserve">Az egyes egyetemes szolgáltatási árszabások meghatározásáról szóló 259/2022. (VII. 21.) Korm. rendelet szerint egyetemes szolgáltatás keretében vételezett villamos energia lakossági piaci árának meghatározásáról szóló 7/2022. (VII. 21.) MEKH rendelet </w:t>
            </w:r>
          </w:p>
          <w:p w14:paraId="203B731F" w14:textId="77777777" w:rsidR="00922FBC" w:rsidRDefault="00922FBC" w:rsidP="00922FBC">
            <w:pPr>
              <w:pStyle w:val="Listaszerbekezds"/>
              <w:numPr>
                <w:ilvl w:val="0"/>
                <w:numId w:val="18"/>
              </w:numPr>
            </w:pPr>
            <w:r>
              <w:t>A megújuló energiát termelő berendezések és rendszerek beszerzéséhez és működtetéséhez nyújtott támogatások igénybevételének műszaki követelményeiről szóló 55/2016. (XII. 21.) NFM rendelet</w:t>
            </w:r>
          </w:p>
          <w:p w14:paraId="23BC28F5" w14:textId="77777777" w:rsidR="00922FBC" w:rsidRDefault="00922FBC" w:rsidP="00922FBC">
            <w:pPr>
              <w:pStyle w:val="Listaszerbekezds"/>
              <w:numPr>
                <w:ilvl w:val="0"/>
                <w:numId w:val="18"/>
              </w:numPr>
            </w:pPr>
            <w:r>
              <w:t>A megújuló energiaforrásból származó villamos energia termelési támogatás korlátairól és a prémium típusú támogatásra irányuló pályázati eljárásról szóló 62/2016. (XII. 28.) NFM rendelet</w:t>
            </w:r>
          </w:p>
          <w:p w14:paraId="047BF76E" w14:textId="77777777" w:rsidR="00922FBC" w:rsidRDefault="00922FBC" w:rsidP="00922FBC">
            <w:pPr>
              <w:pStyle w:val="Listaszerbekezds"/>
              <w:numPr>
                <w:ilvl w:val="0"/>
                <w:numId w:val="18"/>
              </w:numPr>
            </w:pPr>
            <w:r>
              <w:t>Az épületek energetikai jellemzőinek meghatározásáról szóló 7/2006. (V. 24.) TNM rendelet</w:t>
            </w:r>
          </w:p>
          <w:p w14:paraId="22CFE1D2" w14:textId="77777777" w:rsidR="00922FBC" w:rsidRDefault="00922FBC" w:rsidP="00922FBC">
            <w:pPr>
              <w:pStyle w:val="Listaszerbekezds"/>
              <w:numPr>
                <w:ilvl w:val="0"/>
                <w:numId w:val="18"/>
              </w:numPr>
            </w:pPr>
            <w:r>
              <w:t>A Közbeszerzési Döntőbizottság eljárásáért fizetendő igazgatási szolgáltatási díjról szóló 45/2015. (XI. 2.) MvM rendelet</w:t>
            </w:r>
          </w:p>
          <w:p w14:paraId="15B56B03" w14:textId="4E4C4A70" w:rsidR="00922FBC" w:rsidRPr="00922FBC" w:rsidRDefault="00922FBC" w:rsidP="00922FBC">
            <w:pPr>
              <w:pStyle w:val="Listaszerbekezds"/>
              <w:numPr>
                <w:ilvl w:val="0"/>
                <w:numId w:val="18"/>
              </w:numPr>
            </w:pPr>
            <w:r w:rsidRPr="00E20F38">
              <w:t>Budapest Főváros VII. kerület Erzsébetváros Önkormányzata Képviselő-testületének 25/2018. (XII.21.) számú rendelete Erzsébetváros Építési Szabályzatáról</w:t>
            </w:r>
          </w:p>
        </w:tc>
      </w:tr>
    </w:tbl>
    <w:p w14:paraId="58896EE8" w14:textId="77777777" w:rsidR="006733A9" w:rsidRDefault="006733A9" w:rsidP="001C778C"/>
    <w:p w14:paraId="58911F60" w14:textId="25FEAF9B" w:rsidR="00235CD4" w:rsidRDefault="00235CD4" w:rsidP="00235CD4">
      <w:pPr>
        <w:pStyle w:val="Cmsor1"/>
      </w:pPr>
      <w:bookmarkStart w:id="30" w:name="_Toc133510181"/>
      <w:r w:rsidRPr="00235CD4">
        <w:t>Gazdasági és pénzügyi elemzés</w:t>
      </w:r>
      <w:bookmarkEnd w:id="30"/>
    </w:p>
    <w:tbl>
      <w:tblPr>
        <w:tblStyle w:val="Rcsostblzat"/>
        <w:tblW w:w="9067" w:type="dxa"/>
        <w:tblLayout w:type="fixed"/>
        <w:tblLook w:val="04A0" w:firstRow="1" w:lastRow="0" w:firstColumn="1" w:lastColumn="0" w:noHBand="0" w:noVBand="1"/>
      </w:tblPr>
      <w:tblGrid>
        <w:gridCol w:w="2265"/>
        <w:gridCol w:w="755"/>
        <w:gridCol w:w="803"/>
        <w:gridCol w:w="1275"/>
        <w:gridCol w:w="943"/>
        <w:gridCol w:w="3026"/>
      </w:tblGrid>
      <w:tr w:rsidR="00235CD4" w14:paraId="656D5C2E" w14:textId="77777777" w:rsidTr="004424D4">
        <w:tc>
          <w:tcPr>
            <w:tcW w:w="9067" w:type="dxa"/>
            <w:gridSpan w:val="6"/>
            <w:shd w:val="clear" w:color="auto" w:fill="F2F2F2" w:themeFill="background1" w:themeFillShade="F2"/>
          </w:tcPr>
          <w:p w14:paraId="09D903A4" w14:textId="1828A1CD" w:rsidR="00235CD4" w:rsidRPr="00235CD4" w:rsidRDefault="00235CD4" w:rsidP="00917508">
            <w:pPr>
              <w:pStyle w:val="Cmsor2"/>
              <w:outlineLvl w:val="1"/>
            </w:pPr>
            <w:bookmarkStart w:id="31" w:name="_Toc133510182"/>
            <w:r w:rsidRPr="00235CD4">
              <w:t>4.1. Becsült kiadások és bevételek</w:t>
            </w:r>
            <w:bookmarkEnd w:id="31"/>
          </w:p>
        </w:tc>
      </w:tr>
      <w:tr w:rsidR="00235CD4" w14:paraId="64B56499" w14:textId="77777777" w:rsidTr="004424D4">
        <w:tc>
          <w:tcPr>
            <w:tcW w:w="9067" w:type="dxa"/>
            <w:gridSpan w:val="6"/>
            <w:shd w:val="clear" w:color="auto" w:fill="BDD6EE" w:themeFill="accent5" w:themeFillTint="66"/>
          </w:tcPr>
          <w:p w14:paraId="2F7633FE" w14:textId="43029FDF" w:rsidR="00235CD4" w:rsidRPr="00775B5E" w:rsidRDefault="00775B5E" w:rsidP="00235CD4">
            <w:pPr>
              <w:rPr>
                <w:b/>
                <w:bCs/>
              </w:rPr>
            </w:pPr>
            <w:r w:rsidRPr="00775B5E">
              <w:rPr>
                <w:b/>
                <w:bCs/>
              </w:rPr>
              <w:t>Beruházási költségek</w:t>
            </w:r>
          </w:p>
        </w:tc>
      </w:tr>
      <w:tr w:rsidR="00775B5E" w14:paraId="1F2271D5" w14:textId="77777777" w:rsidTr="004424D4">
        <w:trPr>
          <w:trHeight w:val="345"/>
        </w:trPr>
        <w:tc>
          <w:tcPr>
            <w:tcW w:w="3823" w:type="dxa"/>
            <w:gridSpan w:val="3"/>
            <w:shd w:val="clear" w:color="auto" w:fill="F2F2F2" w:themeFill="background1" w:themeFillShade="F2"/>
          </w:tcPr>
          <w:p w14:paraId="0D962AA8" w14:textId="1A557D64" w:rsidR="00775B5E" w:rsidRPr="00775B5E" w:rsidRDefault="00775B5E" w:rsidP="00775B5E">
            <w:pPr>
              <w:rPr>
                <w:b/>
                <w:bCs/>
              </w:rPr>
            </w:pPr>
            <w:r w:rsidRPr="00775B5E">
              <w:rPr>
                <w:b/>
                <w:bCs/>
              </w:rPr>
              <w:t>Teljes beruházási költség</w:t>
            </w:r>
          </w:p>
        </w:tc>
        <w:tc>
          <w:tcPr>
            <w:tcW w:w="5244" w:type="dxa"/>
            <w:gridSpan w:val="3"/>
            <w:shd w:val="clear" w:color="auto" w:fill="F2F2F2" w:themeFill="background1" w:themeFillShade="F2"/>
          </w:tcPr>
          <w:p w14:paraId="5A0C2634" w14:textId="094D1864" w:rsidR="00775B5E" w:rsidRPr="00775B5E" w:rsidRDefault="00EE7962" w:rsidP="00775B5E">
            <w:pPr>
              <w:rPr>
                <w:b/>
                <w:bCs/>
              </w:rPr>
            </w:pPr>
            <w:r w:rsidRPr="00EE7962">
              <w:rPr>
                <w:b/>
                <w:bCs/>
              </w:rPr>
              <w:t xml:space="preserve">94.068.213 </w:t>
            </w:r>
            <w:r w:rsidR="00775B5E" w:rsidRPr="00775B5E">
              <w:rPr>
                <w:b/>
                <w:bCs/>
              </w:rPr>
              <w:t>EUR</w:t>
            </w:r>
          </w:p>
        </w:tc>
      </w:tr>
      <w:tr w:rsidR="00775B5E" w:rsidRPr="00775B5E" w14:paraId="79B3C61B" w14:textId="77777777" w:rsidTr="004424D4">
        <w:tc>
          <w:tcPr>
            <w:tcW w:w="9067" w:type="dxa"/>
            <w:gridSpan w:val="6"/>
            <w:shd w:val="clear" w:color="auto" w:fill="BDD6EE" w:themeFill="accent5" w:themeFillTint="66"/>
          </w:tcPr>
          <w:p w14:paraId="76A381B4" w14:textId="2450551C" w:rsidR="00775B5E" w:rsidRPr="00775B5E" w:rsidRDefault="00D47DA1" w:rsidP="00E83801">
            <w:pPr>
              <w:rPr>
                <w:b/>
                <w:bCs/>
              </w:rPr>
            </w:pPr>
            <w:r w:rsidRPr="00D47DA1">
              <w:rPr>
                <w:b/>
                <w:bCs/>
              </w:rPr>
              <w:t>Újonnan jelentkező működési költségek</w:t>
            </w:r>
          </w:p>
        </w:tc>
      </w:tr>
      <w:tr w:rsidR="003C43D5" w14:paraId="4E5389B9" w14:textId="77777777" w:rsidTr="00B45764">
        <w:trPr>
          <w:trHeight w:val="348"/>
        </w:trPr>
        <w:tc>
          <w:tcPr>
            <w:tcW w:w="3823" w:type="dxa"/>
            <w:gridSpan w:val="3"/>
            <w:shd w:val="clear" w:color="auto" w:fill="DEEAF6" w:themeFill="accent5" w:themeFillTint="33"/>
          </w:tcPr>
          <w:p w14:paraId="00C3F36C" w14:textId="3EB650B1" w:rsidR="003C43D5" w:rsidRDefault="00D47DA1" w:rsidP="0055144F">
            <w:pPr>
              <w:jc w:val="left"/>
            </w:pPr>
            <w:r w:rsidRPr="00D47DA1">
              <w:t>Újonnan jelentkező becsült karbantartási költség (év)</w:t>
            </w:r>
          </w:p>
        </w:tc>
        <w:tc>
          <w:tcPr>
            <w:tcW w:w="5244" w:type="dxa"/>
            <w:gridSpan w:val="3"/>
            <w:shd w:val="clear" w:color="auto" w:fill="DEEAF6" w:themeFill="accent5" w:themeFillTint="33"/>
            <w:vAlign w:val="center"/>
          </w:tcPr>
          <w:p w14:paraId="785E2237" w14:textId="6B109ED6" w:rsidR="003C43D5" w:rsidRDefault="00BD7EB1" w:rsidP="00B45764">
            <w:pPr>
              <w:jc w:val="left"/>
            </w:pPr>
            <w:r w:rsidRPr="00BD7EB1">
              <w:t>25</w:t>
            </w:r>
            <w:r>
              <w:t>.</w:t>
            </w:r>
            <w:r w:rsidRPr="00BD7EB1">
              <w:t>221</w:t>
            </w:r>
            <w:r>
              <w:t xml:space="preserve"> </w:t>
            </w:r>
            <w:r w:rsidR="003C43D5" w:rsidRPr="009F6B81">
              <w:t>EUR</w:t>
            </w:r>
          </w:p>
        </w:tc>
      </w:tr>
      <w:tr w:rsidR="003C43D5" w:rsidRPr="00775B5E" w14:paraId="238B5F1D" w14:textId="77777777" w:rsidTr="00B45764">
        <w:trPr>
          <w:trHeight w:val="345"/>
        </w:trPr>
        <w:tc>
          <w:tcPr>
            <w:tcW w:w="3823" w:type="dxa"/>
            <w:gridSpan w:val="3"/>
            <w:shd w:val="clear" w:color="auto" w:fill="F2F2F2" w:themeFill="background1" w:themeFillShade="F2"/>
          </w:tcPr>
          <w:p w14:paraId="65EB93FC" w14:textId="1B2A35B7" w:rsidR="003C43D5" w:rsidRPr="003C43D5" w:rsidRDefault="006F28C5" w:rsidP="003C43D5">
            <w:pPr>
              <w:rPr>
                <w:b/>
                <w:bCs/>
              </w:rPr>
            </w:pPr>
            <w:r w:rsidRPr="006F28C5">
              <w:rPr>
                <w:b/>
                <w:bCs/>
              </w:rPr>
              <w:t>Újonnan jelentkező teljes működési költség (év)</w:t>
            </w:r>
          </w:p>
        </w:tc>
        <w:tc>
          <w:tcPr>
            <w:tcW w:w="5244" w:type="dxa"/>
            <w:gridSpan w:val="3"/>
            <w:shd w:val="clear" w:color="auto" w:fill="F2F2F2" w:themeFill="background1" w:themeFillShade="F2"/>
            <w:vAlign w:val="center"/>
          </w:tcPr>
          <w:p w14:paraId="19992774" w14:textId="2005D11E" w:rsidR="003C43D5" w:rsidRPr="00BD7EB1" w:rsidRDefault="00BD7EB1" w:rsidP="00B45764">
            <w:pPr>
              <w:jc w:val="left"/>
              <w:rPr>
                <w:b/>
                <w:bCs/>
              </w:rPr>
            </w:pPr>
            <w:r w:rsidRPr="00BD7EB1">
              <w:rPr>
                <w:b/>
                <w:bCs/>
              </w:rPr>
              <w:t>25.221 EUR</w:t>
            </w:r>
          </w:p>
        </w:tc>
      </w:tr>
      <w:tr w:rsidR="003C43D5" w:rsidRPr="00775B5E" w14:paraId="38FB95EF" w14:textId="77777777" w:rsidTr="004424D4">
        <w:tc>
          <w:tcPr>
            <w:tcW w:w="9067" w:type="dxa"/>
            <w:gridSpan w:val="6"/>
            <w:shd w:val="clear" w:color="auto" w:fill="BDD6EE" w:themeFill="accent5" w:themeFillTint="66"/>
          </w:tcPr>
          <w:p w14:paraId="3285257A" w14:textId="7F40CE05" w:rsidR="003C43D5" w:rsidRPr="003C43D5" w:rsidRDefault="003C43D5" w:rsidP="003C43D5">
            <w:pPr>
              <w:rPr>
                <w:b/>
                <w:bCs/>
              </w:rPr>
            </w:pPr>
            <w:r w:rsidRPr="003C43D5">
              <w:rPr>
                <w:b/>
                <w:bCs/>
              </w:rPr>
              <w:t>Bevételek</w:t>
            </w:r>
          </w:p>
        </w:tc>
      </w:tr>
      <w:tr w:rsidR="006F28C5" w14:paraId="2EE1BAE8" w14:textId="77777777" w:rsidTr="004424D4">
        <w:trPr>
          <w:trHeight w:val="348"/>
        </w:trPr>
        <w:tc>
          <w:tcPr>
            <w:tcW w:w="3823" w:type="dxa"/>
            <w:gridSpan w:val="3"/>
            <w:shd w:val="clear" w:color="auto" w:fill="DEEAF6" w:themeFill="accent5" w:themeFillTint="33"/>
          </w:tcPr>
          <w:p w14:paraId="26B3B8C8" w14:textId="218966E9" w:rsidR="006F28C5" w:rsidRDefault="006F28C5" w:rsidP="00AC0967">
            <w:pPr>
              <w:jc w:val="left"/>
            </w:pPr>
            <w:r w:rsidRPr="00AB1AE2">
              <w:t>Teljes energiamegtakarítás (év</w:t>
            </w:r>
            <w:r>
              <w:t>ente – rezsicsökkentett árakon</w:t>
            </w:r>
            <w:r w:rsidRPr="00AB1AE2">
              <w:t>)</w:t>
            </w:r>
          </w:p>
        </w:tc>
        <w:tc>
          <w:tcPr>
            <w:tcW w:w="5244" w:type="dxa"/>
            <w:gridSpan w:val="3"/>
            <w:shd w:val="clear" w:color="auto" w:fill="DEEAF6" w:themeFill="accent5" w:themeFillTint="33"/>
            <w:vAlign w:val="center"/>
          </w:tcPr>
          <w:p w14:paraId="57C4AB05" w14:textId="281C8EA2" w:rsidR="006F28C5" w:rsidRDefault="00B45764" w:rsidP="006F28C5">
            <w:r w:rsidRPr="00B45764">
              <w:t>1.963.122 EUR</w:t>
            </w:r>
          </w:p>
        </w:tc>
      </w:tr>
      <w:tr w:rsidR="006F28C5" w14:paraId="0E427CF8" w14:textId="77777777" w:rsidTr="004424D4">
        <w:trPr>
          <w:trHeight w:val="345"/>
        </w:trPr>
        <w:tc>
          <w:tcPr>
            <w:tcW w:w="3823" w:type="dxa"/>
            <w:gridSpan w:val="3"/>
            <w:shd w:val="clear" w:color="auto" w:fill="DEEAF6" w:themeFill="accent5" w:themeFillTint="33"/>
          </w:tcPr>
          <w:p w14:paraId="24CC12D3" w14:textId="4441D0B7" w:rsidR="006F28C5" w:rsidRDefault="006F28C5" w:rsidP="00AC0967">
            <w:pPr>
              <w:jc w:val="left"/>
            </w:pPr>
            <w:r w:rsidRPr="00AB1AE2">
              <w:lastRenderedPageBreak/>
              <w:t>Teljes energiamegtakarítás (év</w:t>
            </w:r>
            <w:r>
              <w:t>ente – piaci árakon</w:t>
            </w:r>
            <w:r w:rsidRPr="00AB1AE2">
              <w:t>)</w:t>
            </w:r>
          </w:p>
        </w:tc>
        <w:tc>
          <w:tcPr>
            <w:tcW w:w="5244" w:type="dxa"/>
            <w:gridSpan w:val="3"/>
            <w:shd w:val="clear" w:color="auto" w:fill="DEEAF6" w:themeFill="accent5" w:themeFillTint="33"/>
            <w:vAlign w:val="center"/>
          </w:tcPr>
          <w:p w14:paraId="43FAF980" w14:textId="5C6CE345" w:rsidR="006F28C5" w:rsidRDefault="00B45764" w:rsidP="006F28C5">
            <w:r w:rsidRPr="00B45764">
              <w:t>4.480.673 EUR</w:t>
            </w:r>
          </w:p>
        </w:tc>
      </w:tr>
      <w:tr w:rsidR="006F28C5" w:rsidRPr="003C43D5" w14:paraId="2EB331C8" w14:textId="77777777" w:rsidTr="004424D4">
        <w:trPr>
          <w:trHeight w:val="345"/>
        </w:trPr>
        <w:tc>
          <w:tcPr>
            <w:tcW w:w="3823" w:type="dxa"/>
            <w:gridSpan w:val="3"/>
            <w:shd w:val="clear" w:color="auto" w:fill="F2F2F2" w:themeFill="background1" w:themeFillShade="F2"/>
          </w:tcPr>
          <w:p w14:paraId="2D43EDEE" w14:textId="47A517F2" w:rsidR="006F28C5" w:rsidRPr="00905432" w:rsidRDefault="006F28C5" w:rsidP="006F28C5">
            <w:pPr>
              <w:rPr>
                <w:b/>
                <w:bCs/>
              </w:rPr>
            </w:pPr>
            <w:r w:rsidRPr="00905432">
              <w:rPr>
                <w:b/>
                <w:bCs/>
              </w:rPr>
              <w:t>Összes bevétel (év)</w:t>
            </w:r>
          </w:p>
        </w:tc>
        <w:tc>
          <w:tcPr>
            <w:tcW w:w="5244" w:type="dxa"/>
            <w:gridSpan w:val="3"/>
            <w:shd w:val="clear" w:color="auto" w:fill="F2F2F2" w:themeFill="background1" w:themeFillShade="F2"/>
          </w:tcPr>
          <w:p w14:paraId="220B8327" w14:textId="3E2AFA36" w:rsidR="006F28C5" w:rsidRPr="00B45764" w:rsidRDefault="00B45764" w:rsidP="006F28C5">
            <w:pPr>
              <w:rPr>
                <w:b/>
                <w:bCs/>
              </w:rPr>
            </w:pPr>
            <w:r w:rsidRPr="00B45764">
              <w:rPr>
                <w:b/>
                <w:bCs/>
              </w:rPr>
              <w:t>1.963.122 EUR</w:t>
            </w:r>
          </w:p>
        </w:tc>
      </w:tr>
      <w:tr w:rsidR="006F28C5" w14:paraId="25D2ADF9" w14:textId="77777777" w:rsidTr="004424D4">
        <w:tc>
          <w:tcPr>
            <w:tcW w:w="9067" w:type="dxa"/>
            <w:gridSpan w:val="6"/>
            <w:shd w:val="clear" w:color="auto" w:fill="F2F2F2" w:themeFill="background1" w:themeFillShade="F2"/>
          </w:tcPr>
          <w:p w14:paraId="547EF6E6" w14:textId="4E9F0568" w:rsidR="006F28C5" w:rsidRPr="003C43D5" w:rsidRDefault="006F28C5" w:rsidP="006F28C5">
            <w:pPr>
              <w:pStyle w:val="Cmsor2"/>
              <w:outlineLvl w:val="1"/>
            </w:pPr>
            <w:bookmarkStart w:id="32" w:name="_Toc133510183"/>
            <w:r w:rsidRPr="003C43D5">
              <w:t>4.2. Gazdasági életképesség</w:t>
            </w:r>
            <w:bookmarkEnd w:id="32"/>
          </w:p>
        </w:tc>
      </w:tr>
      <w:tr w:rsidR="006F28C5" w14:paraId="62C90EDE" w14:textId="77777777" w:rsidTr="004424D4">
        <w:trPr>
          <w:trHeight w:val="345"/>
        </w:trPr>
        <w:tc>
          <w:tcPr>
            <w:tcW w:w="3020" w:type="dxa"/>
            <w:gridSpan w:val="2"/>
            <w:shd w:val="clear" w:color="auto" w:fill="BDD6EE" w:themeFill="accent5" w:themeFillTint="66"/>
            <w:vAlign w:val="center"/>
          </w:tcPr>
          <w:p w14:paraId="2EA63A4E" w14:textId="51D2A521" w:rsidR="006F28C5" w:rsidRPr="003C43D5" w:rsidRDefault="006F28C5" w:rsidP="006F28C5">
            <w:pPr>
              <w:jc w:val="center"/>
              <w:rPr>
                <w:b/>
                <w:bCs/>
              </w:rPr>
            </w:pPr>
            <w:r w:rsidRPr="003C43D5">
              <w:rPr>
                <w:b/>
                <w:bCs/>
              </w:rPr>
              <w:t>Egyszerű megtérülési időszak</w:t>
            </w:r>
          </w:p>
        </w:tc>
        <w:tc>
          <w:tcPr>
            <w:tcW w:w="3021" w:type="dxa"/>
            <w:gridSpan w:val="3"/>
            <w:shd w:val="clear" w:color="auto" w:fill="BDD6EE" w:themeFill="accent5" w:themeFillTint="66"/>
            <w:vAlign w:val="center"/>
          </w:tcPr>
          <w:p w14:paraId="3A179E6C" w14:textId="069B9EF2" w:rsidR="006F28C5" w:rsidRPr="003C43D5" w:rsidRDefault="006F28C5" w:rsidP="006F28C5">
            <w:pPr>
              <w:jc w:val="center"/>
              <w:rPr>
                <w:b/>
                <w:bCs/>
              </w:rPr>
            </w:pPr>
            <w:r w:rsidRPr="003C43D5">
              <w:rPr>
                <w:b/>
                <w:bCs/>
              </w:rPr>
              <w:t>Nettó jelenérték</w:t>
            </w:r>
          </w:p>
        </w:tc>
        <w:tc>
          <w:tcPr>
            <w:tcW w:w="3026" w:type="dxa"/>
            <w:shd w:val="clear" w:color="auto" w:fill="BDD6EE" w:themeFill="accent5" w:themeFillTint="66"/>
            <w:vAlign w:val="center"/>
          </w:tcPr>
          <w:p w14:paraId="12F1D6C5" w14:textId="730AF666" w:rsidR="006F28C5" w:rsidRPr="003C43D5" w:rsidRDefault="006F28C5" w:rsidP="006F28C5">
            <w:pPr>
              <w:jc w:val="center"/>
              <w:rPr>
                <w:b/>
                <w:bCs/>
              </w:rPr>
            </w:pPr>
            <w:r w:rsidRPr="003C43D5">
              <w:rPr>
                <w:b/>
                <w:bCs/>
              </w:rPr>
              <w:t>Belső megtérülési ráta</w:t>
            </w:r>
          </w:p>
        </w:tc>
      </w:tr>
      <w:tr w:rsidR="006F28C5" w14:paraId="2D03FFC1" w14:textId="77777777" w:rsidTr="00C45B3F">
        <w:trPr>
          <w:trHeight w:val="344"/>
        </w:trPr>
        <w:tc>
          <w:tcPr>
            <w:tcW w:w="3020" w:type="dxa"/>
            <w:gridSpan w:val="2"/>
            <w:vAlign w:val="center"/>
          </w:tcPr>
          <w:p w14:paraId="1461C6F0" w14:textId="3EC6F806" w:rsidR="006F28C5" w:rsidRDefault="004424D4" w:rsidP="00C45B3F">
            <w:pPr>
              <w:jc w:val="center"/>
            </w:pPr>
            <w:r>
              <w:t>4</w:t>
            </w:r>
            <w:r w:rsidR="00F23872">
              <w:t>8</w:t>
            </w:r>
            <w:r>
              <w:t>,</w:t>
            </w:r>
            <w:r w:rsidR="00C45B3F">
              <w:t>5</w:t>
            </w:r>
            <w:r>
              <w:t xml:space="preserve"> év</w:t>
            </w:r>
            <w:r w:rsidR="00EC555C">
              <w:rPr>
                <w:rStyle w:val="Lbjegyzet-hivatkozs"/>
              </w:rPr>
              <w:footnoteReference w:id="43"/>
            </w:r>
          </w:p>
        </w:tc>
        <w:tc>
          <w:tcPr>
            <w:tcW w:w="3021" w:type="dxa"/>
            <w:gridSpan w:val="3"/>
            <w:vAlign w:val="center"/>
          </w:tcPr>
          <w:p w14:paraId="31E2F9E9" w14:textId="77777777" w:rsidR="00C45B3F" w:rsidRPr="004A1853" w:rsidRDefault="00C45B3F" w:rsidP="00C45B3F">
            <w:pPr>
              <w:spacing w:after="0"/>
              <w:jc w:val="center"/>
            </w:pPr>
            <w:r w:rsidRPr="004A1853">
              <w:t>- 79 989 659,68 EUR</w:t>
            </w:r>
          </w:p>
          <w:p w14:paraId="06199B70" w14:textId="6B9A1AC3" w:rsidR="006F28C5" w:rsidRDefault="00C45B3F" w:rsidP="00C45B3F">
            <w:pPr>
              <w:spacing w:before="40"/>
              <w:jc w:val="center"/>
            </w:pPr>
            <w:r w:rsidRPr="004A1853">
              <w:rPr>
                <w:sz w:val="18"/>
                <w:szCs w:val="18"/>
              </w:rPr>
              <w:t>Diszkont kamatláb: 16,1%</w:t>
            </w:r>
          </w:p>
        </w:tc>
        <w:tc>
          <w:tcPr>
            <w:tcW w:w="3026" w:type="dxa"/>
            <w:vAlign w:val="center"/>
          </w:tcPr>
          <w:p w14:paraId="046EE2EB" w14:textId="0E9B2754" w:rsidR="006F28C5" w:rsidRDefault="00C45B3F" w:rsidP="00C45B3F">
            <w:pPr>
              <w:jc w:val="center"/>
            </w:pPr>
            <w:r w:rsidRPr="000A1DC8">
              <w:t>0,0</w:t>
            </w:r>
            <w:r>
              <w:t>9</w:t>
            </w:r>
            <w:r w:rsidRPr="000A1DC8">
              <w:t>4%</w:t>
            </w:r>
          </w:p>
        </w:tc>
      </w:tr>
      <w:tr w:rsidR="00832552" w14:paraId="7086B4F8" w14:textId="77777777" w:rsidTr="00E83801">
        <w:trPr>
          <w:trHeight w:val="344"/>
        </w:trPr>
        <w:tc>
          <w:tcPr>
            <w:tcW w:w="9067" w:type="dxa"/>
            <w:gridSpan w:val="6"/>
          </w:tcPr>
          <w:p w14:paraId="1092F326" w14:textId="7DB02BC9" w:rsidR="00832552" w:rsidRPr="00F667F2" w:rsidRDefault="00832552" w:rsidP="00832552">
            <w:r w:rsidRPr="00832552">
              <w:t>A kapcsolódó számítások és háttérinformációk 1.3, 4.1 és 4.2 mellékletben láthatók. A nettó jelenérték számítás eredményéből és a rendkívül alacsony belső megtérülési rátából kiderül, hogy a beruházási koncepció tartalma kizárólag piaci alapon nem megvalósítható – a környezeti haszon eléréséhez a projektgazdáknak pénzügyi támogatásra is szüksége van ahhoz, hogy pénzügyileg is megvalósítható, fenntartható beruházások valósulhassanak meg.</w:t>
            </w:r>
          </w:p>
        </w:tc>
      </w:tr>
      <w:tr w:rsidR="006F28C5" w14:paraId="274F53C0" w14:textId="77777777" w:rsidTr="004424D4">
        <w:tc>
          <w:tcPr>
            <w:tcW w:w="9067" w:type="dxa"/>
            <w:gridSpan w:val="6"/>
            <w:shd w:val="clear" w:color="auto" w:fill="F2F2F2" w:themeFill="background1" w:themeFillShade="F2"/>
          </w:tcPr>
          <w:p w14:paraId="1D642E42" w14:textId="29230699" w:rsidR="006F28C5" w:rsidRPr="003C43D5" w:rsidRDefault="006F28C5" w:rsidP="006F28C5">
            <w:pPr>
              <w:pStyle w:val="Cmsor2"/>
              <w:outlineLvl w:val="1"/>
            </w:pPr>
            <w:bookmarkStart w:id="33" w:name="_Toc133510184"/>
            <w:r w:rsidRPr="003C43D5">
              <w:t>4.3. Kockázatok és kockázatcsökkentő intézkedések</w:t>
            </w:r>
            <w:bookmarkEnd w:id="33"/>
          </w:p>
        </w:tc>
      </w:tr>
      <w:tr w:rsidR="006F28C5" w14:paraId="6AE2AFE5" w14:textId="77777777" w:rsidTr="004424D4">
        <w:trPr>
          <w:trHeight w:val="351"/>
        </w:trPr>
        <w:tc>
          <w:tcPr>
            <w:tcW w:w="2265" w:type="dxa"/>
            <w:shd w:val="clear" w:color="auto" w:fill="BDD6EE" w:themeFill="accent5" w:themeFillTint="66"/>
            <w:vAlign w:val="center"/>
          </w:tcPr>
          <w:p w14:paraId="27A11E1D" w14:textId="6B977F0E" w:rsidR="006F28C5" w:rsidRPr="003C43D5" w:rsidRDefault="006F28C5" w:rsidP="006F28C5">
            <w:pPr>
              <w:jc w:val="center"/>
              <w:rPr>
                <w:b/>
                <w:bCs/>
              </w:rPr>
            </w:pPr>
            <w:r w:rsidRPr="003C43D5">
              <w:rPr>
                <w:b/>
                <w:bCs/>
              </w:rPr>
              <w:t>Kockázat</w:t>
            </w:r>
          </w:p>
        </w:tc>
        <w:tc>
          <w:tcPr>
            <w:tcW w:w="1558" w:type="dxa"/>
            <w:gridSpan w:val="2"/>
            <w:shd w:val="clear" w:color="auto" w:fill="BDD6EE" w:themeFill="accent5" w:themeFillTint="66"/>
            <w:vAlign w:val="center"/>
          </w:tcPr>
          <w:p w14:paraId="6B0D172D" w14:textId="2DF23805" w:rsidR="006F28C5" w:rsidRPr="003C43D5" w:rsidRDefault="006F28C5" w:rsidP="006F28C5">
            <w:pPr>
              <w:jc w:val="center"/>
              <w:rPr>
                <w:b/>
                <w:bCs/>
              </w:rPr>
            </w:pPr>
            <w:r w:rsidRPr="003C43D5">
              <w:rPr>
                <w:b/>
                <w:bCs/>
              </w:rPr>
              <w:t>Valószínűség</w:t>
            </w:r>
          </w:p>
        </w:tc>
        <w:tc>
          <w:tcPr>
            <w:tcW w:w="1275" w:type="dxa"/>
            <w:shd w:val="clear" w:color="auto" w:fill="BDD6EE" w:themeFill="accent5" w:themeFillTint="66"/>
            <w:vAlign w:val="center"/>
          </w:tcPr>
          <w:p w14:paraId="703F059E" w14:textId="405BDC14" w:rsidR="006F28C5" w:rsidRPr="003C43D5" w:rsidRDefault="006F28C5" w:rsidP="006F28C5">
            <w:pPr>
              <w:jc w:val="center"/>
              <w:rPr>
                <w:b/>
                <w:bCs/>
              </w:rPr>
            </w:pPr>
            <w:r w:rsidRPr="003C43D5">
              <w:rPr>
                <w:b/>
                <w:bCs/>
              </w:rPr>
              <w:t>Hatás</w:t>
            </w:r>
          </w:p>
        </w:tc>
        <w:tc>
          <w:tcPr>
            <w:tcW w:w="3969" w:type="dxa"/>
            <w:gridSpan w:val="2"/>
            <w:shd w:val="clear" w:color="auto" w:fill="BDD6EE" w:themeFill="accent5" w:themeFillTint="66"/>
            <w:vAlign w:val="center"/>
          </w:tcPr>
          <w:p w14:paraId="7BEDBFC4" w14:textId="1F16B0F4" w:rsidR="006F28C5" w:rsidRPr="003C43D5" w:rsidRDefault="006F28C5" w:rsidP="006F28C5">
            <w:pPr>
              <w:jc w:val="center"/>
              <w:rPr>
                <w:b/>
                <w:bCs/>
              </w:rPr>
            </w:pPr>
            <w:r w:rsidRPr="003C43D5">
              <w:rPr>
                <w:b/>
                <w:bCs/>
              </w:rPr>
              <w:t>Mérséklő intézkedések</w:t>
            </w:r>
          </w:p>
        </w:tc>
      </w:tr>
      <w:tr w:rsidR="001C0E32" w:rsidRPr="001C0E32" w14:paraId="555D9462" w14:textId="77777777" w:rsidTr="004424D4">
        <w:trPr>
          <w:trHeight w:val="347"/>
        </w:trPr>
        <w:tc>
          <w:tcPr>
            <w:tcW w:w="2265" w:type="dxa"/>
            <w:vAlign w:val="center"/>
          </w:tcPr>
          <w:p w14:paraId="2C67D597" w14:textId="27221C41" w:rsidR="006F28C5" w:rsidRPr="001C0E32" w:rsidRDefault="006F28C5" w:rsidP="006F28C5">
            <w:pPr>
              <w:jc w:val="left"/>
            </w:pPr>
            <w:r w:rsidRPr="001C0E32">
              <w:rPr>
                <w:szCs w:val="36"/>
                <w:lang w:val="hu-HU"/>
              </w:rPr>
              <w:t>Problémák a projekt-előkészítési és a tervdokumentációs szakaszokban</w:t>
            </w:r>
          </w:p>
        </w:tc>
        <w:tc>
          <w:tcPr>
            <w:tcW w:w="1558" w:type="dxa"/>
            <w:gridSpan w:val="2"/>
            <w:vAlign w:val="center"/>
          </w:tcPr>
          <w:p w14:paraId="2679C704" w14:textId="62A2B07E" w:rsidR="006F28C5" w:rsidRPr="001C0E32" w:rsidRDefault="006F28C5" w:rsidP="006F28C5">
            <w:pPr>
              <w:jc w:val="center"/>
            </w:pPr>
            <w:r w:rsidRPr="001C0E32">
              <w:rPr>
                <w:szCs w:val="36"/>
                <w:lang w:val="hu-HU"/>
              </w:rPr>
              <w:t>alacsony</w:t>
            </w:r>
          </w:p>
        </w:tc>
        <w:tc>
          <w:tcPr>
            <w:tcW w:w="1275" w:type="dxa"/>
            <w:vAlign w:val="center"/>
          </w:tcPr>
          <w:p w14:paraId="28D4B108" w14:textId="1659CB89" w:rsidR="006F28C5" w:rsidRPr="001C0E32" w:rsidRDefault="006F28C5" w:rsidP="006F28C5">
            <w:pPr>
              <w:jc w:val="center"/>
            </w:pPr>
            <w:r w:rsidRPr="001C0E32">
              <w:rPr>
                <w:szCs w:val="36"/>
                <w:lang w:val="hu-HU"/>
              </w:rPr>
              <w:t>közepes</w:t>
            </w:r>
          </w:p>
        </w:tc>
        <w:tc>
          <w:tcPr>
            <w:tcW w:w="3969" w:type="dxa"/>
            <w:gridSpan w:val="2"/>
          </w:tcPr>
          <w:p w14:paraId="0DE2009E" w14:textId="77777777" w:rsidR="006F28C5" w:rsidRPr="001C0E32" w:rsidRDefault="006F28C5" w:rsidP="006F28C5">
            <w:pPr>
              <w:tabs>
                <w:tab w:val="left" w:pos="284"/>
              </w:tabs>
              <w:rPr>
                <w:szCs w:val="36"/>
                <w:lang w:val="hu-HU"/>
              </w:rPr>
            </w:pPr>
            <w:r w:rsidRPr="001C0E32">
              <w:rPr>
                <w:szCs w:val="36"/>
                <w:lang w:val="hu-HU"/>
              </w:rPr>
              <w:t>Megfelelő tapasztalattal és referenciabázissal bíró, potenciálisan helyi tervezők és szakemberek alkalmazása.</w:t>
            </w:r>
          </w:p>
          <w:p w14:paraId="6D3CED04" w14:textId="323E6991" w:rsidR="006F28C5" w:rsidRPr="001C0E32" w:rsidRDefault="006F28C5" w:rsidP="006F28C5">
            <w:r w:rsidRPr="001C0E32">
              <w:rPr>
                <w:szCs w:val="36"/>
                <w:lang w:val="hu-HU"/>
              </w:rPr>
              <w:t>Különböző szakértők bevonása a kiemelten fontos területekről (például környezet- és örökségvédelem, energetika stb.)</w:t>
            </w:r>
          </w:p>
        </w:tc>
      </w:tr>
      <w:tr w:rsidR="001C0E32" w:rsidRPr="001C0E32" w14:paraId="15879ED3" w14:textId="77777777" w:rsidTr="004424D4">
        <w:trPr>
          <w:trHeight w:val="347"/>
        </w:trPr>
        <w:tc>
          <w:tcPr>
            <w:tcW w:w="2265" w:type="dxa"/>
            <w:vAlign w:val="center"/>
          </w:tcPr>
          <w:p w14:paraId="0B67DB65" w14:textId="1CA066C7" w:rsidR="006F28C5" w:rsidRPr="001C0E32" w:rsidRDefault="006F28C5" w:rsidP="006F28C5">
            <w:pPr>
              <w:jc w:val="left"/>
            </w:pPr>
            <w:r w:rsidRPr="001C0E32">
              <w:rPr>
                <w:szCs w:val="36"/>
                <w:lang w:val="hu-HU"/>
              </w:rPr>
              <w:t>Tervezői becslések pontatlansága a jelenlegi volatilis gazdasági és energiapiaci helyzetben</w:t>
            </w:r>
          </w:p>
        </w:tc>
        <w:tc>
          <w:tcPr>
            <w:tcW w:w="1558" w:type="dxa"/>
            <w:gridSpan w:val="2"/>
            <w:vAlign w:val="center"/>
          </w:tcPr>
          <w:p w14:paraId="2A587401" w14:textId="5093AFF1" w:rsidR="006F28C5" w:rsidRPr="001C0E32" w:rsidRDefault="006F28C5" w:rsidP="006F28C5">
            <w:pPr>
              <w:jc w:val="center"/>
            </w:pPr>
            <w:r w:rsidRPr="001C0E32">
              <w:rPr>
                <w:szCs w:val="36"/>
                <w:lang w:val="hu-HU"/>
              </w:rPr>
              <w:t>közepes</w:t>
            </w:r>
          </w:p>
        </w:tc>
        <w:tc>
          <w:tcPr>
            <w:tcW w:w="1275" w:type="dxa"/>
            <w:vAlign w:val="center"/>
          </w:tcPr>
          <w:p w14:paraId="1E671AB0" w14:textId="01F1ED1F" w:rsidR="006F28C5" w:rsidRPr="001C0E32" w:rsidRDefault="006F28C5" w:rsidP="006F28C5">
            <w:pPr>
              <w:jc w:val="center"/>
            </w:pPr>
            <w:r w:rsidRPr="001C0E32">
              <w:rPr>
                <w:szCs w:val="36"/>
                <w:lang w:val="hu-HU"/>
              </w:rPr>
              <w:t>közepes</w:t>
            </w:r>
          </w:p>
        </w:tc>
        <w:tc>
          <w:tcPr>
            <w:tcW w:w="3969" w:type="dxa"/>
            <w:gridSpan w:val="2"/>
          </w:tcPr>
          <w:p w14:paraId="1E328A71" w14:textId="77777777" w:rsidR="006F28C5" w:rsidRPr="001C0E32" w:rsidRDefault="006F28C5" w:rsidP="006F28C5">
            <w:pPr>
              <w:tabs>
                <w:tab w:val="left" w:pos="284"/>
              </w:tabs>
              <w:rPr>
                <w:szCs w:val="36"/>
                <w:lang w:val="hu-HU"/>
              </w:rPr>
            </w:pPr>
            <w:r w:rsidRPr="001C0E32">
              <w:rPr>
                <w:szCs w:val="36"/>
                <w:lang w:val="hu-HU"/>
              </w:rPr>
              <w:t xml:space="preserve">Piaci árak legoptimálisabb figyelembevétele, illetve folyamatos követése. </w:t>
            </w:r>
          </w:p>
          <w:p w14:paraId="02125D08" w14:textId="619EBE0D" w:rsidR="006F28C5" w:rsidRPr="001C0E32" w:rsidRDefault="006F28C5" w:rsidP="006F28C5">
            <w:r w:rsidRPr="001C0E32">
              <w:rPr>
                <w:szCs w:val="36"/>
                <w:lang w:val="hu-HU"/>
              </w:rPr>
              <w:t>Költségmeghatározások esetén az árak felülbecslése/expenzív</w:t>
            </w:r>
            <w:r w:rsidR="00922FBC" w:rsidRPr="001C0E32">
              <w:rPr>
                <w:szCs w:val="36"/>
                <w:lang w:val="hu-HU"/>
              </w:rPr>
              <w:t xml:space="preserve"> </w:t>
            </w:r>
            <w:r w:rsidRPr="001C0E32">
              <w:rPr>
                <w:szCs w:val="36"/>
                <w:lang w:val="hu-HU"/>
              </w:rPr>
              <w:t>forgatókönyv priorizálása a tervezési folyamatnál.</w:t>
            </w:r>
          </w:p>
        </w:tc>
      </w:tr>
      <w:tr w:rsidR="001C0E32" w:rsidRPr="001C0E32" w14:paraId="7B2D47FB" w14:textId="77777777" w:rsidTr="004424D4">
        <w:trPr>
          <w:trHeight w:val="347"/>
        </w:trPr>
        <w:tc>
          <w:tcPr>
            <w:tcW w:w="2265" w:type="dxa"/>
            <w:vAlign w:val="center"/>
          </w:tcPr>
          <w:p w14:paraId="5996EA1D" w14:textId="66351A08" w:rsidR="006F28C5" w:rsidRPr="001C0E32" w:rsidRDefault="006F28C5" w:rsidP="006F28C5">
            <w:pPr>
              <w:jc w:val="left"/>
            </w:pPr>
            <w:r w:rsidRPr="001C0E32">
              <w:rPr>
                <w:szCs w:val="36"/>
                <w:lang w:val="hu-HU"/>
              </w:rPr>
              <w:t>Lakossági ellenállás, a projektek támogatottságának alacsony szintje</w:t>
            </w:r>
          </w:p>
        </w:tc>
        <w:tc>
          <w:tcPr>
            <w:tcW w:w="1558" w:type="dxa"/>
            <w:gridSpan w:val="2"/>
            <w:vAlign w:val="center"/>
          </w:tcPr>
          <w:p w14:paraId="0DA03221" w14:textId="1E34A0B1" w:rsidR="006F28C5" w:rsidRPr="001C0E32" w:rsidRDefault="006F28C5" w:rsidP="006F28C5">
            <w:pPr>
              <w:jc w:val="center"/>
            </w:pPr>
            <w:r w:rsidRPr="001C0E32">
              <w:rPr>
                <w:szCs w:val="36"/>
                <w:lang w:val="hu-HU"/>
              </w:rPr>
              <w:t>alacsony</w:t>
            </w:r>
          </w:p>
        </w:tc>
        <w:tc>
          <w:tcPr>
            <w:tcW w:w="1275" w:type="dxa"/>
            <w:vAlign w:val="center"/>
          </w:tcPr>
          <w:p w14:paraId="55AFDC6D" w14:textId="64055C79" w:rsidR="006F28C5" w:rsidRPr="001C0E32" w:rsidRDefault="006F28C5" w:rsidP="006F28C5">
            <w:pPr>
              <w:jc w:val="center"/>
            </w:pPr>
            <w:r w:rsidRPr="001C0E32">
              <w:rPr>
                <w:szCs w:val="36"/>
                <w:lang w:val="hu-HU"/>
              </w:rPr>
              <w:t>alacsony</w:t>
            </w:r>
          </w:p>
        </w:tc>
        <w:tc>
          <w:tcPr>
            <w:tcW w:w="3969" w:type="dxa"/>
            <w:gridSpan w:val="2"/>
          </w:tcPr>
          <w:p w14:paraId="3CB9744F" w14:textId="77777777" w:rsidR="006F28C5" w:rsidRPr="001C0E32" w:rsidRDefault="006F28C5" w:rsidP="006F28C5">
            <w:pPr>
              <w:tabs>
                <w:tab w:val="left" w:pos="284"/>
              </w:tabs>
              <w:rPr>
                <w:szCs w:val="36"/>
                <w:lang w:val="hu-HU"/>
              </w:rPr>
            </w:pPr>
            <w:r w:rsidRPr="001C0E32">
              <w:rPr>
                <w:szCs w:val="36"/>
                <w:lang w:val="hu-HU"/>
              </w:rPr>
              <w:t xml:space="preserve">A lakosság tájékoztatása korai fázisban különböző csatornákon (helyi és közösségi média, dedikált és egyéb rendezvények) keresztül. </w:t>
            </w:r>
          </w:p>
          <w:p w14:paraId="0EE4D0DC" w14:textId="31AFD92F" w:rsidR="006F28C5" w:rsidRPr="001C0E32" w:rsidRDefault="006F28C5" w:rsidP="006F28C5">
            <w:r w:rsidRPr="001C0E32">
              <w:rPr>
                <w:szCs w:val="36"/>
                <w:lang w:val="hu-HU"/>
              </w:rPr>
              <w:t>A projektek gyakorlati megvalósítása során törekvés a minél inkább a lakosok igényeit és zavartalanságát figyelembe vevő megoldásokra (zaj-, rezgés-, légszennyezés, hulladékok kezelése).</w:t>
            </w:r>
          </w:p>
        </w:tc>
      </w:tr>
      <w:tr w:rsidR="001C0E32" w:rsidRPr="001C0E32" w14:paraId="263915F7" w14:textId="77777777" w:rsidTr="00742406">
        <w:trPr>
          <w:trHeight w:val="347"/>
        </w:trPr>
        <w:tc>
          <w:tcPr>
            <w:tcW w:w="2265" w:type="dxa"/>
            <w:vAlign w:val="center"/>
          </w:tcPr>
          <w:p w14:paraId="10190881" w14:textId="4FA7D723" w:rsidR="00742406" w:rsidRPr="001C0E32" w:rsidRDefault="00742406" w:rsidP="006F28C5">
            <w:pPr>
              <w:jc w:val="left"/>
              <w:rPr>
                <w:szCs w:val="36"/>
                <w:lang w:val="hu-HU"/>
              </w:rPr>
            </w:pPr>
            <w:r w:rsidRPr="001C0E32">
              <w:rPr>
                <w:szCs w:val="36"/>
                <w:lang w:val="hu-HU"/>
              </w:rPr>
              <w:lastRenderedPageBreak/>
              <w:t>Az energiaszegény, energetikai beruházással járó többlet-terheket nem bíró lakók nagyobb aránya</w:t>
            </w:r>
          </w:p>
        </w:tc>
        <w:tc>
          <w:tcPr>
            <w:tcW w:w="1558" w:type="dxa"/>
            <w:gridSpan w:val="2"/>
            <w:vAlign w:val="center"/>
          </w:tcPr>
          <w:p w14:paraId="2B680253" w14:textId="78EEB5A9" w:rsidR="00742406" w:rsidRPr="001C0E32" w:rsidRDefault="00742406" w:rsidP="006F28C5">
            <w:pPr>
              <w:jc w:val="center"/>
              <w:rPr>
                <w:szCs w:val="36"/>
              </w:rPr>
            </w:pPr>
            <w:r w:rsidRPr="001C0E32">
              <w:rPr>
                <w:szCs w:val="36"/>
              </w:rPr>
              <w:t>közepes</w:t>
            </w:r>
          </w:p>
        </w:tc>
        <w:tc>
          <w:tcPr>
            <w:tcW w:w="1275" w:type="dxa"/>
            <w:vAlign w:val="center"/>
          </w:tcPr>
          <w:p w14:paraId="502DEC3D" w14:textId="1F17CB1E" w:rsidR="00742406" w:rsidRPr="001C0E32" w:rsidRDefault="00742406" w:rsidP="006F28C5">
            <w:pPr>
              <w:jc w:val="center"/>
              <w:rPr>
                <w:szCs w:val="36"/>
              </w:rPr>
            </w:pPr>
            <w:r w:rsidRPr="001C0E32">
              <w:rPr>
                <w:szCs w:val="36"/>
              </w:rPr>
              <w:t>közepes</w:t>
            </w:r>
          </w:p>
        </w:tc>
        <w:tc>
          <w:tcPr>
            <w:tcW w:w="3969" w:type="dxa"/>
            <w:gridSpan w:val="2"/>
            <w:vAlign w:val="center"/>
          </w:tcPr>
          <w:p w14:paraId="0CCCC1F2" w14:textId="5C0D06C9" w:rsidR="00742406" w:rsidRPr="001C0E32" w:rsidRDefault="00742406" w:rsidP="00742406">
            <w:pPr>
              <w:tabs>
                <w:tab w:val="left" w:pos="284"/>
              </w:tabs>
              <w:rPr>
                <w:szCs w:val="36"/>
              </w:rPr>
            </w:pPr>
            <w:r w:rsidRPr="001C0E32">
              <w:rPr>
                <w:szCs w:val="36"/>
              </w:rPr>
              <w:t>Szolidáris, a lakókra kisebb terhet róvó konstrukciók/megoldások alkalmazása.</w:t>
            </w:r>
          </w:p>
        </w:tc>
      </w:tr>
      <w:tr w:rsidR="001C0E32" w:rsidRPr="001C0E32" w14:paraId="1E81FBBE" w14:textId="77777777" w:rsidTr="004424D4">
        <w:trPr>
          <w:trHeight w:val="347"/>
        </w:trPr>
        <w:tc>
          <w:tcPr>
            <w:tcW w:w="2265" w:type="dxa"/>
            <w:vAlign w:val="center"/>
          </w:tcPr>
          <w:p w14:paraId="4631AF72" w14:textId="794FC77F" w:rsidR="006F28C5" w:rsidRPr="001C0E32" w:rsidRDefault="006F28C5" w:rsidP="006F28C5">
            <w:pPr>
              <w:jc w:val="left"/>
            </w:pPr>
            <w:r w:rsidRPr="001C0E32">
              <w:rPr>
                <w:szCs w:val="36"/>
                <w:lang w:val="hu-HU"/>
              </w:rPr>
              <w:t>Kivitelezői kapacitások hiánya, leterheltsége; kivitelezés rossz minősége, határidők kitolódása.</w:t>
            </w:r>
          </w:p>
        </w:tc>
        <w:tc>
          <w:tcPr>
            <w:tcW w:w="1558" w:type="dxa"/>
            <w:gridSpan w:val="2"/>
            <w:vAlign w:val="center"/>
          </w:tcPr>
          <w:p w14:paraId="7B2474C3" w14:textId="04A54A34" w:rsidR="006F28C5" w:rsidRPr="001C0E32" w:rsidRDefault="006F28C5" w:rsidP="006F28C5">
            <w:pPr>
              <w:jc w:val="center"/>
            </w:pPr>
            <w:r w:rsidRPr="001C0E32">
              <w:rPr>
                <w:szCs w:val="36"/>
                <w:lang w:val="hu-HU"/>
              </w:rPr>
              <w:t>közepes</w:t>
            </w:r>
          </w:p>
        </w:tc>
        <w:tc>
          <w:tcPr>
            <w:tcW w:w="1275" w:type="dxa"/>
            <w:vAlign w:val="center"/>
          </w:tcPr>
          <w:p w14:paraId="40A06090" w14:textId="541C5221" w:rsidR="006F28C5" w:rsidRPr="001C0E32" w:rsidRDefault="006F28C5" w:rsidP="006F28C5">
            <w:pPr>
              <w:jc w:val="center"/>
            </w:pPr>
            <w:r w:rsidRPr="001C0E32">
              <w:rPr>
                <w:szCs w:val="36"/>
                <w:lang w:val="hu-HU"/>
              </w:rPr>
              <w:t>magas</w:t>
            </w:r>
          </w:p>
        </w:tc>
        <w:tc>
          <w:tcPr>
            <w:tcW w:w="3969" w:type="dxa"/>
            <w:gridSpan w:val="2"/>
          </w:tcPr>
          <w:p w14:paraId="5D87A064" w14:textId="77777777" w:rsidR="006F28C5" w:rsidRPr="001C0E32" w:rsidRDefault="006F28C5" w:rsidP="006F28C5">
            <w:pPr>
              <w:tabs>
                <w:tab w:val="left" w:pos="284"/>
              </w:tabs>
              <w:rPr>
                <w:szCs w:val="36"/>
                <w:lang w:val="hu-HU"/>
              </w:rPr>
            </w:pPr>
            <w:r w:rsidRPr="001C0E32">
              <w:rPr>
                <w:szCs w:val="36"/>
                <w:lang w:val="hu-HU"/>
              </w:rPr>
              <w:t>Közbeszerzési ajánlatkérés esetén figyelmes és előrelátó dokumentáció készítése, a kivitelezők tapasztalatának és referenciabázisának minimális szintjének meghatározása. Továbbá optimális erőforrással és kapacitással bíró kivitelező kiválasztása.</w:t>
            </w:r>
          </w:p>
          <w:p w14:paraId="37210574" w14:textId="77777777" w:rsidR="006F28C5" w:rsidRPr="001C0E32" w:rsidRDefault="006F28C5" w:rsidP="006F28C5">
            <w:pPr>
              <w:tabs>
                <w:tab w:val="left" w:pos="284"/>
              </w:tabs>
              <w:rPr>
                <w:szCs w:val="36"/>
                <w:lang w:val="hu-HU"/>
              </w:rPr>
            </w:pPr>
            <w:r w:rsidRPr="001C0E32">
              <w:rPr>
                <w:szCs w:val="36"/>
                <w:lang w:val="hu-HU"/>
              </w:rPr>
              <w:t>A megvalósítás során az előrehaladás monitorozása, a határidők betartásának érdekében magas értékű kötbérek szerződésbe foglalása.</w:t>
            </w:r>
          </w:p>
          <w:p w14:paraId="132F7401" w14:textId="08DB06EA" w:rsidR="006F28C5" w:rsidRPr="001C0E32" w:rsidRDefault="006F28C5" w:rsidP="006F28C5">
            <w:r w:rsidRPr="001C0E32">
              <w:rPr>
                <w:szCs w:val="36"/>
                <w:lang w:val="hu-HU"/>
              </w:rPr>
              <w:t>Megfelelő minőségű, tanúsítvánnyal rendelkező elemek, termékek használhatók fel a kivitelezés során, amelyeket a műszaki ellenőr folyamatosan vizsgál.</w:t>
            </w:r>
          </w:p>
        </w:tc>
      </w:tr>
      <w:tr w:rsidR="001C0E32" w:rsidRPr="001C0E32" w14:paraId="490200BE" w14:textId="77777777" w:rsidTr="004424D4">
        <w:trPr>
          <w:trHeight w:val="347"/>
        </w:trPr>
        <w:tc>
          <w:tcPr>
            <w:tcW w:w="2265" w:type="dxa"/>
            <w:vAlign w:val="center"/>
          </w:tcPr>
          <w:p w14:paraId="4ABB7BDA" w14:textId="3C48C3B5" w:rsidR="006F28C5" w:rsidRPr="001C0E32" w:rsidRDefault="006F28C5" w:rsidP="006F28C5">
            <w:pPr>
              <w:jc w:val="left"/>
            </w:pPr>
            <w:r w:rsidRPr="001C0E32">
              <w:rPr>
                <w:szCs w:val="36"/>
                <w:lang w:val="hu-HU"/>
              </w:rPr>
              <w:t>Engedélyek (rendezési, építési, birtokbavételi stb.) megszerzése vagy azok késése</w:t>
            </w:r>
          </w:p>
        </w:tc>
        <w:tc>
          <w:tcPr>
            <w:tcW w:w="1558" w:type="dxa"/>
            <w:gridSpan w:val="2"/>
            <w:vAlign w:val="center"/>
          </w:tcPr>
          <w:p w14:paraId="158B2B0C" w14:textId="4E88C128" w:rsidR="006F28C5" w:rsidRPr="001C0E32" w:rsidRDefault="006F28C5" w:rsidP="006F28C5">
            <w:pPr>
              <w:jc w:val="center"/>
            </w:pPr>
            <w:r w:rsidRPr="001C0E32">
              <w:rPr>
                <w:szCs w:val="36"/>
                <w:lang w:val="hu-HU"/>
              </w:rPr>
              <w:t>alacsony</w:t>
            </w:r>
          </w:p>
        </w:tc>
        <w:tc>
          <w:tcPr>
            <w:tcW w:w="1275" w:type="dxa"/>
            <w:vAlign w:val="center"/>
          </w:tcPr>
          <w:p w14:paraId="16FF1E77" w14:textId="6F670387" w:rsidR="006F28C5" w:rsidRPr="001C0E32" w:rsidRDefault="006F28C5" w:rsidP="006F28C5">
            <w:pPr>
              <w:jc w:val="center"/>
            </w:pPr>
            <w:r w:rsidRPr="001C0E32">
              <w:rPr>
                <w:szCs w:val="36"/>
                <w:lang w:val="hu-HU"/>
              </w:rPr>
              <w:t>közepes</w:t>
            </w:r>
          </w:p>
        </w:tc>
        <w:tc>
          <w:tcPr>
            <w:tcW w:w="3969" w:type="dxa"/>
            <w:gridSpan w:val="2"/>
          </w:tcPr>
          <w:p w14:paraId="783C9779" w14:textId="77777777" w:rsidR="006F28C5" w:rsidRPr="001C0E32" w:rsidRDefault="006F28C5" w:rsidP="006F28C5">
            <w:pPr>
              <w:rPr>
                <w:szCs w:val="36"/>
                <w:lang w:val="hu-HU"/>
              </w:rPr>
            </w:pPr>
            <w:r w:rsidRPr="001C0E32">
              <w:rPr>
                <w:szCs w:val="36"/>
                <w:lang w:val="hu-HU"/>
              </w:rPr>
              <w:t>Hatóságok korai tájékoztatása a beruházásokról, valamint egyeztetések, találkozók szervezése.</w:t>
            </w:r>
          </w:p>
          <w:p w14:paraId="7BA37665" w14:textId="478BE316" w:rsidR="006F28C5" w:rsidRPr="001C0E32" w:rsidRDefault="006F28C5" w:rsidP="006F28C5">
            <w:r w:rsidRPr="001C0E32">
              <w:rPr>
                <w:szCs w:val="36"/>
                <w:lang w:val="hu-HU"/>
              </w:rPr>
              <w:t>Ennél a pontnál szintén releváns a szakmai tapasztalattal, jártassággal rendelkező tervezők kiválasztása.</w:t>
            </w:r>
          </w:p>
        </w:tc>
      </w:tr>
      <w:tr w:rsidR="001C0E32" w:rsidRPr="001C0E32" w14:paraId="6A615DC3" w14:textId="77777777" w:rsidTr="004424D4">
        <w:trPr>
          <w:trHeight w:val="347"/>
        </w:trPr>
        <w:tc>
          <w:tcPr>
            <w:tcW w:w="2265" w:type="dxa"/>
            <w:vAlign w:val="center"/>
          </w:tcPr>
          <w:p w14:paraId="251DE3F5" w14:textId="7DA58099" w:rsidR="006F28C5" w:rsidRPr="001C0E32" w:rsidRDefault="006F28C5" w:rsidP="006F28C5">
            <w:pPr>
              <w:jc w:val="left"/>
            </w:pPr>
            <w:r w:rsidRPr="001C0E32">
              <w:rPr>
                <w:szCs w:val="36"/>
                <w:lang w:val="hu-HU"/>
              </w:rPr>
              <w:t>Pénzügyi, gazdasági problémák, építőipari és energiaipari árnövekedés, a forint további gyengülése</w:t>
            </w:r>
          </w:p>
        </w:tc>
        <w:tc>
          <w:tcPr>
            <w:tcW w:w="1558" w:type="dxa"/>
            <w:gridSpan w:val="2"/>
            <w:vAlign w:val="center"/>
          </w:tcPr>
          <w:p w14:paraId="06BEED9F" w14:textId="514361CC" w:rsidR="006F28C5" w:rsidRPr="001C0E32" w:rsidRDefault="006F28C5" w:rsidP="006F28C5">
            <w:pPr>
              <w:jc w:val="center"/>
            </w:pPr>
            <w:r w:rsidRPr="001C0E32">
              <w:rPr>
                <w:szCs w:val="36"/>
                <w:lang w:val="hu-HU"/>
              </w:rPr>
              <w:t>közepes</w:t>
            </w:r>
          </w:p>
        </w:tc>
        <w:tc>
          <w:tcPr>
            <w:tcW w:w="1275" w:type="dxa"/>
            <w:vAlign w:val="center"/>
          </w:tcPr>
          <w:p w14:paraId="65AEA867" w14:textId="210B9E76" w:rsidR="006F28C5" w:rsidRPr="001C0E32" w:rsidRDefault="006F28C5" w:rsidP="006F28C5">
            <w:pPr>
              <w:jc w:val="center"/>
            </w:pPr>
            <w:r w:rsidRPr="001C0E32">
              <w:rPr>
                <w:szCs w:val="36"/>
                <w:lang w:val="hu-HU"/>
              </w:rPr>
              <w:t>magas</w:t>
            </w:r>
          </w:p>
        </w:tc>
        <w:tc>
          <w:tcPr>
            <w:tcW w:w="3969" w:type="dxa"/>
            <w:gridSpan w:val="2"/>
          </w:tcPr>
          <w:p w14:paraId="6CE36332" w14:textId="55CAD60E" w:rsidR="006F28C5" w:rsidRPr="001C0E32" w:rsidRDefault="006F28C5" w:rsidP="006F28C5">
            <w:r w:rsidRPr="001C0E32">
              <w:rPr>
                <w:szCs w:val="36"/>
                <w:lang w:val="hu-HU"/>
              </w:rPr>
              <w:t>A számításba vehető legjobb megoldások megtalálása körültekintő, jól átgondolt döntésekkel, a lehető legtöbb gyártó/szolgáltató feltérképezésével, előre rögzített árakkal.</w:t>
            </w:r>
          </w:p>
        </w:tc>
      </w:tr>
      <w:tr w:rsidR="001C0E32" w:rsidRPr="001C0E32" w14:paraId="610B6B48" w14:textId="77777777" w:rsidTr="004424D4">
        <w:trPr>
          <w:trHeight w:val="347"/>
        </w:trPr>
        <w:tc>
          <w:tcPr>
            <w:tcW w:w="2265" w:type="dxa"/>
            <w:vAlign w:val="center"/>
          </w:tcPr>
          <w:p w14:paraId="7F326272" w14:textId="4CD7A6E0" w:rsidR="006F28C5" w:rsidRPr="001C0E32" w:rsidRDefault="006F28C5" w:rsidP="006F28C5">
            <w:pPr>
              <w:jc w:val="left"/>
              <w:rPr>
                <w:szCs w:val="36"/>
              </w:rPr>
            </w:pPr>
            <w:r w:rsidRPr="001C0E32">
              <w:rPr>
                <w:szCs w:val="36"/>
                <w:lang w:val="hu-HU"/>
              </w:rPr>
              <w:t>A kedvezőtlen jogszabályi környezet változatlansága, az energiaközösségek szabályozásának további késedelme</w:t>
            </w:r>
          </w:p>
        </w:tc>
        <w:tc>
          <w:tcPr>
            <w:tcW w:w="1558" w:type="dxa"/>
            <w:gridSpan w:val="2"/>
            <w:vAlign w:val="center"/>
          </w:tcPr>
          <w:p w14:paraId="4AF7B277" w14:textId="0829B52C" w:rsidR="006F28C5" w:rsidRPr="001C0E32" w:rsidRDefault="006F28C5" w:rsidP="006F28C5">
            <w:pPr>
              <w:jc w:val="center"/>
              <w:rPr>
                <w:szCs w:val="36"/>
              </w:rPr>
            </w:pPr>
            <w:r w:rsidRPr="001C0E32">
              <w:rPr>
                <w:szCs w:val="36"/>
                <w:lang w:val="hu-HU"/>
              </w:rPr>
              <w:t xml:space="preserve">közepes </w:t>
            </w:r>
          </w:p>
        </w:tc>
        <w:tc>
          <w:tcPr>
            <w:tcW w:w="1275" w:type="dxa"/>
            <w:vAlign w:val="center"/>
          </w:tcPr>
          <w:p w14:paraId="1B864D3C" w14:textId="43180BA3" w:rsidR="006F28C5" w:rsidRPr="001C0E32" w:rsidRDefault="006F28C5" w:rsidP="006F28C5">
            <w:pPr>
              <w:jc w:val="center"/>
              <w:rPr>
                <w:szCs w:val="36"/>
              </w:rPr>
            </w:pPr>
            <w:r w:rsidRPr="001C0E32">
              <w:rPr>
                <w:szCs w:val="36"/>
                <w:lang w:val="hu-HU"/>
              </w:rPr>
              <w:t>magas</w:t>
            </w:r>
          </w:p>
        </w:tc>
        <w:tc>
          <w:tcPr>
            <w:tcW w:w="3969" w:type="dxa"/>
            <w:gridSpan w:val="2"/>
          </w:tcPr>
          <w:p w14:paraId="0C833DF7" w14:textId="77777777" w:rsidR="006F28C5" w:rsidRPr="001C0E32" w:rsidRDefault="006F28C5" w:rsidP="006F28C5">
            <w:pPr>
              <w:tabs>
                <w:tab w:val="left" w:pos="284"/>
              </w:tabs>
              <w:rPr>
                <w:szCs w:val="36"/>
                <w:lang w:val="hu-HU"/>
              </w:rPr>
            </w:pPr>
            <w:r w:rsidRPr="001C0E32">
              <w:rPr>
                <w:szCs w:val="36"/>
                <w:lang w:val="hu-HU"/>
              </w:rPr>
              <w:t xml:space="preserve">Lobbizás a jogszabályi környezet megváltoztatásáért, fejlesztéséért. Külön engedély kérése a napelemes projektelemek kedvező körülmények közti/2022. május előtti jogszabály környezet szerinti megvalósításához (a rezsicsökkentés a beruházás után is segítse a lakosokat; a beruházás során ne legyen szükséges a május óta érvényben lévő napelemstop mentességi feltételeit vállalni, illetve az érintett szereplők </w:t>
            </w:r>
            <w:r w:rsidRPr="001C0E32">
              <w:rPr>
                <w:szCs w:val="36"/>
                <w:lang w:val="hu-HU"/>
              </w:rPr>
              <w:lastRenderedPageBreak/>
              <w:t>termelhessenek villamosenergiát a hálózatra).</w:t>
            </w:r>
          </w:p>
          <w:p w14:paraId="0A4DADA6" w14:textId="21ECE6BA" w:rsidR="006F28C5" w:rsidRPr="001C0E32" w:rsidRDefault="006F28C5" w:rsidP="006F28C5">
            <w:pPr>
              <w:rPr>
                <w:szCs w:val="36"/>
              </w:rPr>
            </w:pPr>
            <w:r w:rsidRPr="001C0E32">
              <w:rPr>
                <w:szCs w:val="36"/>
                <w:lang w:val="hu-HU"/>
              </w:rPr>
              <w:t>A legrosszabb esetben az érintett projektelemek megvalósításának késleltetése.</w:t>
            </w:r>
          </w:p>
        </w:tc>
      </w:tr>
      <w:tr w:rsidR="001C0E32" w:rsidRPr="001C0E32" w14:paraId="0CE67061" w14:textId="77777777" w:rsidTr="004424D4">
        <w:trPr>
          <w:trHeight w:val="347"/>
        </w:trPr>
        <w:tc>
          <w:tcPr>
            <w:tcW w:w="2265" w:type="dxa"/>
            <w:vAlign w:val="center"/>
          </w:tcPr>
          <w:p w14:paraId="12D0DABD" w14:textId="6A105E74" w:rsidR="006F28C5" w:rsidRPr="001C0E32" w:rsidRDefault="006F28C5" w:rsidP="006F28C5">
            <w:pPr>
              <w:jc w:val="left"/>
              <w:rPr>
                <w:szCs w:val="36"/>
              </w:rPr>
            </w:pPr>
            <w:r w:rsidRPr="001C0E32">
              <w:rPr>
                <w:szCs w:val="36"/>
                <w:lang w:val="hu-HU"/>
              </w:rPr>
              <w:lastRenderedPageBreak/>
              <w:t>Az állami jogszabály-alkotás sok esetben nem kellően előkészített, számos esetben meglepetésként éri az érintetteket, akár egyes tevékenységeik ellehetetlenülését is előidézve</w:t>
            </w:r>
          </w:p>
        </w:tc>
        <w:tc>
          <w:tcPr>
            <w:tcW w:w="1558" w:type="dxa"/>
            <w:gridSpan w:val="2"/>
            <w:vAlign w:val="center"/>
          </w:tcPr>
          <w:p w14:paraId="71644578" w14:textId="110487F9" w:rsidR="006F28C5" w:rsidRPr="001C0E32" w:rsidRDefault="006F28C5" w:rsidP="006F28C5">
            <w:pPr>
              <w:jc w:val="center"/>
              <w:rPr>
                <w:szCs w:val="36"/>
              </w:rPr>
            </w:pPr>
            <w:r w:rsidRPr="001C0E32">
              <w:rPr>
                <w:szCs w:val="36"/>
                <w:lang w:val="hu-HU"/>
              </w:rPr>
              <w:t>közepes</w:t>
            </w:r>
          </w:p>
        </w:tc>
        <w:tc>
          <w:tcPr>
            <w:tcW w:w="1275" w:type="dxa"/>
            <w:vAlign w:val="center"/>
          </w:tcPr>
          <w:p w14:paraId="2ECA115E" w14:textId="75E10A49" w:rsidR="006F28C5" w:rsidRPr="001C0E32" w:rsidRDefault="006F28C5" w:rsidP="006F28C5">
            <w:pPr>
              <w:jc w:val="center"/>
              <w:rPr>
                <w:szCs w:val="36"/>
              </w:rPr>
            </w:pPr>
            <w:r w:rsidRPr="001C0E32">
              <w:rPr>
                <w:szCs w:val="36"/>
                <w:lang w:val="hu-HU"/>
              </w:rPr>
              <w:t>magas</w:t>
            </w:r>
          </w:p>
        </w:tc>
        <w:tc>
          <w:tcPr>
            <w:tcW w:w="3969" w:type="dxa"/>
            <w:gridSpan w:val="2"/>
          </w:tcPr>
          <w:p w14:paraId="55548083" w14:textId="77777777" w:rsidR="006F28C5" w:rsidRPr="001C0E32" w:rsidRDefault="006F28C5" w:rsidP="006F28C5">
            <w:pPr>
              <w:tabs>
                <w:tab w:val="left" w:pos="284"/>
              </w:tabs>
              <w:rPr>
                <w:szCs w:val="36"/>
                <w:lang w:val="hu-HU"/>
              </w:rPr>
            </w:pPr>
            <w:r w:rsidRPr="001C0E32">
              <w:rPr>
                <w:szCs w:val="36"/>
                <w:lang w:val="hu-HU"/>
              </w:rPr>
              <w:t>A jogszabályi környezet gyors változtatásaira néhány esetben fel lehet készülni, de a legtöbb esetben az újonnan hozott jogszabályokra adott gyors reakció képezheti a mérséklő intézkedést.</w:t>
            </w:r>
          </w:p>
          <w:p w14:paraId="25D3144F" w14:textId="77777777" w:rsidR="006F28C5" w:rsidRPr="001C0E32" w:rsidRDefault="006F28C5" w:rsidP="006F28C5">
            <w:pPr>
              <w:tabs>
                <w:tab w:val="left" w:pos="284"/>
              </w:tabs>
              <w:rPr>
                <w:szCs w:val="36"/>
                <w:lang w:val="hu-HU"/>
              </w:rPr>
            </w:pPr>
            <w:r w:rsidRPr="001C0E32">
              <w:rPr>
                <w:szCs w:val="36"/>
                <w:lang w:val="hu-HU"/>
              </w:rPr>
              <w:t>A körültekintőbb felkészülés nagyobb előkészítő, szakértői, szakpolitikai munkát igényel, mely segítségével az egyes beruházási elemek megvalósítása egyes jogszabálymódosítások után sem módosul.</w:t>
            </w:r>
          </w:p>
          <w:p w14:paraId="190917E5" w14:textId="2DBED1B3" w:rsidR="006F28C5" w:rsidRPr="001C0E32" w:rsidRDefault="006F28C5" w:rsidP="006F28C5">
            <w:pPr>
              <w:rPr>
                <w:szCs w:val="36"/>
              </w:rPr>
            </w:pPr>
            <w:r w:rsidRPr="001C0E32">
              <w:rPr>
                <w:szCs w:val="36"/>
                <w:lang w:val="hu-HU"/>
              </w:rPr>
              <w:t xml:space="preserve">A konzorciumi tagoknak a megvalósítás során folyamatosan nyomon kell követniük a jogszabályváltozásokat és minél hamarabb jelezniük kell észrevételeiket a döntéshozó irányába a projektmegvalósítást nehezítő, vagy ellehetetlenítő új jogszabályok esetében. A projektre kedvezőtlen hatással bíró jogszabályokra a projekt érdekeit szem előtt tartó, gyors és átgondolt beavatkozásokat kell </w:t>
            </w:r>
            <w:proofErr w:type="gramStart"/>
            <w:r w:rsidRPr="001C0E32">
              <w:rPr>
                <w:szCs w:val="36"/>
                <w:lang w:val="hu-HU"/>
              </w:rPr>
              <w:t>eszközölni</w:t>
            </w:r>
            <w:proofErr w:type="gramEnd"/>
            <w:r w:rsidRPr="001C0E32">
              <w:rPr>
                <w:szCs w:val="36"/>
                <w:lang w:val="hu-HU"/>
              </w:rPr>
              <w:t>.</w:t>
            </w:r>
          </w:p>
        </w:tc>
      </w:tr>
      <w:tr w:rsidR="001C0E32" w:rsidRPr="001C0E32" w14:paraId="41FE726C" w14:textId="77777777" w:rsidTr="004424D4">
        <w:trPr>
          <w:trHeight w:val="347"/>
        </w:trPr>
        <w:tc>
          <w:tcPr>
            <w:tcW w:w="2265" w:type="dxa"/>
            <w:vAlign w:val="center"/>
          </w:tcPr>
          <w:p w14:paraId="65D5A0E1" w14:textId="6AA92E9C" w:rsidR="006F28C5" w:rsidRPr="001C0E32" w:rsidRDefault="006F28C5" w:rsidP="006F28C5">
            <w:pPr>
              <w:jc w:val="left"/>
              <w:rPr>
                <w:szCs w:val="36"/>
              </w:rPr>
            </w:pPr>
            <w:r w:rsidRPr="001C0E32">
              <w:rPr>
                <w:szCs w:val="36"/>
                <w:lang w:val="hu-HU"/>
              </w:rPr>
              <w:t>Az önkormányzatok, közpénzből fenntartott intézmények pénzügyi kiszolgáltatottsága a Magyar Állammal szemben (pl. a veszélyhelyzetekre hivatkozva)</w:t>
            </w:r>
          </w:p>
        </w:tc>
        <w:tc>
          <w:tcPr>
            <w:tcW w:w="1558" w:type="dxa"/>
            <w:gridSpan w:val="2"/>
            <w:vAlign w:val="center"/>
          </w:tcPr>
          <w:p w14:paraId="4F89C8CE" w14:textId="776DF4C7" w:rsidR="006F28C5" w:rsidRPr="001C0E32" w:rsidRDefault="006F28C5" w:rsidP="006F28C5">
            <w:pPr>
              <w:jc w:val="center"/>
              <w:rPr>
                <w:szCs w:val="36"/>
              </w:rPr>
            </w:pPr>
            <w:r w:rsidRPr="001C0E32">
              <w:rPr>
                <w:szCs w:val="36"/>
                <w:lang w:val="hu-HU"/>
              </w:rPr>
              <w:t>közepes</w:t>
            </w:r>
          </w:p>
        </w:tc>
        <w:tc>
          <w:tcPr>
            <w:tcW w:w="1275" w:type="dxa"/>
            <w:vAlign w:val="center"/>
          </w:tcPr>
          <w:p w14:paraId="73E96458" w14:textId="50547BE4" w:rsidR="006F28C5" w:rsidRPr="001C0E32" w:rsidRDefault="006F28C5" w:rsidP="006F28C5">
            <w:pPr>
              <w:jc w:val="center"/>
              <w:rPr>
                <w:szCs w:val="36"/>
              </w:rPr>
            </w:pPr>
            <w:r w:rsidRPr="001C0E32">
              <w:rPr>
                <w:szCs w:val="36"/>
                <w:lang w:val="hu-HU"/>
              </w:rPr>
              <w:t>magas</w:t>
            </w:r>
          </w:p>
        </w:tc>
        <w:tc>
          <w:tcPr>
            <w:tcW w:w="3969" w:type="dxa"/>
            <w:gridSpan w:val="2"/>
          </w:tcPr>
          <w:p w14:paraId="5BBB782E" w14:textId="5421AE92" w:rsidR="006F28C5" w:rsidRPr="001C0E32" w:rsidRDefault="006F28C5" w:rsidP="006F28C5">
            <w:pPr>
              <w:rPr>
                <w:szCs w:val="36"/>
              </w:rPr>
            </w:pPr>
            <w:r w:rsidRPr="001C0E32">
              <w:rPr>
                <w:szCs w:val="36"/>
                <w:lang w:val="hu-HU"/>
              </w:rPr>
              <w:t>A helyi önkormányzatoknak és közpénzből finanszírozott intézményeknek lehetőleg olyan pályázatokon kell elindulniuk, ahol a projekt megvalósításához szükséges menedzsment és szakértői tevékenységük is finanszírozható. Azaz az Önkormányzatoknak és az érintett intézményeknek törekednie kell arra, hogy a projekt megvalósításának minél kisebb részét finanszírozza, ezáltal biztosítva az anyagi függetlenséget. A kockázatot növeli, hogy hitelfelvételre is kizárólag előzetes kormányzati hozzájárulást követően van lehetősége az önkormányzatoknak.</w:t>
            </w:r>
          </w:p>
        </w:tc>
      </w:tr>
      <w:tr w:rsidR="001C0E32" w:rsidRPr="001C0E32" w14:paraId="02DDCC76" w14:textId="77777777" w:rsidTr="00742406">
        <w:trPr>
          <w:trHeight w:val="347"/>
        </w:trPr>
        <w:tc>
          <w:tcPr>
            <w:tcW w:w="2265" w:type="dxa"/>
            <w:vAlign w:val="center"/>
          </w:tcPr>
          <w:p w14:paraId="0B25F7AA" w14:textId="030C416F" w:rsidR="006F28C5" w:rsidRPr="001C0E32" w:rsidRDefault="006F28C5" w:rsidP="006F28C5">
            <w:pPr>
              <w:jc w:val="left"/>
              <w:rPr>
                <w:szCs w:val="36"/>
              </w:rPr>
            </w:pPr>
            <w:r w:rsidRPr="001C0E32">
              <w:rPr>
                <w:szCs w:val="36"/>
                <w:lang w:val="hu-HU"/>
              </w:rPr>
              <w:t xml:space="preserve">A jogállami mechanizmussal kapcsolatos vita az EU-val; az uniós források, a helyreállítási alap és </w:t>
            </w:r>
            <w:r w:rsidRPr="001C0E32">
              <w:rPr>
                <w:szCs w:val="36"/>
                <w:lang w:val="hu-HU"/>
              </w:rPr>
              <w:lastRenderedPageBreak/>
              <w:t>a kedvezményes hitel keretének csökkenése vagy elvesztése</w:t>
            </w:r>
          </w:p>
        </w:tc>
        <w:tc>
          <w:tcPr>
            <w:tcW w:w="1558" w:type="dxa"/>
            <w:gridSpan w:val="2"/>
            <w:vAlign w:val="center"/>
          </w:tcPr>
          <w:p w14:paraId="4A9AE529" w14:textId="0836F80C" w:rsidR="006F28C5" w:rsidRPr="001C0E32" w:rsidRDefault="006F28C5" w:rsidP="006F28C5">
            <w:pPr>
              <w:jc w:val="center"/>
              <w:rPr>
                <w:szCs w:val="36"/>
              </w:rPr>
            </w:pPr>
            <w:r w:rsidRPr="001C0E32">
              <w:rPr>
                <w:szCs w:val="36"/>
                <w:lang w:val="hu-HU"/>
              </w:rPr>
              <w:lastRenderedPageBreak/>
              <w:t>közepes</w:t>
            </w:r>
          </w:p>
        </w:tc>
        <w:tc>
          <w:tcPr>
            <w:tcW w:w="1275" w:type="dxa"/>
            <w:vAlign w:val="center"/>
          </w:tcPr>
          <w:p w14:paraId="33563CC6" w14:textId="3FD6AB18" w:rsidR="006F28C5" w:rsidRPr="001C0E32" w:rsidRDefault="006F28C5" w:rsidP="006F28C5">
            <w:pPr>
              <w:jc w:val="center"/>
              <w:rPr>
                <w:szCs w:val="36"/>
              </w:rPr>
            </w:pPr>
            <w:r w:rsidRPr="001C0E32">
              <w:rPr>
                <w:szCs w:val="36"/>
                <w:lang w:val="hu-HU"/>
              </w:rPr>
              <w:t>közepes</w:t>
            </w:r>
          </w:p>
        </w:tc>
        <w:tc>
          <w:tcPr>
            <w:tcW w:w="3969" w:type="dxa"/>
            <w:gridSpan w:val="2"/>
            <w:vAlign w:val="center"/>
          </w:tcPr>
          <w:p w14:paraId="0E663A78" w14:textId="296E942C" w:rsidR="006F28C5" w:rsidRPr="001C0E32" w:rsidRDefault="006F28C5" w:rsidP="00742406">
            <w:pPr>
              <w:rPr>
                <w:szCs w:val="36"/>
              </w:rPr>
            </w:pPr>
            <w:r w:rsidRPr="001C0E32">
              <w:rPr>
                <w:szCs w:val="36"/>
                <w:lang w:val="hu-HU"/>
              </w:rPr>
              <w:t>A projektfinanszírozás kockázatát jelentősen csökkenti, ha minél több önerőt és közvetlen európai uniós forrást sikerül bevonni a források közé.</w:t>
            </w:r>
          </w:p>
        </w:tc>
      </w:tr>
      <w:tr w:rsidR="001C0E32" w:rsidRPr="001C0E32" w14:paraId="41DABD03" w14:textId="77777777" w:rsidTr="004424D4">
        <w:trPr>
          <w:trHeight w:val="347"/>
        </w:trPr>
        <w:tc>
          <w:tcPr>
            <w:tcW w:w="2265" w:type="dxa"/>
            <w:vAlign w:val="center"/>
          </w:tcPr>
          <w:p w14:paraId="423255CD" w14:textId="5C65D988" w:rsidR="006F28C5" w:rsidRPr="001C0E32" w:rsidRDefault="006F28C5" w:rsidP="006F28C5">
            <w:pPr>
              <w:jc w:val="left"/>
              <w:rPr>
                <w:szCs w:val="36"/>
              </w:rPr>
            </w:pPr>
            <w:r w:rsidRPr="001C0E32">
              <w:rPr>
                <w:szCs w:val="36"/>
                <w:lang w:val="hu-HU"/>
              </w:rPr>
              <w:t>Elektromos hálózati problémák, a megtermelt megújuló energiák befogadásának korlátozottsága.</w:t>
            </w:r>
          </w:p>
        </w:tc>
        <w:tc>
          <w:tcPr>
            <w:tcW w:w="1558" w:type="dxa"/>
            <w:gridSpan w:val="2"/>
            <w:vAlign w:val="center"/>
          </w:tcPr>
          <w:p w14:paraId="20127F74" w14:textId="4A571D48" w:rsidR="006F28C5" w:rsidRPr="001C0E32" w:rsidRDefault="006F28C5" w:rsidP="006F28C5">
            <w:pPr>
              <w:jc w:val="center"/>
              <w:rPr>
                <w:szCs w:val="36"/>
              </w:rPr>
            </w:pPr>
            <w:r w:rsidRPr="001C0E32">
              <w:rPr>
                <w:szCs w:val="36"/>
                <w:lang w:val="hu-HU"/>
              </w:rPr>
              <w:t>közepes</w:t>
            </w:r>
          </w:p>
        </w:tc>
        <w:tc>
          <w:tcPr>
            <w:tcW w:w="1275" w:type="dxa"/>
            <w:vAlign w:val="center"/>
          </w:tcPr>
          <w:p w14:paraId="00B040CA" w14:textId="0B0B3C0F" w:rsidR="006F28C5" w:rsidRPr="001C0E32" w:rsidRDefault="006F28C5" w:rsidP="006F28C5">
            <w:pPr>
              <w:jc w:val="center"/>
              <w:rPr>
                <w:szCs w:val="36"/>
              </w:rPr>
            </w:pPr>
            <w:r w:rsidRPr="001C0E32">
              <w:rPr>
                <w:szCs w:val="36"/>
                <w:lang w:val="hu-HU"/>
              </w:rPr>
              <w:t>magas</w:t>
            </w:r>
          </w:p>
        </w:tc>
        <w:tc>
          <w:tcPr>
            <w:tcW w:w="3969" w:type="dxa"/>
            <w:gridSpan w:val="2"/>
          </w:tcPr>
          <w:p w14:paraId="04B228FA" w14:textId="490BCA50" w:rsidR="006F28C5" w:rsidRPr="001C0E32" w:rsidRDefault="006F28C5" w:rsidP="006F28C5">
            <w:pPr>
              <w:rPr>
                <w:szCs w:val="36"/>
              </w:rPr>
            </w:pPr>
            <w:r w:rsidRPr="001C0E32">
              <w:rPr>
                <w:szCs w:val="36"/>
                <w:lang w:val="hu-HU"/>
              </w:rPr>
              <w:t>A kockázatot csökkenti, ha a kiviteli tervek elkészítésével párhuzamosan folyamatos egyeztetések zajlanak a hálózatüzemeltetővel a várható beruházási elemekről és az esetlegesen felmerülő műszaki problémákról. Emellett a projekt politikai képviselete is szükséges lesz, hogy az esetlegesen jelentkező hálózati problémákat a kellő időben kezelni lehessen.</w:t>
            </w:r>
          </w:p>
        </w:tc>
      </w:tr>
      <w:tr w:rsidR="001C0E32" w:rsidRPr="001C0E32" w14:paraId="4E45BFB8" w14:textId="77777777" w:rsidTr="004424D4">
        <w:trPr>
          <w:trHeight w:val="347"/>
        </w:trPr>
        <w:tc>
          <w:tcPr>
            <w:tcW w:w="2265" w:type="dxa"/>
            <w:vAlign w:val="center"/>
          </w:tcPr>
          <w:p w14:paraId="7A24C238" w14:textId="511E44A1" w:rsidR="006F28C5" w:rsidRPr="001C0E32" w:rsidRDefault="006F28C5" w:rsidP="006F28C5">
            <w:pPr>
              <w:jc w:val="left"/>
              <w:rPr>
                <w:szCs w:val="36"/>
              </w:rPr>
            </w:pPr>
            <w:r w:rsidRPr="001C0E32">
              <w:rPr>
                <w:szCs w:val="36"/>
                <w:lang w:val="hu-HU"/>
              </w:rPr>
              <w:t>Tetőfelújítási szükségletek</w:t>
            </w:r>
          </w:p>
        </w:tc>
        <w:tc>
          <w:tcPr>
            <w:tcW w:w="1558" w:type="dxa"/>
            <w:gridSpan w:val="2"/>
            <w:vAlign w:val="center"/>
          </w:tcPr>
          <w:p w14:paraId="6F3BDF25" w14:textId="113BAA22" w:rsidR="006F28C5" w:rsidRPr="001C0E32" w:rsidRDefault="006F28C5" w:rsidP="006F28C5">
            <w:pPr>
              <w:jc w:val="center"/>
              <w:rPr>
                <w:szCs w:val="36"/>
              </w:rPr>
            </w:pPr>
            <w:r w:rsidRPr="001C0E32">
              <w:rPr>
                <w:szCs w:val="36"/>
                <w:lang w:val="hu-HU"/>
              </w:rPr>
              <w:t>közepes</w:t>
            </w:r>
          </w:p>
        </w:tc>
        <w:tc>
          <w:tcPr>
            <w:tcW w:w="1275" w:type="dxa"/>
            <w:vAlign w:val="center"/>
          </w:tcPr>
          <w:p w14:paraId="66EC7192" w14:textId="38FAA56E" w:rsidR="006F28C5" w:rsidRPr="001C0E32" w:rsidRDefault="006F28C5" w:rsidP="006F28C5">
            <w:pPr>
              <w:jc w:val="center"/>
              <w:rPr>
                <w:szCs w:val="36"/>
              </w:rPr>
            </w:pPr>
            <w:r w:rsidRPr="001C0E32">
              <w:rPr>
                <w:szCs w:val="36"/>
                <w:lang w:val="hu-HU"/>
              </w:rPr>
              <w:t>közepes</w:t>
            </w:r>
          </w:p>
        </w:tc>
        <w:tc>
          <w:tcPr>
            <w:tcW w:w="3969" w:type="dxa"/>
            <w:gridSpan w:val="2"/>
          </w:tcPr>
          <w:p w14:paraId="17CDD3DF" w14:textId="02A946F4" w:rsidR="006F28C5" w:rsidRPr="001C0E32" w:rsidRDefault="006F28C5" w:rsidP="006F28C5">
            <w:pPr>
              <w:rPr>
                <w:szCs w:val="36"/>
              </w:rPr>
            </w:pPr>
            <w:r w:rsidRPr="001C0E32">
              <w:rPr>
                <w:szCs w:val="36"/>
                <w:lang w:val="hu-HU"/>
              </w:rPr>
              <w:t>A tetőkre szerelt napelemes rendszerek telepítésével az eszközök élettartamának lejártáig nehézkes lesz a hozzáférés a tetőfelületekhez, ezért az esetleges hibák kijavítása célszerű lesz a rendszerek telepítése előtt. A tetők kijavításához szükséges pénzeszközök valószínűleg nem minden esetben állnak majd rendelkezésre a társasházaknál, épülettulajdonosoknál. A pályázat benyújtása előtt mindenképp át kell beszélni minden egyes projektben szereplő épületnél a tetők helyzetét. Forráshiány esetén megoldást kell találni a probléma orvoslására.</w:t>
            </w:r>
          </w:p>
        </w:tc>
      </w:tr>
      <w:tr w:rsidR="006F28C5" w14:paraId="56B36FA0" w14:textId="77777777" w:rsidTr="004424D4">
        <w:tc>
          <w:tcPr>
            <w:tcW w:w="9067" w:type="dxa"/>
            <w:gridSpan w:val="6"/>
            <w:shd w:val="clear" w:color="auto" w:fill="F2F2F2" w:themeFill="background1" w:themeFillShade="F2"/>
          </w:tcPr>
          <w:p w14:paraId="18A6EBDE" w14:textId="5263B8FC" w:rsidR="006F28C5" w:rsidRPr="003C43D5" w:rsidRDefault="006F28C5" w:rsidP="006F28C5">
            <w:pPr>
              <w:pStyle w:val="Cmsor2"/>
              <w:outlineLvl w:val="1"/>
            </w:pPr>
            <w:bookmarkStart w:id="34" w:name="_Toc133510185"/>
            <w:r w:rsidRPr="003C43D5">
              <w:t>4.4. Finanszírozási mód és pénzügyi források</w:t>
            </w:r>
            <w:bookmarkEnd w:id="34"/>
          </w:p>
        </w:tc>
      </w:tr>
      <w:tr w:rsidR="006F28C5" w14:paraId="29996188" w14:textId="77777777" w:rsidTr="004424D4">
        <w:tc>
          <w:tcPr>
            <w:tcW w:w="9067" w:type="dxa"/>
            <w:gridSpan w:val="6"/>
          </w:tcPr>
          <w:p w14:paraId="2B3F3769" w14:textId="77777777" w:rsidR="006F28C5" w:rsidRPr="00A938A1" w:rsidRDefault="006F28C5" w:rsidP="006F28C5">
            <w:r w:rsidRPr="00A938A1">
              <w:t>Az energiapiac gazdasági és politikai okokból igen gyors és hektikus változásoknak van kitéve az elmúlt években. Jelenleg roppant nehéz előre kalkulálni, megtérülést számítani az energiahatékonysággal és megújuló energiákkal kapcsolatos beruházások esetén. A megtérülési idő és ezáltal a szóba jöhető pénzügyi források frissítésére folyamatosan szükség lesz a beruházások megkezdéséig.</w:t>
            </w:r>
          </w:p>
          <w:p w14:paraId="0F01C250" w14:textId="5B0FAF4E" w:rsidR="006F28C5" w:rsidRDefault="006F28C5" w:rsidP="006F28C5">
            <w:r w:rsidRPr="00A938A1">
              <w:t>A projekt megvalósítása (a jelenlegi gazdasági és politikai helyzetben) a lassú megtérülés miatt elsősorban támogatások rendelkezésre állása esetén valósulhat meg. Támogatás esetén az önerő biztosítása döntően a projektgazdától és annak pénzügyi helyzetétől függ, azonban az kijelenthető, hogy a szükséges önerő saját és állami (vagy európai uniós) forrásból, kedvező hitelekből és esetleges beruházóktól érkezhet. A potenciálisan igénybe vehető támogatásként nyújtott pénzügyi források választéka viszonylag széles körű, a következőkben ezek szemléltetésére kerül sor.</w:t>
            </w:r>
          </w:p>
          <w:p w14:paraId="03C52B44" w14:textId="5FA82FA2" w:rsidR="006F28C5" w:rsidRPr="006A1301" w:rsidRDefault="006F28C5" w:rsidP="006F28C5">
            <w:pPr>
              <w:rPr>
                <w:b/>
                <w:bCs/>
              </w:rPr>
            </w:pPr>
            <w:r w:rsidRPr="006A1301">
              <w:rPr>
                <w:b/>
                <w:bCs/>
              </w:rPr>
              <w:t>1. Közvetlen európai uniós források</w:t>
            </w:r>
          </w:p>
          <w:p w14:paraId="5694E338" w14:textId="77777777" w:rsidR="006F28C5" w:rsidRPr="006A1301" w:rsidRDefault="006F28C5" w:rsidP="006F28C5">
            <w:pPr>
              <w:rPr>
                <w:b/>
                <w:bCs/>
                <w:u w:val="single"/>
              </w:rPr>
            </w:pPr>
            <w:r w:rsidRPr="006A1301">
              <w:rPr>
                <w:b/>
                <w:bCs/>
                <w:u w:val="single"/>
              </w:rPr>
              <w:t>Program: EU Renewable Energy Financing Mechanism</w:t>
            </w:r>
          </w:p>
          <w:p w14:paraId="28DDC0B9" w14:textId="77777777" w:rsidR="006F28C5" w:rsidRPr="006A1301" w:rsidRDefault="006F28C5" w:rsidP="006F28C5">
            <w:r w:rsidRPr="006A1301">
              <w:rPr>
                <w:u w:val="single"/>
              </w:rPr>
              <w:t>Főbb jellemzők, prioritások:</w:t>
            </w:r>
            <w:r w:rsidRPr="006A1301">
              <w:t xml:space="preserve"> A mechanizmus célja a megújuló erőforrások terjedésének segítése az EU-ban. Fő célkitűzése, hogy segítse az EU-s országok együttműködését a megújulók terén, valamint </w:t>
            </w:r>
            <w:r w:rsidRPr="006A1301">
              <w:lastRenderedPageBreak/>
              <w:t>az Európai Zöld Megállapodással összhangban megújulókkal foglalkozó projekteket támogasson. Cél az is, hogy regionális projektek minél előbb támogatást kaphassanak.</w:t>
            </w:r>
          </w:p>
          <w:p w14:paraId="5E3749D4" w14:textId="77777777" w:rsidR="006F28C5" w:rsidRPr="006A1301" w:rsidRDefault="006F28C5" w:rsidP="006F28C5">
            <w:r w:rsidRPr="006A1301">
              <w:t>A program fogadó országaiban befektetés történik megújuló energia projektekbe, amelyet a támogató országok önkéntes hozzájárulásai segítenek.</w:t>
            </w:r>
          </w:p>
          <w:p w14:paraId="0A1834F1" w14:textId="77777777" w:rsidR="006F28C5" w:rsidRPr="006A1301" w:rsidRDefault="006F28C5" w:rsidP="006F28C5">
            <w:r w:rsidRPr="006A1301">
              <w:rPr>
                <w:u w:val="single"/>
              </w:rPr>
              <w:t>Költségvetés:</w:t>
            </w:r>
            <w:r w:rsidRPr="006A1301">
              <w:t xml:space="preserve"> ismeretlen</w:t>
            </w:r>
          </w:p>
          <w:p w14:paraId="5DB3BCBE" w14:textId="77777777" w:rsidR="006F28C5" w:rsidRPr="006A1301" w:rsidRDefault="006F28C5" w:rsidP="006F28C5">
            <w:r w:rsidRPr="006A1301">
              <w:rPr>
                <w:u w:val="single"/>
              </w:rPr>
              <w:t>Projekt jellemzők:</w:t>
            </w:r>
            <w:r w:rsidRPr="006A1301">
              <w:t xml:space="preserve"> Projektméret: 10 millió € alatt</w:t>
            </w:r>
          </w:p>
          <w:p w14:paraId="535CB1E5" w14:textId="77777777" w:rsidR="006F28C5" w:rsidRPr="006A1301" w:rsidRDefault="006F28C5" w:rsidP="006F28C5">
            <w:r w:rsidRPr="006A1301">
              <w:rPr>
                <w:u w:val="single"/>
              </w:rPr>
              <w:t>Támogatási intenzitás:</w:t>
            </w:r>
            <w:r w:rsidRPr="006A1301">
              <w:t xml:space="preserve"> Felhívás függvényében</w:t>
            </w:r>
          </w:p>
          <w:p w14:paraId="2621751C" w14:textId="552EB06A" w:rsidR="006F28C5" w:rsidRPr="006A1301" w:rsidRDefault="006F28C5" w:rsidP="006F28C5">
            <w:r w:rsidRPr="006A1301">
              <w:rPr>
                <w:u w:val="single"/>
              </w:rPr>
              <w:t>Támogatott tevékenységek:</w:t>
            </w:r>
            <w:r>
              <w:t xml:space="preserve"> </w:t>
            </w:r>
            <w:r w:rsidRPr="006A1301">
              <w:t>SECAP infrastrukturális elemeinek megvalósítása</w:t>
            </w:r>
          </w:p>
          <w:p w14:paraId="75BC088C" w14:textId="097CAE7B" w:rsidR="006F28C5" w:rsidRDefault="006F28C5" w:rsidP="006F28C5">
            <w:r w:rsidRPr="006A1301">
              <w:rPr>
                <w:u w:val="single"/>
              </w:rPr>
              <w:t>Felhívások:</w:t>
            </w:r>
            <w:r w:rsidRPr="006A1301">
              <w:t xml:space="preserve"> Jelenleg nem érhetőek el</w:t>
            </w:r>
          </w:p>
          <w:p w14:paraId="0F3E4EB9" w14:textId="77777777" w:rsidR="006F28C5" w:rsidRDefault="006F28C5" w:rsidP="006F28C5"/>
          <w:p w14:paraId="083A280B" w14:textId="6A757F96" w:rsidR="006F28C5" w:rsidRPr="0091368D" w:rsidRDefault="006F28C5" w:rsidP="006F28C5">
            <w:pPr>
              <w:tabs>
                <w:tab w:val="left" w:pos="284"/>
              </w:tabs>
              <w:rPr>
                <w:b/>
                <w:bCs/>
                <w:szCs w:val="18"/>
                <w:u w:val="single"/>
                <w:lang w:val="hu-HU"/>
              </w:rPr>
            </w:pPr>
            <w:r w:rsidRPr="0091368D">
              <w:rPr>
                <w:b/>
                <w:bCs/>
                <w:szCs w:val="18"/>
                <w:u w:val="single"/>
                <w:lang w:val="hu-HU"/>
              </w:rPr>
              <w:t>Program</w:t>
            </w:r>
            <w:r>
              <w:rPr>
                <w:b/>
                <w:bCs/>
                <w:szCs w:val="18"/>
                <w:u w:val="single"/>
                <w:lang w:val="hu-HU"/>
              </w:rPr>
              <w:t xml:space="preserve">: </w:t>
            </w:r>
            <w:r w:rsidRPr="0091368D">
              <w:rPr>
                <w:b/>
                <w:bCs/>
                <w:szCs w:val="18"/>
                <w:u w:val="single"/>
                <w:lang w:val="hu-HU"/>
              </w:rPr>
              <w:t>Horizon Europe Cluster 5: Climate, Energy and Mobility</w:t>
            </w:r>
          </w:p>
          <w:p w14:paraId="3A1EEC7D" w14:textId="4FF6F52C" w:rsidR="006F28C5" w:rsidRPr="0091368D" w:rsidRDefault="006F28C5" w:rsidP="006F28C5">
            <w:pPr>
              <w:tabs>
                <w:tab w:val="left" w:pos="284"/>
              </w:tabs>
              <w:rPr>
                <w:szCs w:val="18"/>
                <w:lang w:val="hu-HU"/>
              </w:rPr>
            </w:pPr>
            <w:r w:rsidRPr="00286E22">
              <w:rPr>
                <w:szCs w:val="18"/>
                <w:u w:val="single"/>
                <w:lang w:val="hu-HU"/>
              </w:rPr>
              <w:t>Főbb jellemzők, prioritások:</w:t>
            </w:r>
            <w:r>
              <w:rPr>
                <w:szCs w:val="18"/>
                <w:u w:val="single"/>
                <w:lang w:val="hu-HU"/>
              </w:rPr>
              <w:t xml:space="preserve"> </w:t>
            </w:r>
            <w:r w:rsidRPr="0091368D">
              <w:rPr>
                <w:szCs w:val="18"/>
                <w:lang w:val="hu-HU"/>
              </w:rPr>
              <w:t>A Horizon Eur</w:t>
            </w:r>
            <w:r>
              <w:rPr>
                <w:szCs w:val="18"/>
                <w:lang w:val="hu-HU"/>
              </w:rPr>
              <w:t>o</w:t>
            </w:r>
            <w:r w:rsidRPr="0091368D">
              <w:rPr>
                <w:szCs w:val="18"/>
                <w:lang w:val="hu-HU"/>
              </w:rPr>
              <w:t xml:space="preserve">pa az EU fő kutatás-fejlesztési és innovációs (KFI) alapja. </w:t>
            </w:r>
            <w:proofErr w:type="gramStart"/>
            <w:r w:rsidRPr="0091368D">
              <w:rPr>
                <w:szCs w:val="18"/>
                <w:lang w:val="hu-HU"/>
              </w:rPr>
              <w:t>A</w:t>
            </w:r>
            <w:proofErr w:type="gramEnd"/>
            <w:r w:rsidRPr="0091368D">
              <w:rPr>
                <w:szCs w:val="18"/>
                <w:lang w:val="hu-HU"/>
              </w:rPr>
              <w:t xml:space="preserve"> HE részeként tematikus klaszterekkel támogatnak KFI projekteket. Ezek egy része nem érhető el önkormányzati ügyfeleknek (pl. mert egy új technológia kifejlesztésére irányulnak), azonban egyre </w:t>
            </w:r>
            <w:proofErr w:type="gramStart"/>
            <w:r w:rsidRPr="0091368D">
              <w:rPr>
                <w:szCs w:val="18"/>
                <w:lang w:val="hu-HU"/>
              </w:rPr>
              <w:t>több</w:t>
            </w:r>
            <w:proofErr w:type="gramEnd"/>
            <w:r w:rsidRPr="0091368D">
              <w:rPr>
                <w:szCs w:val="18"/>
                <w:lang w:val="hu-HU"/>
              </w:rPr>
              <w:t xml:space="preserve"> HE felhívás ad lehetőséget városok csatlakozására. Ennek részeként a városok lehetnek demo helyszínek, “világítótorony” városok, “követő” városok, innovatív policy megoldások fejlesztői stb.</w:t>
            </w:r>
          </w:p>
          <w:p w14:paraId="4F633D9E" w14:textId="77777777" w:rsidR="006F28C5" w:rsidRPr="0091368D" w:rsidRDefault="006F28C5" w:rsidP="006F28C5">
            <w:pPr>
              <w:tabs>
                <w:tab w:val="left" w:pos="284"/>
              </w:tabs>
              <w:rPr>
                <w:szCs w:val="18"/>
                <w:lang w:val="hu-HU"/>
              </w:rPr>
            </w:pPr>
            <w:r w:rsidRPr="0091368D">
              <w:rPr>
                <w:szCs w:val="18"/>
                <w:lang w:val="hu-HU"/>
              </w:rPr>
              <w:t>Az ötös klaszter (Klíma, Energia és Mobilitás) célja a klíma tudományok támogatása, az energiaellátás, energia rendszerek és hálózatok fejlesztése, az épített környezet szerepe az energia átmenetben, valamint a közlekedés és az okos mobilitás.</w:t>
            </w:r>
          </w:p>
          <w:p w14:paraId="2D3FB7CF" w14:textId="77777777" w:rsidR="006F28C5" w:rsidRPr="0091368D" w:rsidRDefault="006F28C5" w:rsidP="006F28C5">
            <w:pPr>
              <w:tabs>
                <w:tab w:val="left" w:pos="284"/>
              </w:tabs>
              <w:rPr>
                <w:szCs w:val="18"/>
                <w:lang w:val="hu-HU"/>
              </w:rPr>
            </w:pPr>
            <w:r w:rsidRPr="00286E22">
              <w:rPr>
                <w:szCs w:val="18"/>
                <w:u w:val="single"/>
                <w:lang w:val="hu-HU"/>
              </w:rPr>
              <w:t>Költségvetés:</w:t>
            </w:r>
            <w:r>
              <w:rPr>
                <w:szCs w:val="18"/>
                <w:lang w:val="hu-HU"/>
              </w:rPr>
              <w:t xml:space="preserve"> </w:t>
            </w:r>
            <w:r w:rsidRPr="0091368D">
              <w:rPr>
                <w:szCs w:val="18"/>
                <w:lang w:val="hu-HU"/>
              </w:rPr>
              <w:t>3,6 milliárd € a 2021-22 években (5-ös klaszter)</w:t>
            </w:r>
          </w:p>
          <w:p w14:paraId="007B38C6" w14:textId="77777777" w:rsidR="006F28C5" w:rsidRPr="0091368D" w:rsidRDefault="006F28C5" w:rsidP="006F28C5">
            <w:pPr>
              <w:tabs>
                <w:tab w:val="left" w:pos="284"/>
              </w:tabs>
              <w:rPr>
                <w:szCs w:val="18"/>
                <w:lang w:val="hu-HU"/>
              </w:rPr>
            </w:pPr>
            <w:r w:rsidRPr="00286E22">
              <w:rPr>
                <w:szCs w:val="18"/>
                <w:u w:val="single"/>
                <w:lang w:val="hu-HU"/>
              </w:rPr>
              <w:t>Projekt jellemzők:</w:t>
            </w:r>
            <w:r>
              <w:rPr>
                <w:szCs w:val="18"/>
                <w:lang w:val="hu-HU"/>
              </w:rPr>
              <w:t xml:space="preserve"> </w:t>
            </w:r>
            <w:r w:rsidRPr="0091368D">
              <w:rPr>
                <w:szCs w:val="18"/>
                <w:lang w:val="hu-HU"/>
              </w:rPr>
              <w:t>Projektméret: Felhívás függvényében</w:t>
            </w:r>
          </w:p>
          <w:p w14:paraId="123DBCBA" w14:textId="77777777" w:rsidR="006F28C5" w:rsidRPr="0091368D" w:rsidRDefault="006F28C5" w:rsidP="006F28C5">
            <w:pPr>
              <w:tabs>
                <w:tab w:val="left" w:pos="284"/>
              </w:tabs>
              <w:rPr>
                <w:szCs w:val="18"/>
                <w:lang w:val="hu-HU"/>
              </w:rPr>
            </w:pPr>
            <w:r w:rsidRPr="00286E22">
              <w:rPr>
                <w:szCs w:val="18"/>
                <w:u w:val="single"/>
                <w:lang w:val="hu-HU"/>
              </w:rPr>
              <w:t>Támogatási intenzitás:</w:t>
            </w:r>
            <w:r w:rsidRPr="0091368D">
              <w:rPr>
                <w:szCs w:val="18"/>
                <w:lang w:val="hu-HU"/>
              </w:rPr>
              <w:t xml:space="preserve"> Felhívás függvényében, de tipikusan 100% önkormányzatoknak</w:t>
            </w:r>
          </w:p>
          <w:p w14:paraId="657DF945" w14:textId="0FE28063" w:rsidR="006F28C5" w:rsidRPr="0091368D" w:rsidRDefault="006F28C5" w:rsidP="006F28C5">
            <w:pPr>
              <w:tabs>
                <w:tab w:val="left" w:pos="284"/>
              </w:tabs>
              <w:rPr>
                <w:szCs w:val="18"/>
                <w:lang w:val="hu-HU"/>
              </w:rPr>
            </w:pPr>
            <w:r w:rsidRPr="00286E22">
              <w:rPr>
                <w:szCs w:val="18"/>
                <w:u w:val="single"/>
                <w:lang w:val="hu-HU"/>
              </w:rPr>
              <w:t>Támogatott tevékenységek:</w:t>
            </w:r>
            <w:r>
              <w:rPr>
                <w:szCs w:val="18"/>
                <w:lang w:val="hu-HU"/>
              </w:rPr>
              <w:t xml:space="preserve"> </w:t>
            </w:r>
            <w:r w:rsidRPr="0091368D">
              <w:rPr>
                <w:szCs w:val="18"/>
                <w:lang w:val="hu-HU"/>
              </w:rPr>
              <w:t>SECAP infrastrukturális elemeinek megvalósítása, SECAP “puha” elemeinek megvalósítása, szakértők finanszírozása, projek</w:t>
            </w:r>
            <w:r>
              <w:rPr>
                <w:szCs w:val="18"/>
                <w:lang w:val="hu-HU"/>
              </w:rPr>
              <w:t>t-</w:t>
            </w:r>
            <w:r w:rsidRPr="0091368D">
              <w:rPr>
                <w:szCs w:val="18"/>
                <w:lang w:val="hu-HU"/>
              </w:rPr>
              <w:t>előkészítés</w:t>
            </w:r>
          </w:p>
          <w:p w14:paraId="5F468B23" w14:textId="0E378D2D" w:rsidR="006F28C5" w:rsidRPr="000A112B" w:rsidRDefault="006F28C5" w:rsidP="006F28C5">
            <w:pPr>
              <w:tabs>
                <w:tab w:val="left" w:pos="284"/>
              </w:tabs>
              <w:rPr>
                <w:szCs w:val="18"/>
                <w:lang w:val="hu-HU"/>
              </w:rPr>
            </w:pPr>
            <w:r w:rsidRPr="006F3C9F">
              <w:rPr>
                <w:szCs w:val="18"/>
                <w:u w:val="single"/>
                <w:lang w:val="hu-HU"/>
              </w:rPr>
              <w:t>Felhívások:</w:t>
            </w:r>
            <w:r>
              <w:rPr>
                <w:szCs w:val="18"/>
                <w:lang w:val="hu-HU"/>
              </w:rPr>
              <w:t xml:space="preserve"> </w:t>
            </w:r>
            <w:r w:rsidRPr="0091368D">
              <w:rPr>
                <w:szCs w:val="18"/>
                <w:lang w:val="hu-HU"/>
              </w:rPr>
              <w:t>A következő felhívásokat azonosítottuk a 2023-24-es munkaprogramból:</w:t>
            </w:r>
          </w:p>
          <w:p w14:paraId="5DC13AFB" w14:textId="7BC138FE" w:rsidR="006F28C5" w:rsidRPr="000A112B" w:rsidRDefault="006F28C5" w:rsidP="006F28C5">
            <w:pPr>
              <w:pStyle w:val="Listaszerbekezds"/>
              <w:numPr>
                <w:ilvl w:val="0"/>
                <w:numId w:val="30"/>
              </w:numPr>
              <w:tabs>
                <w:tab w:val="left" w:pos="284"/>
              </w:tabs>
              <w:spacing w:line="276" w:lineRule="auto"/>
              <w:rPr>
                <w:szCs w:val="18"/>
                <w:lang w:val="en-GB"/>
              </w:rPr>
            </w:pPr>
            <w:r w:rsidRPr="000A112B">
              <w:rPr>
                <w:szCs w:val="18"/>
                <w:lang w:val="en-GB"/>
              </w:rPr>
              <w:t>HORIZON-CL5-2024-D4-01-01: Low-disruptive renovation processes using integration</w:t>
            </w:r>
            <w:r>
              <w:rPr>
                <w:szCs w:val="18"/>
                <w:lang w:val="en-GB"/>
              </w:rPr>
              <w:t xml:space="preserve"> </w:t>
            </w:r>
            <w:r w:rsidRPr="000A112B">
              <w:rPr>
                <w:szCs w:val="18"/>
                <w:lang w:val="en-GB"/>
              </w:rPr>
              <w:t>of prefabricated solutions for energy-efficient buildings</w:t>
            </w:r>
          </w:p>
          <w:p w14:paraId="3CD20D2C" w14:textId="3EB4554B" w:rsidR="006F28C5" w:rsidRDefault="006F28C5" w:rsidP="006F28C5">
            <w:pPr>
              <w:pStyle w:val="Listaszerbekezds"/>
              <w:numPr>
                <w:ilvl w:val="0"/>
                <w:numId w:val="30"/>
              </w:numPr>
              <w:tabs>
                <w:tab w:val="left" w:pos="284"/>
              </w:tabs>
              <w:spacing w:line="276" w:lineRule="auto"/>
              <w:rPr>
                <w:szCs w:val="18"/>
                <w:lang w:val="en-GB"/>
              </w:rPr>
            </w:pPr>
            <w:r w:rsidRPr="000A112B">
              <w:rPr>
                <w:szCs w:val="18"/>
                <w:lang w:val="en-GB"/>
              </w:rPr>
              <w:t>HORIZON-CL5-2024-D4-02-01: Industrialisation of sustainable and circular deep</w:t>
            </w:r>
            <w:r>
              <w:rPr>
                <w:szCs w:val="18"/>
                <w:lang w:val="en-GB"/>
              </w:rPr>
              <w:t xml:space="preserve"> </w:t>
            </w:r>
            <w:r w:rsidRPr="000A112B">
              <w:rPr>
                <w:szCs w:val="18"/>
                <w:lang w:val="en-GB"/>
              </w:rPr>
              <w:t>renovation workflows (Built4People Partnership)</w:t>
            </w:r>
          </w:p>
          <w:p w14:paraId="2739032D" w14:textId="298C3457" w:rsidR="006F28C5" w:rsidRPr="000A112B" w:rsidRDefault="006F28C5" w:rsidP="006F28C5">
            <w:pPr>
              <w:pStyle w:val="Listaszerbekezds"/>
              <w:numPr>
                <w:ilvl w:val="0"/>
                <w:numId w:val="30"/>
              </w:numPr>
              <w:tabs>
                <w:tab w:val="left" w:pos="284"/>
              </w:tabs>
              <w:spacing w:line="276" w:lineRule="auto"/>
              <w:rPr>
                <w:szCs w:val="18"/>
                <w:lang w:val="en-GB"/>
              </w:rPr>
            </w:pPr>
            <w:r w:rsidRPr="000A112B">
              <w:rPr>
                <w:szCs w:val="18"/>
                <w:lang w:val="en-GB"/>
              </w:rPr>
              <w:t>HORIZON-CL5-2023-D3-01-02: PV integration in buildings and in infrastructure</w:t>
            </w:r>
          </w:p>
          <w:p w14:paraId="4EE4F0FA" w14:textId="77777777" w:rsidR="006F28C5" w:rsidRPr="0001667F" w:rsidRDefault="006F28C5" w:rsidP="006F28C5">
            <w:pPr>
              <w:tabs>
                <w:tab w:val="left" w:pos="284"/>
              </w:tabs>
              <w:rPr>
                <w:b/>
                <w:bCs/>
                <w:szCs w:val="18"/>
                <w:u w:val="single"/>
                <w:lang w:val="hu-HU"/>
              </w:rPr>
            </w:pPr>
            <w:r w:rsidRPr="0001667F">
              <w:rPr>
                <w:b/>
                <w:bCs/>
                <w:szCs w:val="18"/>
                <w:u w:val="single"/>
                <w:lang w:val="hu-HU"/>
              </w:rPr>
              <w:t>Program</w:t>
            </w:r>
            <w:r>
              <w:rPr>
                <w:b/>
                <w:bCs/>
                <w:szCs w:val="18"/>
                <w:u w:val="single"/>
                <w:lang w:val="hu-HU"/>
              </w:rPr>
              <w:t xml:space="preserve">: </w:t>
            </w:r>
            <w:r w:rsidRPr="0001667F">
              <w:rPr>
                <w:b/>
                <w:bCs/>
                <w:szCs w:val="18"/>
                <w:u w:val="single"/>
                <w:lang w:val="hu-HU"/>
              </w:rPr>
              <w:t>Innovation Fund</w:t>
            </w:r>
          </w:p>
          <w:p w14:paraId="3FFD94D1" w14:textId="77777777" w:rsidR="006F28C5" w:rsidRPr="0001667F" w:rsidRDefault="006F28C5" w:rsidP="006F28C5">
            <w:pPr>
              <w:tabs>
                <w:tab w:val="left" w:pos="284"/>
              </w:tabs>
              <w:rPr>
                <w:szCs w:val="18"/>
                <w:lang w:val="hu-HU"/>
              </w:rPr>
            </w:pPr>
            <w:r w:rsidRPr="0001667F">
              <w:rPr>
                <w:szCs w:val="18"/>
                <w:u w:val="single"/>
                <w:lang w:val="hu-HU"/>
              </w:rPr>
              <w:t>Főbb jellemzők, prioritások:</w:t>
            </w:r>
            <w:r>
              <w:rPr>
                <w:szCs w:val="18"/>
                <w:lang w:val="hu-HU"/>
              </w:rPr>
              <w:t xml:space="preserve"> </w:t>
            </w:r>
            <w:r w:rsidRPr="0001667F">
              <w:rPr>
                <w:szCs w:val="18"/>
                <w:lang w:val="hu-HU"/>
              </w:rPr>
              <w:t>Az Innovation Fund célja vállalatoknak nyújtani befektetést alacsony szénkibo</w:t>
            </w:r>
            <w:r>
              <w:rPr>
                <w:szCs w:val="18"/>
                <w:lang w:val="hu-HU"/>
              </w:rPr>
              <w:t>csá</w:t>
            </w:r>
            <w:r w:rsidRPr="0001667F">
              <w:rPr>
                <w:szCs w:val="18"/>
                <w:lang w:val="hu-HU"/>
              </w:rPr>
              <w:t>tású innovatív technológiák kifejlesztéséhez. Különböző méretű, akár tízmillió eurós nagyságrendű projekteket támogatnak az innovatív alacsony kibocsátású technológiák, a szénmegkötés, az energiatárolás, illetve a megújuló erőforrások terén</w:t>
            </w:r>
            <w:r>
              <w:rPr>
                <w:szCs w:val="18"/>
                <w:lang w:val="hu-HU"/>
              </w:rPr>
              <w:t>.</w:t>
            </w:r>
          </w:p>
          <w:p w14:paraId="7E42E246" w14:textId="77777777" w:rsidR="006F28C5" w:rsidRPr="0001667F" w:rsidRDefault="006F28C5" w:rsidP="006F28C5">
            <w:pPr>
              <w:tabs>
                <w:tab w:val="left" w:pos="284"/>
              </w:tabs>
              <w:rPr>
                <w:szCs w:val="18"/>
                <w:lang w:val="hu-HU"/>
              </w:rPr>
            </w:pPr>
            <w:r w:rsidRPr="0001667F">
              <w:rPr>
                <w:szCs w:val="18"/>
                <w:lang w:val="hu-HU"/>
              </w:rPr>
              <w:t>Az EUCF beruházási koncepciókhoz leginkább, már méretüknél fogva is, a kisprojektek (7,5 millió euró alatt) illeszkednek.</w:t>
            </w:r>
          </w:p>
          <w:p w14:paraId="66EF9B27" w14:textId="77777777" w:rsidR="006F28C5" w:rsidRPr="0001667F" w:rsidRDefault="006F28C5" w:rsidP="006F28C5">
            <w:pPr>
              <w:tabs>
                <w:tab w:val="left" w:pos="284"/>
              </w:tabs>
              <w:rPr>
                <w:szCs w:val="18"/>
                <w:lang w:val="hu-HU"/>
              </w:rPr>
            </w:pPr>
            <w:r w:rsidRPr="0001667F">
              <w:rPr>
                <w:szCs w:val="18"/>
                <w:u w:val="single"/>
                <w:lang w:val="hu-HU"/>
              </w:rPr>
              <w:t>Költségvetés:</w:t>
            </w:r>
            <w:r>
              <w:rPr>
                <w:szCs w:val="18"/>
                <w:lang w:val="hu-HU"/>
              </w:rPr>
              <w:t xml:space="preserve"> </w:t>
            </w:r>
            <w:r w:rsidRPr="0001667F">
              <w:rPr>
                <w:szCs w:val="18"/>
                <w:lang w:val="hu-HU"/>
              </w:rPr>
              <w:t>Nem ismert</w:t>
            </w:r>
          </w:p>
          <w:p w14:paraId="11200D99" w14:textId="77777777" w:rsidR="006F28C5" w:rsidRPr="0001667F" w:rsidRDefault="006F28C5" w:rsidP="006F28C5">
            <w:pPr>
              <w:tabs>
                <w:tab w:val="left" w:pos="284"/>
              </w:tabs>
              <w:rPr>
                <w:szCs w:val="18"/>
                <w:lang w:val="hu-HU"/>
              </w:rPr>
            </w:pPr>
            <w:r w:rsidRPr="0001667F">
              <w:rPr>
                <w:szCs w:val="18"/>
                <w:u w:val="single"/>
                <w:lang w:val="hu-HU"/>
              </w:rPr>
              <w:t>Projekt jellemzők:</w:t>
            </w:r>
            <w:r>
              <w:rPr>
                <w:szCs w:val="18"/>
                <w:lang w:val="hu-HU"/>
              </w:rPr>
              <w:t xml:space="preserve"> </w:t>
            </w:r>
            <w:r w:rsidRPr="0001667F">
              <w:rPr>
                <w:szCs w:val="18"/>
                <w:lang w:val="hu-HU"/>
              </w:rPr>
              <w:t>Projektméret: változó</w:t>
            </w:r>
          </w:p>
          <w:p w14:paraId="15B665AD" w14:textId="77777777" w:rsidR="006F28C5" w:rsidRPr="0001667F" w:rsidRDefault="006F28C5" w:rsidP="006F28C5">
            <w:pPr>
              <w:tabs>
                <w:tab w:val="left" w:pos="284"/>
              </w:tabs>
              <w:rPr>
                <w:szCs w:val="18"/>
                <w:lang w:val="hu-HU"/>
              </w:rPr>
            </w:pPr>
            <w:r w:rsidRPr="0001667F">
              <w:rPr>
                <w:szCs w:val="18"/>
                <w:u w:val="single"/>
                <w:lang w:val="hu-HU"/>
              </w:rPr>
              <w:t>Támogatási intenzitás:</w:t>
            </w:r>
            <w:r w:rsidRPr="0001667F">
              <w:rPr>
                <w:szCs w:val="18"/>
                <w:lang w:val="hu-HU"/>
              </w:rPr>
              <w:t xml:space="preserve"> 60% (normál projekteknél)</w:t>
            </w:r>
          </w:p>
          <w:p w14:paraId="11674F14" w14:textId="77777777" w:rsidR="006F28C5" w:rsidRPr="0001667F" w:rsidRDefault="006F28C5" w:rsidP="006F28C5">
            <w:pPr>
              <w:tabs>
                <w:tab w:val="left" w:pos="284"/>
              </w:tabs>
              <w:rPr>
                <w:szCs w:val="18"/>
                <w:lang w:val="hu-HU"/>
              </w:rPr>
            </w:pPr>
            <w:r w:rsidRPr="0001667F">
              <w:rPr>
                <w:szCs w:val="18"/>
                <w:u w:val="single"/>
                <w:lang w:val="hu-HU"/>
              </w:rPr>
              <w:lastRenderedPageBreak/>
              <w:t>Támogatott tevékenységek:</w:t>
            </w:r>
            <w:r>
              <w:rPr>
                <w:szCs w:val="18"/>
                <w:lang w:val="hu-HU"/>
              </w:rPr>
              <w:t xml:space="preserve"> </w:t>
            </w:r>
            <w:r w:rsidRPr="0001667F">
              <w:rPr>
                <w:szCs w:val="18"/>
                <w:lang w:val="hu-HU"/>
              </w:rPr>
              <w:t>SECAP infrastrukturális elemeinek megvalósítása</w:t>
            </w:r>
          </w:p>
          <w:p w14:paraId="77F2F8EE" w14:textId="58E0DD53" w:rsidR="006F28C5" w:rsidRDefault="006F28C5" w:rsidP="006F28C5">
            <w:pPr>
              <w:pStyle w:val="Listaszerbekezds"/>
              <w:tabs>
                <w:tab w:val="left" w:pos="284"/>
              </w:tabs>
              <w:rPr>
                <w:szCs w:val="18"/>
                <w:lang w:val="hu-HU"/>
              </w:rPr>
            </w:pPr>
            <w:r w:rsidRPr="0001667F">
              <w:rPr>
                <w:szCs w:val="18"/>
                <w:u w:val="single"/>
                <w:lang w:val="hu-HU"/>
              </w:rPr>
              <w:t>Felhívások:</w:t>
            </w:r>
            <w:r>
              <w:rPr>
                <w:szCs w:val="18"/>
                <w:lang w:val="hu-HU"/>
              </w:rPr>
              <w:t xml:space="preserve"> </w:t>
            </w:r>
            <w:r w:rsidRPr="0001667F">
              <w:rPr>
                <w:szCs w:val="18"/>
                <w:lang w:val="hu-HU"/>
              </w:rPr>
              <w:t xml:space="preserve">A </w:t>
            </w:r>
            <w:r>
              <w:rPr>
                <w:szCs w:val="18"/>
                <w:lang w:val="hu-HU"/>
              </w:rPr>
              <w:t xml:space="preserve">harmadik </w:t>
            </w:r>
            <w:r w:rsidR="00C70080">
              <w:rPr>
                <w:szCs w:val="18"/>
                <w:lang w:val="hu-HU"/>
              </w:rPr>
              <w:t xml:space="preserve">– nagyméretű projektekre vonatkozó – </w:t>
            </w:r>
            <w:r>
              <w:rPr>
                <w:szCs w:val="18"/>
                <w:lang w:val="hu-HU"/>
              </w:rPr>
              <w:t>felhívási kör</w:t>
            </w:r>
            <w:r w:rsidRPr="0001667F">
              <w:rPr>
                <w:szCs w:val="18"/>
                <w:lang w:val="hu-HU"/>
              </w:rPr>
              <w:t xml:space="preserve"> 202</w:t>
            </w:r>
            <w:r>
              <w:rPr>
                <w:szCs w:val="18"/>
                <w:lang w:val="hu-HU"/>
              </w:rPr>
              <w:t>3</w:t>
            </w:r>
            <w:r w:rsidRPr="0001667F">
              <w:rPr>
                <w:szCs w:val="18"/>
                <w:lang w:val="hu-HU"/>
              </w:rPr>
              <w:t xml:space="preserve">. </w:t>
            </w:r>
            <w:r>
              <w:rPr>
                <w:szCs w:val="18"/>
                <w:lang w:val="hu-HU"/>
              </w:rPr>
              <w:t>március</w:t>
            </w:r>
            <w:r w:rsidRPr="0001667F">
              <w:rPr>
                <w:szCs w:val="18"/>
                <w:lang w:val="hu-HU"/>
              </w:rPr>
              <w:t xml:space="preserve"> </w:t>
            </w:r>
            <w:r>
              <w:rPr>
                <w:szCs w:val="18"/>
                <w:lang w:val="hu-HU"/>
              </w:rPr>
              <w:t>16-án zárult.</w:t>
            </w:r>
            <w:r w:rsidR="00C70080">
              <w:t xml:space="preserve"> </w:t>
            </w:r>
            <w:r w:rsidR="00C70080" w:rsidRPr="00C70080">
              <w:rPr>
                <w:szCs w:val="18"/>
                <w:lang w:val="hu-HU"/>
              </w:rPr>
              <w:t xml:space="preserve">A harmadik – </w:t>
            </w:r>
            <w:r w:rsidR="00C70080">
              <w:rPr>
                <w:szCs w:val="18"/>
                <w:lang w:val="hu-HU"/>
              </w:rPr>
              <w:t>kis</w:t>
            </w:r>
            <w:r w:rsidR="00C70080" w:rsidRPr="00C70080">
              <w:rPr>
                <w:szCs w:val="18"/>
                <w:lang w:val="hu-HU"/>
              </w:rPr>
              <w:t>méretű projektekre vonatkozó – felhívási kör 2023. március</w:t>
            </w:r>
            <w:r w:rsidR="00C70080">
              <w:rPr>
                <w:szCs w:val="18"/>
                <w:lang w:val="hu-HU"/>
              </w:rPr>
              <w:t xml:space="preserve"> 30-án nyílik várhatóan és 2023. szeptember 19-én zárul.</w:t>
            </w:r>
          </w:p>
          <w:p w14:paraId="22113721" w14:textId="77777777" w:rsidR="006F28C5" w:rsidRPr="000013B8" w:rsidRDefault="006F28C5" w:rsidP="006F28C5">
            <w:pPr>
              <w:pStyle w:val="Listaszerbekezds"/>
              <w:tabs>
                <w:tab w:val="left" w:pos="284"/>
              </w:tabs>
              <w:rPr>
                <w:szCs w:val="18"/>
                <w:lang w:val="en-GB"/>
              </w:rPr>
            </w:pPr>
          </w:p>
          <w:p w14:paraId="13F496EB" w14:textId="77777777" w:rsidR="006F28C5" w:rsidRPr="0000523E" w:rsidRDefault="006F28C5" w:rsidP="006F28C5">
            <w:pPr>
              <w:tabs>
                <w:tab w:val="left" w:pos="284"/>
              </w:tabs>
              <w:rPr>
                <w:b/>
                <w:bCs/>
                <w:szCs w:val="18"/>
                <w:u w:val="single"/>
                <w:lang w:val="hu-HU"/>
              </w:rPr>
            </w:pPr>
            <w:r w:rsidRPr="0000523E">
              <w:rPr>
                <w:b/>
                <w:bCs/>
                <w:szCs w:val="18"/>
                <w:u w:val="single"/>
                <w:lang w:val="hu-HU"/>
              </w:rPr>
              <w:t>Program</w:t>
            </w:r>
            <w:r>
              <w:rPr>
                <w:b/>
                <w:bCs/>
                <w:szCs w:val="18"/>
                <w:u w:val="single"/>
                <w:lang w:val="hu-HU"/>
              </w:rPr>
              <w:t xml:space="preserve">: </w:t>
            </w:r>
            <w:r w:rsidRPr="0000523E">
              <w:rPr>
                <w:b/>
                <w:bCs/>
                <w:szCs w:val="18"/>
                <w:u w:val="single"/>
                <w:lang w:val="hu-HU"/>
              </w:rPr>
              <w:t>Life Clean Energy Transition</w:t>
            </w:r>
          </w:p>
          <w:p w14:paraId="294E6A92" w14:textId="77777777" w:rsidR="006F28C5" w:rsidRPr="0000523E" w:rsidRDefault="006F28C5" w:rsidP="006F28C5">
            <w:pPr>
              <w:tabs>
                <w:tab w:val="left" w:pos="284"/>
              </w:tabs>
              <w:rPr>
                <w:szCs w:val="18"/>
                <w:lang w:val="hu-HU"/>
              </w:rPr>
            </w:pPr>
            <w:r w:rsidRPr="0000523E">
              <w:rPr>
                <w:szCs w:val="18"/>
                <w:u w:val="single"/>
                <w:lang w:val="hu-HU"/>
              </w:rPr>
              <w:t>Főbb jellemzők, prioritások:</w:t>
            </w:r>
            <w:r>
              <w:rPr>
                <w:szCs w:val="18"/>
                <w:lang w:val="hu-HU"/>
              </w:rPr>
              <w:t xml:space="preserve"> </w:t>
            </w:r>
            <w:r w:rsidRPr="0000523E">
              <w:rPr>
                <w:szCs w:val="18"/>
                <w:lang w:val="hu-HU"/>
              </w:rPr>
              <w:t>A LIFE az EU fő zöld programja, amelyik főként nagyszabású, helyi konzorciumon alapuló projekteket támogat. A Tiszta Energia Átmenet alprogram céljai a következők:</w:t>
            </w:r>
          </w:p>
          <w:p w14:paraId="405B3B88" w14:textId="77777777" w:rsidR="006F28C5" w:rsidRPr="0000523E" w:rsidRDefault="006F28C5" w:rsidP="006F28C5">
            <w:pPr>
              <w:pStyle w:val="Listaszerbekezds"/>
              <w:numPr>
                <w:ilvl w:val="0"/>
                <w:numId w:val="31"/>
              </w:numPr>
              <w:tabs>
                <w:tab w:val="left" w:pos="284"/>
              </w:tabs>
              <w:spacing w:line="276" w:lineRule="auto"/>
              <w:rPr>
                <w:szCs w:val="18"/>
                <w:lang w:val="hu-HU"/>
              </w:rPr>
            </w:pPr>
            <w:r w:rsidRPr="0000523E">
              <w:rPr>
                <w:szCs w:val="18"/>
                <w:lang w:val="hu-HU"/>
              </w:rPr>
              <w:t>Helyi, regionális és nemzeti keretrendszerek megteremtése</w:t>
            </w:r>
          </w:p>
          <w:p w14:paraId="070797BE" w14:textId="77777777" w:rsidR="006F28C5" w:rsidRPr="0000523E" w:rsidRDefault="006F28C5" w:rsidP="006F28C5">
            <w:pPr>
              <w:pStyle w:val="Listaszerbekezds"/>
              <w:numPr>
                <w:ilvl w:val="0"/>
                <w:numId w:val="31"/>
              </w:numPr>
              <w:tabs>
                <w:tab w:val="left" w:pos="284"/>
              </w:tabs>
              <w:spacing w:line="276" w:lineRule="auto"/>
              <w:rPr>
                <w:szCs w:val="18"/>
                <w:lang w:val="hu-HU"/>
              </w:rPr>
            </w:pPr>
            <w:r w:rsidRPr="0000523E">
              <w:rPr>
                <w:szCs w:val="18"/>
                <w:lang w:val="hu-HU"/>
              </w:rPr>
              <w:t>Technológiák bevezetésének gyorsítása</w:t>
            </w:r>
          </w:p>
          <w:p w14:paraId="49550480" w14:textId="77777777" w:rsidR="006F28C5" w:rsidRPr="0000523E" w:rsidRDefault="006F28C5" w:rsidP="006F28C5">
            <w:pPr>
              <w:pStyle w:val="Listaszerbekezds"/>
              <w:numPr>
                <w:ilvl w:val="0"/>
                <w:numId w:val="31"/>
              </w:numPr>
              <w:tabs>
                <w:tab w:val="left" w:pos="284"/>
              </w:tabs>
              <w:spacing w:line="276" w:lineRule="auto"/>
              <w:rPr>
                <w:szCs w:val="18"/>
                <w:lang w:val="hu-HU"/>
              </w:rPr>
            </w:pPr>
            <w:r w:rsidRPr="0000523E">
              <w:rPr>
                <w:szCs w:val="18"/>
                <w:lang w:val="hu-HU"/>
              </w:rPr>
              <w:t>Magántőke bevonzása</w:t>
            </w:r>
          </w:p>
          <w:p w14:paraId="5D9A9058" w14:textId="77777777" w:rsidR="006F28C5" w:rsidRPr="0000523E" w:rsidRDefault="006F28C5" w:rsidP="006F28C5">
            <w:pPr>
              <w:pStyle w:val="Listaszerbekezds"/>
              <w:numPr>
                <w:ilvl w:val="0"/>
                <w:numId w:val="31"/>
              </w:numPr>
              <w:tabs>
                <w:tab w:val="left" w:pos="284"/>
              </w:tabs>
              <w:spacing w:line="276" w:lineRule="auto"/>
              <w:rPr>
                <w:szCs w:val="18"/>
                <w:lang w:val="hu-HU"/>
              </w:rPr>
            </w:pPr>
            <w:r w:rsidRPr="0000523E">
              <w:rPr>
                <w:szCs w:val="18"/>
                <w:lang w:val="hu-HU"/>
              </w:rPr>
              <w:t>Helyi és regionális projektek fejlesztésének támogatása</w:t>
            </w:r>
          </w:p>
          <w:p w14:paraId="0DA064C0" w14:textId="77777777" w:rsidR="006F28C5" w:rsidRPr="0000523E" w:rsidRDefault="006F28C5" w:rsidP="006F28C5">
            <w:pPr>
              <w:pStyle w:val="Listaszerbekezds"/>
              <w:numPr>
                <w:ilvl w:val="0"/>
                <w:numId w:val="31"/>
              </w:numPr>
              <w:tabs>
                <w:tab w:val="left" w:pos="284"/>
              </w:tabs>
              <w:spacing w:line="276" w:lineRule="auto"/>
              <w:rPr>
                <w:szCs w:val="18"/>
                <w:lang w:val="hu-HU"/>
              </w:rPr>
            </w:pPr>
            <w:r w:rsidRPr="0000523E">
              <w:rPr>
                <w:szCs w:val="18"/>
                <w:lang w:val="hu-HU"/>
              </w:rPr>
              <w:t>Az emberek bevonása az energiaátmenetbe</w:t>
            </w:r>
          </w:p>
          <w:p w14:paraId="5D45D8FD" w14:textId="77777777" w:rsidR="006F28C5" w:rsidRPr="0000523E" w:rsidRDefault="006F28C5" w:rsidP="006F28C5">
            <w:pPr>
              <w:tabs>
                <w:tab w:val="left" w:pos="284"/>
              </w:tabs>
              <w:rPr>
                <w:szCs w:val="18"/>
                <w:lang w:val="hu-HU"/>
              </w:rPr>
            </w:pPr>
            <w:r w:rsidRPr="0000523E">
              <w:rPr>
                <w:szCs w:val="18"/>
                <w:u w:val="single"/>
                <w:lang w:val="hu-HU"/>
              </w:rPr>
              <w:t>Költségvetés:</w:t>
            </w:r>
            <w:r>
              <w:rPr>
                <w:szCs w:val="18"/>
                <w:lang w:val="hu-HU"/>
              </w:rPr>
              <w:t xml:space="preserve"> </w:t>
            </w:r>
            <w:r w:rsidRPr="0000523E">
              <w:rPr>
                <w:szCs w:val="18"/>
                <w:lang w:val="hu-HU"/>
              </w:rPr>
              <w:t>5,43 milliárd € a teljes programra a 2021-27 ciklusban.</w:t>
            </w:r>
          </w:p>
          <w:p w14:paraId="5BA24770" w14:textId="77777777" w:rsidR="006F28C5" w:rsidRPr="0000523E" w:rsidRDefault="006F28C5" w:rsidP="006F28C5">
            <w:pPr>
              <w:tabs>
                <w:tab w:val="left" w:pos="284"/>
              </w:tabs>
              <w:rPr>
                <w:szCs w:val="18"/>
                <w:lang w:val="hu-HU"/>
              </w:rPr>
            </w:pPr>
            <w:r w:rsidRPr="0000523E">
              <w:rPr>
                <w:szCs w:val="18"/>
                <w:u w:val="single"/>
                <w:lang w:val="hu-HU"/>
              </w:rPr>
              <w:t>Projekt jellemzők:</w:t>
            </w:r>
            <w:r>
              <w:rPr>
                <w:szCs w:val="18"/>
                <w:lang w:val="hu-HU"/>
              </w:rPr>
              <w:t xml:space="preserve"> </w:t>
            </w:r>
            <w:r w:rsidRPr="0000523E">
              <w:rPr>
                <w:szCs w:val="18"/>
                <w:lang w:val="hu-HU"/>
              </w:rPr>
              <w:t>Projektméret: változó</w:t>
            </w:r>
          </w:p>
          <w:p w14:paraId="7B9B723E" w14:textId="77777777" w:rsidR="006F28C5" w:rsidRPr="0000523E" w:rsidRDefault="006F28C5" w:rsidP="006F28C5">
            <w:pPr>
              <w:tabs>
                <w:tab w:val="left" w:pos="284"/>
              </w:tabs>
              <w:rPr>
                <w:szCs w:val="18"/>
                <w:lang w:val="hu-HU"/>
              </w:rPr>
            </w:pPr>
            <w:r w:rsidRPr="0000523E">
              <w:rPr>
                <w:szCs w:val="18"/>
                <w:u w:val="single"/>
                <w:lang w:val="hu-HU"/>
              </w:rPr>
              <w:t>Támogatási intenzitás:</w:t>
            </w:r>
            <w:r w:rsidRPr="0000523E">
              <w:rPr>
                <w:szCs w:val="18"/>
                <w:lang w:val="hu-HU"/>
              </w:rPr>
              <w:t xml:space="preserve"> 60%</w:t>
            </w:r>
          </w:p>
          <w:p w14:paraId="157ABD92" w14:textId="77777777" w:rsidR="006F28C5" w:rsidRPr="0000523E" w:rsidRDefault="006F28C5" w:rsidP="006F28C5">
            <w:pPr>
              <w:tabs>
                <w:tab w:val="left" w:pos="284"/>
              </w:tabs>
              <w:rPr>
                <w:szCs w:val="18"/>
                <w:lang w:val="hu-HU"/>
              </w:rPr>
            </w:pPr>
            <w:r w:rsidRPr="0000523E">
              <w:rPr>
                <w:szCs w:val="18"/>
                <w:u w:val="single"/>
                <w:lang w:val="hu-HU"/>
              </w:rPr>
              <w:t>Támogatott tevékenységek:</w:t>
            </w:r>
            <w:r>
              <w:rPr>
                <w:szCs w:val="18"/>
                <w:lang w:val="hu-HU"/>
              </w:rPr>
              <w:t xml:space="preserve"> </w:t>
            </w:r>
            <w:r w:rsidRPr="0000523E">
              <w:rPr>
                <w:szCs w:val="18"/>
                <w:lang w:val="hu-HU"/>
              </w:rPr>
              <w:t>SECAP fejlesztés, SECAP infrastrukturális elemeinek megvalósítása, SECAP “szoft” elemeinek megvalósítása, szakértők finanszírozása, projekt</w:t>
            </w:r>
            <w:r>
              <w:rPr>
                <w:szCs w:val="18"/>
                <w:lang w:val="hu-HU"/>
              </w:rPr>
              <w:t>-</w:t>
            </w:r>
            <w:r w:rsidRPr="0000523E">
              <w:rPr>
                <w:szCs w:val="18"/>
                <w:lang w:val="hu-HU"/>
              </w:rPr>
              <w:t>előkészítés</w:t>
            </w:r>
          </w:p>
          <w:p w14:paraId="20C7460F" w14:textId="0BA986A4" w:rsidR="006F28C5" w:rsidRDefault="006F28C5" w:rsidP="006F28C5">
            <w:pPr>
              <w:tabs>
                <w:tab w:val="left" w:pos="284"/>
              </w:tabs>
              <w:rPr>
                <w:szCs w:val="18"/>
                <w:lang w:val="hu-HU"/>
              </w:rPr>
            </w:pPr>
            <w:r w:rsidRPr="0000523E">
              <w:rPr>
                <w:szCs w:val="18"/>
                <w:u w:val="single"/>
                <w:lang w:val="hu-HU"/>
              </w:rPr>
              <w:t>Felhívások:</w:t>
            </w:r>
            <w:r>
              <w:rPr>
                <w:szCs w:val="18"/>
                <w:lang w:val="hu-HU"/>
              </w:rPr>
              <w:t xml:space="preserve"> A következő felhívások közzétételének várható időpontja 2023 májusa.</w:t>
            </w:r>
          </w:p>
          <w:p w14:paraId="019EE88C" w14:textId="77777777" w:rsidR="006F28C5" w:rsidRDefault="006F28C5" w:rsidP="006F28C5">
            <w:pPr>
              <w:tabs>
                <w:tab w:val="left" w:pos="284"/>
              </w:tabs>
              <w:rPr>
                <w:szCs w:val="18"/>
                <w:lang w:val="hu-HU"/>
              </w:rPr>
            </w:pPr>
          </w:p>
          <w:p w14:paraId="289F6852" w14:textId="77777777" w:rsidR="006F28C5" w:rsidRPr="0089028B" w:rsidRDefault="006F28C5" w:rsidP="006F28C5">
            <w:pPr>
              <w:tabs>
                <w:tab w:val="left" w:pos="284"/>
              </w:tabs>
              <w:rPr>
                <w:b/>
                <w:bCs/>
                <w:szCs w:val="18"/>
                <w:u w:val="single"/>
                <w:lang w:val="hu-HU"/>
              </w:rPr>
            </w:pPr>
            <w:r w:rsidRPr="0089028B">
              <w:rPr>
                <w:b/>
                <w:bCs/>
                <w:szCs w:val="18"/>
                <w:u w:val="single"/>
                <w:lang w:val="hu-HU"/>
              </w:rPr>
              <w:t>Program: Interreg határon átnyúló együttműködések</w:t>
            </w:r>
          </w:p>
          <w:p w14:paraId="0671D441" w14:textId="77777777" w:rsidR="006F28C5" w:rsidRPr="00C50902" w:rsidRDefault="006F28C5" w:rsidP="006F28C5">
            <w:pPr>
              <w:tabs>
                <w:tab w:val="left" w:pos="284"/>
              </w:tabs>
              <w:rPr>
                <w:szCs w:val="18"/>
                <w:lang w:val="hu-HU"/>
              </w:rPr>
            </w:pPr>
            <w:r w:rsidRPr="0089028B">
              <w:rPr>
                <w:szCs w:val="18"/>
                <w:u w:val="single"/>
                <w:lang w:val="hu-HU"/>
              </w:rPr>
              <w:t>Főbb jellemzők, prioritások:</w:t>
            </w:r>
            <w:r>
              <w:rPr>
                <w:szCs w:val="18"/>
                <w:lang w:val="hu-HU"/>
              </w:rPr>
              <w:t xml:space="preserve"> </w:t>
            </w:r>
            <w:r w:rsidRPr="00C50902">
              <w:rPr>
                <w:szCs w:val="18"/>
                <w:lang w:val="hu-HU"/>
              </w:rPr>
              <w:t>A program a határmenti régiókban támogatja a határ két oldalán található szervezetek együttműködését. A konkrét prioritások programonként változóak.</w:t>
            </w:r>
          </w:p>
          <w:p w14:paraId="57E87982" w14:textId="77777777" w:rsidR="006F28C5" w:rsidRPr="00C50902" w:rsidRDefault="006F28C5" w:rsidP="006F28C5">
            <w:pPr>
              <w:tabs>
                <w:tab w:val="left" w:pos="284"/>
              </w:tabs>
              <w:rPr>
                <w:szCs w:val="18"/>
                <w:lang w:val="hu-HU"/>
              </w:rPr>
            </w:pPr>
            <w:r w:rsidRPr="0089028B">
              <w:rPr>
                <w:szCs w:val="18"/>
                <w:u w:val="single"/>
                <w:lang w:val="hu-HU"/>
              </w:rPr>
              <w:t>Költségvetés:</w:t>
            </w:r>
            <w:r>
              <w:rPr>
                <w:szCs w:val="18"/>
                <w:lang w:val="hu-HU"/>
              </w:rPr>
              <w:t xml:space="preserve"> </w:t>
            </w:r>
            <w:r w:rsidRPr="00C50902">
              <w:rPr>
                <w:szCs w:val="18"/>
                <w:lang w:val="hu-HU"/>
              </w:rPr>
              <w:t>változó</w:t>
            </w:r>
          </w:p>
          <w:p w14:paraId="0C8A5D67" w14:textId="77777777" w:rsidR="006F28C5" w:rsidRPr="00C50902" w:rsidRDefault="006F28C5" w:rsidP="006F28C5">
            <w:pPr>
              <w:tabs>
                <w:tab w:val="left" w:pos="284"/>
              </w:tabs>
              <w:rPr>
                <w:szCs w:val="18"/>
                <w:lang w:val="hu-HU"/>
              </w:rPr>
            </w:pPr>
            <w:r w:rsidRPr="0089028B">
              <w:rPr>
                <w:szCs w:val="18"/>
                <w:u w:val="single"/>
                <w:lang w:val="hu-HU"/>
              </w:rPr>
              <w:t>Projekt jellemzők:</w:t>
            </w:r>
            <w:r>
              <w:rPr>
                <w:szCs w:val="18"/>
                <w:lang w:val="hu-HU"/>
              </w:rPr>
              <w:t xml:space="preserve"> </w:t>
            </w:r>
            <w:r w:rsidRPr="00C50902">
              <w:rPr>
                <w:szCs w:val="18"/>
                <w:lang w:val="hu-HU"/>
              </w:rPr>
              <w:t>Programfüggő</w:t>
            </w:r>
          </w:p>
          <w:p w14:paraId="332DDE7C" w14:textId="77777777" w:rsidR="006F28C5" w:rsidRPr="00C50902" w:rsidRDefault="006F28C5" w:rsidP="006F28C5">
            <w:pPr>
              <w:tabs>
                <w:tab w:val="left" w:pos="284"/>
              </w:tabs>
              <w:rPr>
                <w:szCs w:val="18"/>
                <w:lang w:val="hu-HU"/>
              </w:rPr>
            </w:pPr>
            <w:r w:rsidRPr="0089028B">
              <w:rPr>
                <w:szCs w:val="18"/>
                <w:u w:val="single"/>
                <w:lang w:val="hu-HU"/>
              </w:rPr>
              <w:t>Támogatott tevékenységek:</w:t>
            </w:r>
            <w:r>
              <w:rPr>
                <w:szCs w:val="18"/>
                <w:lang w:val="hu-HU"/>
              </w:rPr>
              <w:t xml:space="preserve"> </w:t>
            </w:r>
            <w:r w:rsidRPr="00C50902">
              <w:rPr>
                <w:szCs w:val="18"/>
                <w:lang w:val="hu-HU"/>
              </w:rPr>
              <w:t>SECAP fejlesztés, SECAP infrastrukturális elemeinek megvalósítása, SECAP “szoft” elemeinek megvalósítása</w:t>
            </w:r>
          </w:p>
          <w:p w14:paraId="2B5B97C6" w14:textId="01BCF904" w:rsidR="006F28C5" w:rsidRDefault="006F28C5" w:rsidP="006F28C5">
            <w:r w:rsidRPr="0089028B">
              <w:rPr>
                <w:szCs w:val="18"/>
                <w:u w:val="single"/>
                <w:lang w:val="hu-HU"/>
              </w:rPr>
              <w:t>Felhívások:</w:t>
            </w:r>
            <w:r>
              <w:rPr>
                <w:szCs w:val="18"/>
                <w:lang w:val="hu-HU"/>
              </w:rPr>
              <w:t xml:space="preserve"> </w:t>
            </w:r>
            <w:r w:rsidRPr="00C50902">
              <w:rPr>
                <w:szCs w:val="18"/>
                <w:lang w:val="hu-HU"/>
              </w:rPr>
              <w:t>Következő pályázati határidő: változó</w:t>
            </w:r>
          </w:p>
          <w:p w14:paraId="1B96F90D" w14:textId="09DD2E15" w:rsidR="006F28C5" w:rsidRDefault="006F28C5" w:rsidP="006F28C5"/>
          <w:p w14:paraId="032DB39C" w14:textId="77777777" w:rsidR="006F28C5" w:rsidRPr="005F133B" w:rsidRDefault="006F28C5" w:rsidP="006F28C5">
            <w:pPr>
              <w:tabs>
                <w:tab w:val="left" w:pos="284"/>
              </w:tabs>
              <w:rPr>
                <w:b/>
                <w:bCs/>
                <w:szCs w:val="18"/>
                <w:lang w:val="hu-HU"/>
              </w:rPr>
            </w:pPr>
            <w:r w:rsidRPr="005F133B">
              <w:rPr>
                <w:b/>
                <w:bCs/>
                <w:szCs w:val="18"/>
                <w:lang w:val="hu-HU"/>
              </w:rPr>
              <w:t>Program: Interreg Európa</w:t>
            </w:r>
          </w:p>
          <w:p w14:paraId="0B502378" w14:textId="77777777" w:rsidR="006F28C5" w:rsidRPr="005F133B" w:rsidRDefault="006F28C5" w:rsidP="006F28C5">
            <w:pPr>
              <w:tabs>
                <w:tab w:val="left" w:pos="284"/>
              </w:tabs>
              <w:rPr>
                <w:szCs w:val="18"/>
                <w:lang w:val="hu-HU"/>
              </w:rPr>
            </w:pPr>
            <w:r w:rsidRPr="005F133B">
              <w:rPr>
                <w:szCs w:val="18"/>
                <w:u w:val="single"/>
                <w:lang w:val="hu-HU"/>
              </w:rPr>
              <w:t>Főbb jellemzők, prioritások:</w:t>
            </w:r>
            <w:r>
              <w:rPr>
                <w:szCs w:val="18"/>
                <w:lang w:val="hu-HU"/>
              </w:rPr>
              <w:t xml:space="preserve"> </w:t>
            </w:r>
            <w:r w:rsidRPr="005F133B">
              <w:rPr>
                <w:szCs w:val="18"/>
                <w:lang w:val="hu-HU"/>
              </w:rPr>
              <w:t>A program egész Európát lefedő partnerségeket támogat szakpolitikai eszközök fejlesztésében, illetve a szakpolitikai témájú tanulásban. A projektek irányulhatnak energetikai témára (a program követi a Kohéziós Politikai prioritásait).</w:t>
            </w:r>
          </w:p>
          <w:p w14:paraId="1C6D6420" w14:textId="77777777" w:rsidR="006F28C5" w:rsidRPr="005F133B" w:rsidRDefault="006F28C5" w:rsidP="006F28C5">
            <w:pPr>
              <w:tabs>
                <w:tab w:val="left" w:pos="284"/>
              </w:tabs>
              <w:rPr>
                <w:szCs w:val="18"/>
                <w:lang w:val="hu-HU"/>
              </w:rPr>
            </w:pPr>
            <w:r w:rsidRPr="005F133B">
              <w:rPr>
                <w:szCs w:val="18"/>
                <w:u w:val="single"/>
                <w:lang w:val="hu-HU"/>
              </w:rPr>
              <w:t>Költségvetés:</w:t>
            </w:r>
            <w:r>
              <w:rPr>
                <w:szCs w:val="18"/>
                <w:lang w:val="hu-HU"/>
              </w:rPr>
              <w:t xml:space="preserve"> </w:t>
            </w:r>
            <w:r w:rsidRPr="005F133B">
              <w:rPr>
                <w:szCs w:val="18"/>
                <w:lang w:val="hu-HU"/>
              </w:rPr>
              <w:t>380 millió € a 2021-27 ciklusra</w:t>
            </w:r>
          </w:p>
          <w:p w14:paraId="2BA6EC92" w14:textId="77777777" w:rsidR="006F28C5" w:rsidRPr="005F133B" w:rsidRDefault="006F28C5" w:rsidP="006F28C5">
            <w:pPr>
              <w:tabs>
                <w:tab w:val="left" w:pos="284"/>
              </w:tabs>
              <w:rPr>
                <w:szCs w:val="18"/>
                <w:lang w:val="hu-HU"/>
              </w:rPr>
            </w:pPr>
            <w:r w:rsidRPr="005F133B">
              <w:rPr>
                <w:szCs w:val="18"/>
                <w:u w:val="single"/>
                <w:lang w:val="hu-HU"/>
              </w:rPr>
              <w:t>Projekt jellemzők:</w:t>
            </w:r>
            <w:r>
              <w:rPr>
                <w:szCs w:val="18"/>
                <w:lang w:val="hu-HU"/>
              </w:rPr>
              <w:t xml:space="preserve"> </w:t>
            </w:r>
            <w:r w:rsidRPr="005F133B">
              <w:rPr>
                <w:szCs w:val="18"/>
                <w:lang w:val="hu-HU"/>
              </w:rPr>
              <w:t>Projektméret: 1-2 millió €</w:t>
            </w:r>
          </w:p>
          <w:p w14:paraId="3DCE562C" w14:textId="77777777" w:rsidR="006F28C5" w:rsidRPr="005F133B" w:rsidRDefault="006F28C5" w:rsidP="006F28C5">
            <w:pPr>
              <w:tabs>
                <w:tab w:val="left" w:pos="284"/>
              </w:tabs>
              <w:rPr>
                <w:szCs w:val="18"/>
                <w:lang w:val="hu-HU"/>
              </w:rPr>
            </w:pPr>
            <w:r w:rsidRPr="005F133B">
              <w:rPr>
                <w:szCs w:val="18"/>
                <w:u w:val="single"/>
                <w:lang w:val="hu-HU"/>
              </w:rPr>
              <w:t>Támogatási intenzitás:</w:t>
            </w:r>
            <w:r w:rsidRPr="005F133B">
              <w:rPr>
                <w:szCs w:val="18"/>
                <w:lang w:val="hu-HU"/>
              </w:rPr>
              <w:t xml:space="preserve"> 80%</w:t>
            </w:r>
            <w:r>
              <w:rPr>
                <w:szCs w:val="18"/>
                <w:lang w:val="hu-HU"/>
              </w:rPr>
              <w:t xml:space="preserve">, </w:t>
            </w:r>
            <w:r w:rsidRPr="005F133B">
              <w:rPr>
                <w:szCs w:val="18"/>
                <w:lang w:val="hu-HU"/>
              </w:rPr>
              <w:t>Transznacionális partnerség</w:t>
            </w:r>
          </w:p>
          <w:p w14:paraId="2FCCAFDD" w14:textId="77777777" w:rsidR="006F28C5" w:rsidRPr="005F133B" w:rsidRDefault="006F28C5" w:rsidP="006F28C5">
            <w:pPr>
              <w:tabs>
                <w:tab w:val="left" w:pos="284"/>
              </w:tabs>
              <w:rPr>
                <w:szCs w:val="18"/>
                <w:lang w:val="hu-HU"/>
              </w:rPr>
            </w:pPr>
            <w:r w:rsidRPr="005F133B">
              <w:rPr>
                <w:szCs w:val="18"/>
                <w:u w:val="single"/>
                <w:lang w:val="hu-HU"/>
              </w:rPr>
              <w:t>Támogatott tevékenységek:</w:t>
            </w:r>
            <w:r>
              <w:rPr>
                <w:szCs w:val="18"/>
                <w:lang w:val="hu-HU"/>
              </w:rPr>
              <w:t xml:space="preserve"> </w:t>
            </w:r>
            <w:r w:rsidRPr="005F133B">
              <w:rPr>
                <w:szCs w:val="18"/>
                <w:lang w:val="hu-HU"/>
              </w:rPr>
              <w:t>SECAP fejlesztés, SECAP “szoft” elemeinek megvalósítása</w:t>
            </w:r>
          </w:p>
          <w:p w14:paraId="2B5BC63D" w14:textId="28B9C74F" w:rsidR="006F28C5" w:rsidRDefault="006F28C5" w:rsidP="006F28C5">
            <w:pPr>
              <w:tabs>
                <w:tab w:val="left" w:pos="284"/>
              </w:tabs>
              <w:rPr>
                <w:szCs w:val="18"/>
                <w:lang w:val="hu-HU"/>
              </w:rPr>
            </w:pPr>
            <w:r w:rsidRPr="005F133B">
              <w:rPr>
                <w:szCs w:val="18"/>
                <w:u w:val="single"/>
                <w:lang w:val="hu-HU"/>
              </w:rPr>
              <w:t>Felhívások:</w:t>
            </w:r>
            <w:r>
              <w:rPr>
                <w:szCs w:val="18"/>
                <w:lang w:val="hu-HU"/>
              </w:rPr>
              <w:t xml:space="preserve"> </w:t>
            </w:r>
            <w:r w:rsidRPr="005F133B">
              <w:rPr>
                <w:szCs w:val="18"/>
                <w:lang w:val="hu-HU"/>
              </w:rPr>
              <w:t xml:space="preserve">Következő pályázati határidő: 2023 </w:t>
            </w:r>
            <w:r>
              <w:rPr>
                <w:szCs w:val="18"/>
                <w:lang w:val="hu-HU"/>
              </w:rPr>
              <w:t>június 9.</w:t>
            </w:r>
          </w:p>
          <w:p w14:paraId="053DA49D" w14:textId="7AD0EE2B" w:rsidR="006F28C5" w:rsidRDefault="006F28C5" w:rsidP="006F28C5"/>
          <w:p w14:paraId="49B05BBF" w14:textId="77777777" w:rsidR="006F28C5" w:rsidRPr="003A214E" w:rsidRDefault="006F28C5" w:rsidP="006F28C5">
            <w:pPr>
              <w:tabs>
                <w:tab w:val="left" w:pos="284"/>
              </w:tabs>
              <w:rPr>
                <w:b/>
                <w:bCs/>
                <w:szCs w:val="18"/>
                <w:u w:val="single"/>
                <w:lang w:val="hu-HU"/>
              </w:rPr>
            </w:pPr>
            <w:r w:rsidRPr="003A214E">
              <w:rPr>
                <w:b/>
                <w:bCs/>
                <w:szCs w:val="18"/>
                <w:u w:val="single"/>
                <w:lang w:val="hu-HU"/>
              </w:rPr>
              <w:lastRenderedPageBreak/>
              <w:t>Program: InvestEU</w:t>
            </w:r>
          </w:p>
          <w:p w14:paraId="0DBC8AB4" w14:textId="77777777" w:rsidR="006F28C5" w:rsidRPr="003A214E" w:rsidRDefault="006F28C5" w:rsidP="006F28C5">
            <w:pPr>
              <w:tabs>
                <w:tab w:val="left" w:pos="284"/>
              </w:tabs>
              <w:rPr>
                <w:szCs w:val="18"/>
                <w:lang w:val="hu-HU"/>
              </w:rPr>
            </w:pPr>
            <w:r w:rsidRPr="003A214E">
              <w:rPr>
                <w:szCs w:val="18"/>
                <w:u w:val="single"/>
                <w:lang w:val="hu-HU"/>
              </w:rPr>
              <w:t>Főbb jellemzők, prioritások:</w:t>
            </w:r>
            <w:r>
              <w:rPr>
                <w:szCs w:val="18"/>
                <w:lang w:val="hu-HU"/>
              </w:rPr>
              <w:t xml:space="preserve"> </w:t>
            </w:r>
            <w:r w:rsidRPr="003A214E">
              <w:rPr>
                <w:szCs w:val="18"/>
                <w:lang w:val="hu-HU"/>
              </w:rPr>
              <w:t>Ez az alap piaci alapú, keresletre épülő beruházásokat támogat. Ennek része a fenntartható infrastruktúra, kutatások, innováció és digitalizáció, és a KKV-k támogatása, valamint a társadalmi vállalkozások. Az InvestEU-t az EIB hajtja végre. Az InvestEU része egy méltányos átmenet alap is.</w:t>
            </w:r>
          </w:p>
          <w:p w14:paraId="1521C67A" w14:textId="77777777" w:rsidR="006F28C5" w:rsidRPr="003A214E" w:rsidRDefault="006F28C5" w:rsidP="006F28C5">
            <w:pPr>
              <w:tabs>
                <w:tab w:val="left" w:pos="284"/>
              </w:tabs>
              <w:rPr>
                <w:szCs w:val="18"/>
                <w:lang w:val="hu-HU"/>
              </w:rPr>
            </w:pPr>
            <w:r w:rsidRPr="003A214E">
              <w:rPr>
                <w:szCs w:val="18"/>
                <w:u w:val="single"/>
                <w:lang w:val="hu-HU"/>
              </w:rPr>
              <w:t>Költségvetés:</w:t>
            </w:r>
            <w:r>
              <w:rPr>
                <w:szCs w:val="18"/>
                <w:lang w:val="hu-HU"/>
              </w:rPr>
              <w:t xml:space="preserve"> </w:t>
            </w:r>
            <w:r w:rsidRPr="003A214E">
              <w:rPr>
                <w:szCs w:val="18"/>
                <w:lang w:val="hu-HU"/>
              </w:rPr>
              <w:t>372 milliárd €</w:t>
            </w:r>
          </w:p>
          <w:p w14:paraId="4BC7FACE" w14:textId="77777777" w:rsidR="006F28C5" w:rsidRPr="003A214E" w:rsidRDefault="006F28C5" w:rsidP="006F28C5">
            <w:pPr>
              <w:tabs>
                <w:tab w:val="left" w:pos="284"/>
              </w:tabs>
              <w:rPr>
                <w:szCs w:val="18"/>
                <w:lang w:val="hu-HU"/>
              </w:rPr>
            </w:pPr>
            <w:r w:rsidRPr="003A214E">
              <w:rPr>
                <w:szCs w:val="18"/>
                <w:u w:val="single"/>
                <w:lang w:val="hu-HU"/>
              </w:rPr>
              <w:t>Projekt jellemzők:</w:t>
            </w:r>
            <w:r>
              <w:rPr>
                <w:szCs w:val="18"/>
                <w:lang w:val="hu-HU"/>
              </w:rPr>
              <w:t xml:space="preserve"> nincs adat</w:t>
            </w:r>
          </w:p>
          <w:p w14:paraId="51ED8B6C" w14:textId="77777777" w:rsidR="006F28C5" w:rsidRPr="003A214E" w:rsidRDefault="006F28C5" w:rsidP="006F28C5">
            <w:pPr>
              <w:tabs>
                <w:tab w:val="left" w:pos="284"/>
              </w:tabs>
              <w:rPr>
                <w:szCs w:val="18"/>
                <w:lang w:val="hu-HU"/>
              </w:rPr>
            </w:pPr>
            <w:r w:rsidRPr="003A214E">
              <w:rPr>
                <w:szCs w:val="18"/>
                <w:u w:val="single"/>
                <w:lang w:val="hu-HU"/>
              </w:rPr>
              <w:t>Támogatott tevékenységek:</w:t>
            </w:r>
            <w:r w:rsidRPr="0003387C">
              <w:rPr>
                <w:szCs w:val="18"/>
                <w:lang w:val="hu-HU"/>
              </w:rPr>
              <w:t xml:space="preserve"> </w:t>
            </w:r>
            <w:r w:rsidRPr="003A214E">
              <w:rPr>
                <w:szCs w:val="18"/>
                <w:lang w:val="hu-HU"/>
              </w:rPr>
              <w:t>SECAP infrastrukturális elemeinek végrehajtása, szakértők finanszírozása</w:t>
            </w:r>
          </w:p>
          <w:p w14:paraId="52E68EB1" w14:textId="210A9F3A" w:rsidR="006F28C5" w:rsidRDefault="006F28C5" w:rsidP="006F28C5">
            <w:r w:rsidRPr="003A214E">
              <w:rPr>
                <w:szCs w:val="18"/>
                <w:u w:val="single"/>
                <w:lang w:val="hu-HU"/>
              </w:rPr>
              <w:t>Felhívások:</w:t>
            </w:r>
            <w:r>
              <w:rPr>
                <w:szCs w:val="18"/>
                <w:lang w:val="hu-HU"/>
              </w:rPr>
              <w:t xml:space="preserve"> </w:t>
            </w:r>
            <w:r w:rsidRPr="003A214E">
              <w:rPr>
                <w:szCs w:val="18"/>
                <w:lang w:val="hu-HU"/>
              </w:rPr>
              <w:t xml:space="preserve">Nem felhívások vannak, jelentkezni kell támogatásra </w:t>
            </w:r>
            <w:r>
              <w:rPr>
                <w:szCs w:val="18"/>
                <w:lang w:val="hu-HU"/>
              </w:rPr>
              <w:t>az alábbi linken</w:t>
            </w:r>
            <w:r w:rsidRPr="003A214E">
              <w:rPr>
                <w:szCs w:val="18"/>
                <w:lang w:val="hu-HU"/>
              </w:rPr>
              <w:t xml:space="preserve">: </w:t>
            </w:r>
            <w:r>
              <w:rPr>
                <w:szCs w:val="18"/>
                <w:lang w:val="hu-HU"/>
              </w:rPr>
              <w:br/>
            </w:r>
            <w:hyperlink r:id="rId25" w:history="1">
              <w:r w:rsidRPr="00574D76">
                <w:rPr>
                  <w:rStyle w:val="Hiperhivatkozs"/>
                  <w:szCs w:val="18"/>
                  <w:lang w:val="hu-HU"/>
                </w:rPr>
                <w:t>https://investeu.europa.eu/what-investeu-programme/investeu-fund/how-get-financing_en</w:t>
              </w:r>
            </w:hyperlink>
          </w:p>
          <w:p w14:paraId="135B73A5" w14:textId="3670474D" w:rsidR="006F28C5" w:rsidRDefault="006F28C5" w:rsidP="006F28C5"/>
          <w:p w14:paraId="708536AE" w14:textId="77777777" w:rsidR="006F28C5" w:rsidRPr="00F71B24" w:rsidRDefault="006F28C5" w:rsidP="006F28C5">
            <w:pPr>
              <w:tabs>
                <w:tab w:val="left" w:pos="284"/>
              </w:tabs>
              <w:rPr>
                <w:b/>
                <w:bCs/>
                <w:szCs w:val="18"/>
                <w:u w:val="single"/>
                <w:lang w:val="hu-HU"/>
              </w:rPr>
            </w:pPr>
            <w:r w:rsidRPr="00F71B24">
              <w:rPr>
                <w:b/>
                <w:bCs/>
                <w:szCs w:val="18"/>
                <w:u w:val="single"/>
                <w:lang w:val="hu-HU"/>
              </w:rPr>
              <w:t>Program: DUT (Driving Urban Transitions)</w:t>
            </w:r>
          </w:p>
          <w:p w14:paraId="418F9B3C" w14:textId="77777777" w:rsidR="006F28C5" w:rsidRPr="00F71B24" w:rsidRDefault="006F28C5" w:rsidP="006F28C5">
            <w:pPr>
              <w:tabs>
                <w:tab w:val="left" w:pos="284"/>
              </w:tabs>
              <w:rPr>
                <w:szCs w:val="18"/>
                <w:lang w:val="hu-HU"/>
              </w:rPr>
            </w:pPr>
            <w:r w:rsidRPr="00F71B24">
              <w:rPr>
                <w:szCs w:val="18"/>
                <w:u w:val="single"/>
                <w:lang w:val="hu-HU"/>
              </w:rPr>
              <w:t xml:space="preserve">Főbb jellemzők, prioritások: </w:t>
            </w:r>
            <w:r w:rsidRPr="00F71B24">
              <w:rPr>
                <w:szCs w:val="18"/>
                <w:lang w:val="hu-HU"/>
              </w:rPr>
              <w:t>a JPI Urban Europe (a Horizont Europe része) a városi globális kihívások kezelésére létrejött kutatási és innovációs központ, ennek új programja a DUT, mely segítség lehet az önkormányzatoknak abban, hogy a globális stratégiákat helyi cselekvési tervekké tudják átalakítani. A partnerség célja olyan innovációs projektek támogatására, amelyek segítik a városokat a fentarthatóbb gazdaság és működés felé való átmenetben. Pályázatot benyújtani három témában lehet, de minden esetben egy témát kell megjelölni. A témák a következőek:</w:t>
            </w:r>
          </w:p>
          <w:p w14:paraId="3D432789" w14:textId="77777777" w:rsidR="006F28C5" w:rsidRPr="00F71B24" w:rsidRDefault="006F28C5" w:rsidP="006F28C5">
            <w:pPr>
              <w:pStyle w:val="Listaszerbekezds"/>
              <w:numPr>
                <w:ilvl w:val="0"/>
                <w:numId w:val="32"/>
              </w:numPr>
              <w:tabs>
                <w:tab w:val="left" w:pos="284"/>
              </w:tabs>
              <w:spacing w:line="276" w:lineRule="auto"/>
              <w:rPr>
                <w:szCs w:val="18"/>
                <w:lang w:val="hu-HU"/>
              </w:rPr>
            </w:pPr>
            <w:r w:rsidRPr="00F71B24">
              <w:rPr>
                <w:szCs w:val="18"/>
                <w:lang w:val="hu-HU"/>
              </w:rPr>
              <w:t>Pozitív energiakerületek</w:t>
            </w:r>
          </w:p>
          <w:p w14:paraId="54508B55" w14:textId="77777777" w:rsidR="006F28C5" w:rsidRPr="00F71B24" w:rsidRDefault="006F28C5" w:rsidP="006F28C5">
            <w:pPr>
              <w:pStyle w:val="Listaszerbekezds"/>
              <w:numPr>
                <w:ilvl w:val="0"/>
                <w:numId w:val="32"/>
              </w:numPr>
              <w:tabs>
                <w:tab w:val="left" w:pos="284"/>
              </w:tabs>
              <w:spacing w:line="276" w:lineRule="auto"/>
              <w:rPr>
                <w:szCs w:val="18"/>
                <w:lang w:val="hu-HU"/>
              </w:rPr>
            </w:pPr>
            <w:r w:rsidRPr="00F71B24">
              <w:rPr>
                <w:szCs w:val="18"/>
                <w:lang w:val="hu-HU"/>
              </w:rPr>
              <w:t>15 perces városok</w:t>
            </w:r>
          </w:p>
          <w:p w14:paraId="30FE308B" w14:textId="77777777" w:rsidR="006F28C5" w:rsidRPr="00F71B24" w:rsidRDefault="006F28C5" w:rsidP="006F28C5">
            <w:pPr>
              <w:pStyle w:val="Listaszerbekezds"/>
              <w:numPr>
                <w:ilvl w:val="0"/>
                <w:numId w:val="32"/>
              </w:numPr>
              <w:tabs>
                <w:tab w:val="left" w:pos="284"/>
              </w:tabs>
              <w:spacing w:line="276" w:lineRule="auto"/>
              <w:rPr>
                <w:szCs w:val="18"/>
                <w:lang w:val="hu-HU"/>
              </w:rPr>
            </w:pPr>
            <w:r w:rsidRPr="00F71B24">
              <w:rPr>
                <w:szCs w:val="18"/>
                <w:lang w:val="hu-HU"/>
              </w:rPr>
              <w:t>Körforgásos városi gazdaságok</w:t>
            </w:r>
          </w:p>
          <w:p w14:paraId="22991738" w14:textId="77777777" w:rsidR="006F28C5" w:rsidRPr="00120A21" w:rsidRDefault="006F28C5" w:rsidP="006F28C5">
            <w:pPr>
              <w:pStyle w:val="Buborkszveg"/>
              <w:tabs>
                <w:tab w:val="left" w:pos="284"/>
              </w:tabs>
              <w:spacing w:after="120" w:line="276" w:lineRule="auto"/>
              <w:rPr>
                <w:rFonts w:asciiTheme="minorHAnsi" w:hAnsiTheme="minorHAnsi" w:cstheme="minorBidi"/>
                <w:color w:val="auto"/>
                <w:sz w:val="22"/>
                <w:lang w:val="hu-HU"/>
              </w:rPr>
            </w:pPr>
            <w:r w:rsidRPr="00120A21">
              <w:rPr>
                <w:rFonts w:asciiTheme="minorHAnsi" w:hAnsiTheme="minorHAnsi" w:cstheme="minorBidi"/>
                <w:color w:val="auto"/>
                <w:sz w:val="22"/>
                <w:u w:val="single"/>
                <w:lang w:val="hu-HU"/>
              </w:rPr>
              <w:t>Költségvetés:</w:t>
            </w:r>
            <w:r w:rsidRPr="00120A21">
              <w:rPr>
                <w:rFonts w:asciiTheme="minorHAnsi" w:hAnsiTheme="minorHAnsi" w:cstheme="minorBidi"/>
                <w:color w:val="auto"/>
                <w:sz w:val="22"/>
                <w:lang w:val="hu-HU"/>
              </w:rPr>
              <w:t xml:space="preserve"> összesen kb. 107 millió € (a felhívásra szánt teljes nemzeti költségvetés: kb. 70, az EB támogatása: kb. 37 millió €. Magyarország támogatása a pályázóknak: 7 millió €, azaz évente 1 millió € 2021-2027 között.</w:t>
            </w:r>
          </w:p>
          <w:p w14:paraId="661C8733" w14:textId="77777777" w:rsidR="006F28C5" w:rsidRPr="00F71B24" w:rsidRDefault="006F28C5" w:rsidP="006F28C5">
            <w:pPr>
              <w:tabs>
                <w:tab w:val="left" w:pos="284"/>
              </w:tabs>
              <w:rPr>
                <w:szCs w:val="18"/>
                <w:lang w:val="hu-HU"/>
              </w:rPr>
            </w:pPr>
            <w:r w:rsidRPr="00F71B24">
              <w:rPr>
                <w:szCs w:val="18"/>
                <w:u w:val="single"/>
                <w:lang w:val="hu-HU"/>
              </w:rPr>
              <w:t>Felhívások</w:t>
            </w:r>
            <w:r w:rsidRPr="00F71B24">
              <w:rPr>
                <w:szCs w:val="18"/>
                <w:lang w:val="hu-HU"/>
              </w:rPr>
              <w:t xml:space="preserve">: (nemzetközi) előpályázat: 2022. november 21; teljes pályázat: 2023. május 3. </w:t>
            </w:r>
          </w:p>
          <w:p w14:paraId="6F7B90C8" w14:textId="77777777" w:rsidR="006F28C5" w:rsidRDefault="006F28C5" w:rsidP="006F28C5">
            <w:pPr>
              <w:tabs>
                <w:tab w:val="left" w:pos="284"/>
              </w:tabs>
              <w:rPr>
                <w:szCs w:val="18"/>
                <w:lang w:val="hu-HU"/>
              </w:rPr>
            </w:pPr>
            <w:r w:rsidRPr="00F71B24">
              <w:rPr>
                <w:szCs w:val="18"/>
                <w:lang w:val="hu-HU"/>
              </w:rPr>
              <w:t xml:space="preserve">A pályázat ezenfelül kétlépcsős abban az értelemben is, hogy előbb be kell nyújtani a pályázatot a DUT-partnerség (választható 60 partner, 27 országból – a konzorciumnak legalább 3 tagja </w:t>
            </w:r>
            <w:proofErr w:type="gramStart"/>
            <w:r w:rsidRPr="00F71B24">
              <w:rPr>
                <w:szCs w:val="18"/>
                <w:lang w:val="hu-HU"/>
              </w:rPr>
              <w:t>kell</w:t>
            </w:r>
            <w:proofErr w:type="gramEnd"/>
            <w:r w:rsidRPr="00F71B24">
              <w:rPr>
                <w:szCs w:val="18"/>
                <w:lang w:val="hu-HU"/>
              </w:rPr>
              <w:t xml:space="preserve"> legyen, 3 különböző országból, olyanból melyek finanszírozó ügynökségei részt vesznek a felhívásban) részére, illetve aztán az NKFIH részére is – ez a magyar finanszírozó ügynökség. A tagok egyikének egy városi önkormányzatnak kell lennie. Javasolt az eltérő pozíciójú partnerek bevonása, illetve, hogy az egyik szereplő vállalati, kereskedelmi vagy civil oldalról érkezzen.</w:t>
            </w:r>
          </w:p>
          <w:p w14:paraId="726E4004" w14:textId="77777777" w:rsidR="006F28C5" w:rsidRPr="00120A21" w:rsidRDefault="006F28C5" w:rsidP="006F28C5">
            <w:pPr>
              <w:pStyle w:val="Buborkszveg"/>
              <w:tabs>
                <w:tab w:val="left" w:pos="284"/>
              </w:tabs>
              <w:spacing w:after="120" w:line="276" w:lineRule="auto"/>
              <w:rPr>
                <w:rFonts w:asciiTheme="minorHAnsi" w:hAnsiTheme="minorHAnsi" w:cstheme="minorBidi"/>
                <w:color w:val="auto"/>
                <w:sz w:val="22"/>
                <w:lang w:val="hu-HU"/>
              </w:rPr>
            </w:pPr>
            <w:r w:rsidRPr="00120A21">
              <w:rPr>
                <w:rFonts w:asciiTheme="minorHAnsi" w:hAnsiTheme="minorHAnsi" w:cstheme="minorBidi"/>
                <w:color w:val="auto"/>
                <w:sz w:val="22"/>
                <w:u w:val="single"/>
                <w:lang w:val="hu-HU"/>
              </w:rPr>
              <w:t>Támogatási intenzitás:</w:t>
            </w:r>
            <w:r w:rsidRPr="00120A21">
              <w:rPr>
                <w:rFonts w:asciiTheme="minorHAnsi" w:hAnsiTheme="minorHAnsi" w:cstheme="minorBidi"/>
                <w:color w:val="auto"/>
                <w:sz w:val="22"/>
                <w:lang w:val="hu-HU"/>
              </w:rPr>
              <w:t xml:space="preserve"> 50%. Egy projekt/partnerség max. 150 ezer € értékben.</w:t>
            </w:r>
          </w:p>
          <w:p w14:paraId="0A9AC0EF" w14:textId="77777777" w:rsidR="006F28C5" w:rsidRPr="00120A21" w:rsidRDefault="006F28C5" w:rsidP="006F28C5">
            <w:pPr>
              <w:pStyle w:val="Buborkszveg"/>
              <w:tabs>
                <w:tab w:val="left" w:pos="284"/>
              </w:tabs>
              <w:spacing w:after="120" w:line="276" w:lineRule="auto"/>
              <w:rPr>
                <w:rFonts w:asciiTheme="minorHAnsi" w:hAnsiTheme="minorHAnsi" w:cstheme="minorBidi"/>
                <w:color w:val="auto"/>
                <w:sz w:val="22"/>
                <w:u w:val="single"/>
                <w:lang w:val="hu-HU"/>
              </w:rPr>
            </w:pPr>
            <w:r w:rsidRPr="00120A21">
              <w:rPr>
                <w:rFonts w:asciiTheme="minorHAnsi" w:hAnsiTheme="minorHAnsi" w:cstheme="minorBidi"/>
                <w:color w:val="auto"/>
                <w:sz w:val="22"/>
                <w:u w:val="single"/>
                <w:lang w:val="hu-HU"/>
              </w:rPr>
              <w:t xml:space="preserve">Támogatott tevékenységek: </w:t>
            </w:r>
          </w:p>
          <w:p w14:paraId="6DE83E74" w14:textId="77777777" w:rsidR="006F28C5" w:rsidRPr="00120A21" w:rsidRDefault="006F28C5" w:rsidP="006F28C5">
            <w:pPr>
              <w:pStyle w:val="Buborkszveg"/>
              <w:numPr>
                <w:ilvl w:val="0"/>
                <w:numId w:val="33"/>
              </w:numPr>
              <w:tabs>
                <w:tab w:val="left" w:pos="284"/>
              </w:tabs>
              <w:spacing w:after="120" w:line="276" w:lineRule="auto"/>
              <w:rPr>
                <w:rFonts w:asciiTheme="minorHAnsi" w:hAnsiTheme="minorHAnsi" w:cstheme="minorBidi"/>
                <w:color w:val="auto"/>
                <w:sz w:val="22"/>
                <w:lang w:val="hu-HU"/>
              </w:rPr>
            </w:pPr>
            <w:r w:rsidRPr="00120A21">
              <w:rPr>
                <w:rFonts w:asciiTheme="minorHAnsi" w:hAnsiTheme="minorHAnsi" w:cstheme="minorBidi"/>
                <w:color w:val="auto"/>
                <w:sz w:val="22"/>
                <w:lang w:val="hu-HU"/>
              </w:rPr>
              <w:t>kutatás-orientált tevékenységek: stratégiai és alkalmazott városkutatás,</w:t>
            </w:r>
          </w:p>
          <w:p w14:paraId="01B0D9BC" w14:textId="77777777" w:rsidR="006F28C5" w:rsidRPr="00120A21" w:rsidRDefault="006F28C5" w:rsidP="006F28C5">
            <w:pPr>
              <w:pStyle w:val="Buborkszveg"/>
              <w:numPr>
                <w:ilvl w:val="0"/>
                <w:numId w:val="33"/>
              </w:numPr>
              <w:tabs>
                <w:tab w:val="left" w:pos="284"/>
              </w:tabs>
              <w:spacing w:after="120" w:line="276" w:lineRule="auto"/>
              <w:rPr>
                <w:rFonts w:asciiTheme="minorHAnsi" w:hAnsiTheme="minorHAnsi" w:cstheme="minorBidi"/>
                <w:color w:val="auto"/>
                <w:sz w:val="22"/>
                <w:lang w:val="hu-HU"/>
              </w:rPr>
            </w:pPr>
            <w:r w:rsidRPr="00120A21">
              <w:rPr>
                <w:rFonts w:asciiTheme="minorHAnsi" w:hAnsiTheme="minorHAnsi" w:cstheme="minorBidi"/>
                <w:color w:val="auto"/>
                <w:sz w:val="22"/>
                <w:lang w:val="hu-HU"/>
              </w:rPr>
              <w:t>innováció-orientált tevékenységek: városi innováció és megvalósítás.</w:t>
            </w:r>
          </w:p>
          <w:p w14:paraId="789DC2DB" w14:textId="314F2658" w:rsidR="006F28C5" w:rsidRDefault="006F28C5" w:rsidP="006F28C5">
            <w:pPr>
              <w:pStyle w:val="Buborkszveg"/>
              <w:tabs>
                <w:tab w:val="left" w:pos="284"/>
              </w:tabs>
              <w:spacing w:after="120" w:line="276" w:lineRule="auto"/>
              <w:rPr>
                <w:rFonts w:asciiTheme="minorHAnsi" w:hAnsiTheme="minorHAnsi" w:cstheme="minorBidi"/>
                <w:color w:val="auto"/>
                <w:sz w:val="22"/>
                <w:lang w:val="hu-HU"/>
              </w:rPr>
            </w:pPr>
            <w:r w:rsidRPr="00120A21">
              <w:rPr>
                <w:rFonts w:asciiTheme="minorHAnsi" w:hAnsiTheme="minorHAnsi" w:cstheme="minorBidi"/>
                <w:color w:val="auto"/>
                <w:sz w:val="22"/>
                <w:lang w:val="hu-HU"/>
              </w:rPr>
              <w:t>A pályázóknak meg kell határozniuk, hogy a projekt melyik megközelítésnek felel meg inkább, de mindkettő szerepelhet benne. A projekt időtartama nem haladhatja meg a 36 hónapot. A Beruházási Koncepcióhoz csatlakozó, a DUT-ból forráshoz jutható tématerületek: energiaközösségek, rendszerfejlesztés, stratégiakészítés.</w:t>
            </w:r>
          </w:p>
          <w:p w14:paraId="447EB92A" w14:textId="1DE1E5FD" w:rsidR="006F28C5" w:rsidRDefault="006F28C5" w:rsidP="006F28C5">
            <w:pPr>
              <w:pStyle w:val="Buborkszveg"/>
              <w:tabs>
                <w:tab w:val="left" w:pos="284"/>
              </w:tabs>
              <w:spacing w:after="120" w:line="276" w:lineRule="auto"/>
              <w:rPr>
                <w:rFonts w:asciiTheme="minorHAnsi" w:hAnsiTheme="minorHAnsi" w:cstheme="minorBidi"/>
                <w:color w:val="auto"/>
                <w:sz w:val="22"/>
                <w:lang w:val="hu-HU"/>
              </w:rPr>
            </w:pPr>
            <w:r>
              <w:rPr>
                <w:rFonts w:asciiTheme="minorHAnsi" w:hAnsiTheme="minorHAnsi" w:cstheme="minorBidi"/>
                <w:color w:val="auto"/>
                <w:sz w:val="22"/>
                <w:lang w:val="hu-HU"/>
              </w:rPr>
              <w:lastRenderedPageBreak/>
              <w:t>Az első felhívás határideje 2022. év végén volt esedékes, azonban további felhívások is várhatóak.</w:t>
            </w:r>
          </w:p>
          <w:p w14:paraId="624C8160" w14:textId="77777777" w:rsidR="006F28C5" w:rsidRPr="0046016A" w:rsidRDefault="006F28C5" w:rsidP="006F28C5">
            <w:pPr>
              <w:tabs>
                <w:tab w:val="left" w:pos="284"/>
              </w:tabs>
              <w:rPr>
                <w:b/>
                <w:bCs/>
                <w:szCs w:val="18"/>
                <w:u w:val="single"/>
                <w:lang w:val="hu-HU"/>
              </w:rPr>
            </w:pPr>
            <w:r w:rsidRPr="0046016A">
              <w:rPr>
                <w:b/>
                <w:bCs/>
                <w:szCs w:val="18"/>
                <w:u w:val="single"/>
                <w:lang w:val="hu-HU"/>
              </w:rPr>
              <w:t>Modernizációs Alap</w:t>
            </w:r>
          </w:p>
          <w:p w14:paraId="2C0C2B2D" w14:textId="77777777" w:rsidR="006F28C5" w:rsidRDefault="006F28C5" w:rsidP="006F28C5">
            <w:pPr>
              <w:tabs>
                <w:tab w:val="left" w:pos="284"/>
              </w:tabs>
              <w:rPr>
                <w:szCs w:val="18"/>
                <w:lang w:val="hu-HU"/>
              </w:rPr>
            </w:pPr>
            <w:r>
              <w:rPr>
                <w:szCs w:val="18"/>
                <w:lang w:val="hu-HU"/>
              </w:rPr>
              <w:t xml:space="preserve">A Modernizációs Alap az Európai Unió programja, mely azért jött létre és indult el 2021-ben, hogy a közösség 10 kevésbé fejlett tagországát támogassa energiaszektoraik és energetikai rendszereinek modernizálásában, ezzel segítve a klímasemlegességre való átállást, a zöld átmenetet és a tagországok, valamint az unió éghajlatvédelmi céljainak (már a 2030-as) elérését. A Modernizációs Alap finanszírozását </w:t>
            </w:r>
            <w:r w:rsidRPr="0046016A">
              <w:rPr>
                <w:szCs w:val="18"/>
                <w:lang w:val="hu-HU"/>
              </w:rPr>
              <w:t>az EU kibocsátáskereskedelmi rendszer</w:t>
            </w:r>
            <w:r>
              <w:rPr>
                <w:szCs w:val="18"/>
                <w:lang w:val="hu-HU"/>
              </w:rPr>
              <w:t xml:space="preserve">e biztosítja a kibocsátási kvótákból </w:t>
            </w:r>
            <w:r w:rsidRPr="00773BB3">
              <w:rPr>
                <w:szCs w:val="18"/>
                <w:lang w:val="hu-HU"/>
              </w:rPr>
              <w:t>származó bevételek</w:t>
            </w:r>
            <w:r>
              <w:rPr>
                <w:szCs w:val="18"/>
                <w:lang w:val="hu-HU"/>
              </w:rPr>
              <w:t>en keresztül.</w:t>
            </w:r>
            <w:r>
              <w:t xml:space="preserve"> </w:t>
            </w:r>
            <w:r w:rsidRPr="000D483E">
              <w:rPr>
                <w:szCs w:val="18"/>
                <w:lang w:val="hu-HU"/>
              </w:rPr>
              <w:t>A</w:t>
            </w:r>
            <w:r>
              <w:rPr>
                <w:szCs w:val="18"/>
                <w:lang w:val="hu-HU"/>
              </w:rPr>
              <w:t xml:space="preserve">z alapból támogatásra jogosult </w:t>
            </w:r>
            <w:r w:rsidRPr="000D483E">
              <w:rPr>
                <w:szCs w:val="18"/>
                <w:lang w:val="hu-HU"/>
              </w:rPr>
              <w:t>országok</w:t>
            </w:r>
            <w:r>
              <w:rPr>
                <w:szCs w:val="18"/>
                <w:lang w:val="hu-HU"/>
              </w:rPr>
              <w:t xml:space="preserve"> listája:</w:t>
            </w:r>
            <w:r w:rsidRPr="000D483E">
              <w:rPr>
                <w:szCs w:val="18"/>
                <w:lang w:val="hu-HU"/>
              </w:rPr>
              <w:t xml:space="preserve"> Bulgária, Csehország, Észtország,</w:t>
            </w:r>
            <w:r>
              <w:rPr>
                <w:szCs w:val="18"/>
                <w:lang w:val="hu-HU"/>
              </w:rPr>
              <w:t xml:space="preserve"> </w:t>
            </w:r>
            <w:r w:rsidRPr="000D483E">
              <w:rPr>
                <w:szCs w:val="18"/>
                <w:lang w:val="hu-HU"/>
              </w:rPr>
              <w:t>Horvátország, Lettország, Litvánia, Lengyelország</w:t>
            </w:r>
            <w:r>
              <w:rPr>
                <w:szCs w:val="18"/>
                <w:lang w:val="hu-HU"/>
              </w:rPr>
              <w:t>,</w:t>
            </w:r>
            <w:r w:rsidRPr="000D483E">
              <w:rPr>
                <w:szCs w:val="18"/>
                <w:lang w:val="hu-HU"/>
              </w:rPr>
              <w:t xml:space="preserve"> Magyarország, Románia és Szlovákia.</w:t>
            </w:r>
          </w:p>
          <w:p w14:paraId="69E11504" w14:textId="77777777" w:rsidR="006F28C5" w:rsidRDefault="006F28C5" w:rsidP="006F28C5">
            <w:pPr>
              <w:tabs>
                <w:tab w:val="left" w:pos="284"/>
              </w:tabs>
              <w:rPr>
                <w:szCs w:val="18"/>
                <w:lang w:val="hu-HU"/>
              </w:rPr>
            </w:pPr>
            <w:r>
              <w:rPr>
                <w:szCs w:val="18"/>
                <w:lang w:val="hu-HU"/>
              </w:rPr>
              <w:t>A Modernizációs Alap fontos részét képezi az Európai Zöld Megállapodásnak, ennek megfelelően a következő területeken céloz beruházásokat:</w:t>
            </w:r>
          </w:p>
          <w:p w14:paraId="7AF03914" w14:textId="77777777" w:rsidR="006F28C5" w:rsidRDefault="006F28C5" w:rsidP="006F28C5">
            <w:pPr>
              <w:pStyle w:val="Listaszerbekezds"/>
              <w:numPr>
                <w:ilvl w:val="0"/>
                <w:numId w:val="34"/>
              </w:numPr>
              <w:tabs>
                <w:tab w:val="left" w:pos="284"/>
              </w:tabs>
              <w:spacing w:line="276" w:lineRule="auto"/>
              <w:rPr>
                <w:szCs w:val="18"/>
                <w:lang w:val="hu-HU"/>
              </w:rPr>
            </w:pPr>
            <w:r w:rsidRPr="000D483E">
              <w:rPr>
                <w:szCs w:val="18"/>
                <w:lang w:val="hu-HU"/>
              </w:rPr>
              <w:t>megújuló energiaforrások</w:t>
            </w:r>
            <w:r>
              <w:rPr>
                <w:szCs w:val="18"/>
                <w:lang w:val="hu-HU"/>
              </w:rPr>
              <w:t>;</w:t>
            </w:r>
          </w:p>
          <w:p w14:paraId="6CCAB36B" w14:textId="77777777" w:rsidR="006F28C5" w:rsidRDefault="006F28C5" w:rsidP="006F28C5">
            <w:pPr>
              <w:pStyle w:val="Listaszerbekezds"/>
              <w:numPr>
                <w:ilvl w:val="0"/>
                <w:numId w:val="34"/>
              </w:numPr>
              <w:tabs>
                <w:tab w:val="left" w:pos="284"/>
              </w:tabs>
              <w:spacing w:line="276" w:lineRule="auto"/>
              <w:rPr>
                <w:szCs w:val="18"/>
                <w:lang w:val="hu-HU"/>
              </w:rPr>
            </w:pPr>
            <w:r>
              <w:rPr>
                <w:szCs w:val="18"/>
                <w:lang w:val="hu-HU"/>
              </w:rPr>
              <w:t>energiahatékonyság;</w:t>
            </w:r>
          </w:p>
          <w:p w14:paraId="3751F327" w14:textId="77777777" w:rsidR="006F28C5" w:rsidRDefault="006F28C5" w:rsidP="006F28C5">
            <w:pPr>
              <w:pStyle w:val="Listaszerbekezds"/>
              <w:numPr>
                <w:ilvl w:val="0"/>
                <w:numId w:val="34"/>
              </w:numPr>
              <w:tabs>
                <w:tab w:val="left" w:pos="284"/>
              </w:tabs>
              <w:spacing w:line="276" w:lineRule="auto"/>
              <w:rPr>
                <w:szCs w:val="18"/>
                <w:lang w:val="hu-HU"/>
              </w:rPr>
            </w:pPr>
            <w:r>
              <w:rPr>
                <w:szCs w:val="18"/>
                <w:lang w:val="hu-HU"/>
              </w:rPr>
              <w:t>energiatárolás;</w:t>
            </w:r>
          </w:p>
          <w:p w14:paraId="5DE9EC91" w14:textId="77777777" w:rsidR="006F28C5" w:rsidRDefault="006F28C5" w:rsidP="006F28C5">
            <w:pPr>
              <w:pStyle w:val="Listaszerbekezds"/>
              <w:numPr>
                <w:ilvl w:val="0"/>
                <w:numId w:val="34"/>
              </w:numPr>
              <w:tabs>
                <w:tab w:val="left" w:pos="284"/>
              </w:tabs>
              <w:spacing w:line="276" w:lineRule="auto"/>
              <w:rPr>
                <w:szCs w:val="18"/>
                <w:lang w:val="hu-HU"/>
              </w:rPr>
            </w:pPr>
            <w:r>
              <w:rPr>
                <w:szCs w:val="18"/>
                <w:lang w:val="hu-HU"/>
              </w:rPr>
              <w:t>energiarendszerek és -hálózatok;</w:t>
            </w:r>
          </w:p>
          <w:p w14:paraId="722568DD" w14:textId="77777777" w:rsidR="006F28C5" w:rsidRDefault="006F28C5" w:rsidP="006F28C5">
            <w:pPr>
              <w:pStyle w:val="Listaszerbekezds"/>
              <w:numPr>
                <w:ilvl w:val="0"/>
                <w:numId w:val="34"/>
              </w:numPr>
              <w:tabs>
                <w:tab w:val="left" w:pos="284"/>
              </w:tabs>
              <w:spacing w:line="276" w:lineRule="auto"/>
              <w:rPr>
                <w:szCs w:val="18"/>
                <w:lang w:val="hu-HU"/>
              </w:rPr>
            </w:pPr>
            <w:r>
              <w:rPr>
                <w:szCs w:val="18"/>
                <w:lang w:val="hu-HU"/>
              </w:rPr>
              <w:t>tiszta átmenet a széntől függő régiókban.</w:t>
            </w:r>
          </w:p>
          <w:p w14:paraId="2034DF99" w14:textId="77777777" w:rsidR="006F28C5" w:rsidRDefault="006F28C5" w:rsidP="006F28C5">
            <w:pPr>
              <w:tabs>
                <w:tab w:val="left" w:pos="284"/>
              </w:tabs>
              <w:rPr>
                <w:szCs w:val="18"/>
                <w:lang w:val="hu-HU"/>
              </w:rPr>
            </w:pPr>
            <w:r>
              <w:rPr>
                <w:szCs w:val="18"/>
                <w:lang w:val="hu-HU"/>
              </w:rPr>
              <w:t>Az alapnak eddig három beruházási ciklusa volt, hazánk mindháromban érintett:</w:t>
            </w:r>
          </w:p>
          <w:p w14:paraId="2772A70F" w14:textId="77777777" w:rsidR="006F28C5" w:rsidRDefault="006F28C5" w:rsidP="006F28C5">
            <w:pPr>
              <w:pStyle w:val="Listaszerbekezds"/>
              <w:numPr>
                <w:ilvl w:val="0"/>
                <w:numId w:val="35"/>
              </w:numPr>
              <w:tabs>
                <w:tab w:val="left" w:pos="284"/>
              </w:tabs>
              <w:spacing w:line="276" w:lineRule="auto"/>
              <w:rPr>
                <w:szCs w:val="18"/>
                <w:lang w:val="hu-HU"/>
              </w:rPr>
            </w:pPr>
            <w:r>
              <w:rPr>
                <w:szCs w:val="18"/>
                <w:lang w:val="hu-HU"/>
              </w:rPr>
              <w:t xml:space="preserve">az első körben 304 millió euró került szétosztásra három ország között, melyből Magyarország </w:t>
            </w:r>
            <w:r w:rsidRPr="00260394">
              <w:rPr>
                <w:szCs w:val="18"/>
                <w:lang w:val="hu-HU"/>
              </w:rPr>
              <w:t>11</w:t>
            </w:r>
            <w:r>
              <w:rPr>
                <w:szCs w:val="18"/>
                <w:lang w:val="hu-HU"/>
              </w:rPr>
              <w:t>,4 millió eurót kapott;</w:t>
            </w:r>
          </w:p>
          <w:p w14:paraId="747F9FF2" w14:textId="77777777" w:rsidR="006F28C5" w:rsidRDefault="006F28C5" w:rsidP="006F28C5">
            <w:pPr>
              <w:pStyle w:val="Listaszerbekezds"/>
              <w:numPr>
                <w:ilvl w:val="0"/>
                <w:numId w:val="35"/>
              </w:numPr>
              <w:tabs>
                <w:tab w:val="left" w:pos="284"/>
              </w:tabs>
              <w:spacing w:line="276" w:lineRule="auto"/>
              <w:rPr>
                <w:szCs w:val="18"/>
                <w:lang w:val="hu-HU"/>
              </w:rPr>
            </w:pPr>
            <w:r>
              <w:rPr>
                <w:szCs w:val="18"/>
                <w:lang w:val="hu-HU"/>
              </w:rPr>
              <w:t>a második körrel kiegészülve Magyarországra már 34,3 millió euró jut;</w:t>
            </w:r>
          </w:p>
          <w:p w14:paraId="5F27FB47" w14:textId="77777777" w:rsidR="006F28C5" w:rsidRDefault="006F28C5" w:rsidP="006F28C5">
            <w:pPr>
              <w:pStyle w:val="Listaszerbekezds"/>
              <w:numPr>
                <w:ilvl w:val="0"/>
                <w:numId w:val="35"/>
              </w:numPr>
              <w:tabs>
                <w:tab w:val="left" w:pos="284"/>
              </w:tabs>
              <w:spacing w:line="276" w:lineRule="auto"/>
              <w:rPr>
                <w:szCs w:val="18"/>
                <w:lang w:val="hu-HU"/>
              </w:rPr>
            </w:pPr>
            <w:r>
              <w:rPr>
                <w:szCs w:val="18"/>
                <w:lang w:val="hu-HU"/>
              </w:rPr>
              <w:t xml:space="preserve">a harmadik (2022 júniusában bejelentetett) beruházási ciklus 2,4 milliárd eurót fektet a zöld átállás felgyorsításába, melyből Magyarország </w:t>
            </w:r>
            <w:r w:rsidRPr="00260394">
              <w:rPr>
                <w:szCs w:val="18"/>
                <w:lang w:val="hu-HU"/>
              </w:rPr>
              <w:t>74,3 millió eur</w:t>
            </w:r>
            <w:r>
              <w:rPr>
                <w:szCs w:val="18"/>
                <w:lang w:val="hu-HU"/>
              </w:rPr>
              <w:t>ó értékben valósíthat meg beruházásokat.</w:t>
            </w:r>
          </w:p>
          <w:p w14:paraId="1BDFB015" w14:textId="77777777" w:rsidR="006F28C5" w:rsidRDefault="006F28C5" w:rsidP="006F28C5">
            <w:pPr>
              <w:tabs>
                <w:tab w:val="left" w:pos="284"/>
              </w:tabs>
              <w:rPr>
                <w:szCs w:val="18"/>
                <w:lang w:val="hu-HU"/>
              </w:rPr>
            </w:pPr>
            <w:r>
              <w:rPr>
                <w:lang w:val="hu-HU"/>
              </w:rPr>
              <w:t xml:space="preserve">A támogatni kívánt projekteket a tagállamok választják ki, majd ők is terjesztik fel az Európai Beruházási Bank, valamint az </w:t>
            </w:r>
            <w:r w:rsidRPr="00534939">
              <w:rPr>
                <w:lang w:val="hu-HU"/>
              </w:rPr>
              <w:t>Európai Bizottság</w:t>
            </w:r>
            <w:r>
              <w:rPr>
                <w:lang w:val="hu-HU"/>
              </w:rPr>
              <w:t xml:space="preserve"> felé. Ezután a benyújtott projektek vizsgálatra kerülnek prioritási szempontból, pozitív elbírálás esetén pedig támogatási döntésben részesülnek.</w:t>
            </w:r>
            <w:r>
              <w:rPr>
                <w:szCs w:val="18"/>
                <w:lang w:val="hu-HU"/>
              </w:rPr>
              <w:t xml:space="preserve"> A jelenleg elérhető, Modernizációs Alaphoz kapcsolódó hazai felhívásokból jelenleg a távhőszolgáltatóhoz kapcsolódó projektelemeket lehet finanszírozni az alábbiak szerint.</w:t>
            </w:r>
          </w:p>
          <w:p w14:paraId="6F72CE92" w14:textId="77777777" w:rsidR="006F28C5" w:rsidRPr="00041184" w:rsidRDefault="006F28C5" w:rsidP="006F28C5">
            <w:pPr>
              <w:tabs>
                <w:tab w:val="left" w:pos="284"/>
              </w:tabs>
              <w:rPr>
                <w:szCs w:val="18"/>
                <w:lang w:val="hu-HU"/>
              </w:rPr>
            </w:pPr>
            <w:r w:rsidRPr="00041184">
              <w:rPr>
                <w:szCs w:val="18"/>
                <w:u w:val="single"/>
                <w:lang w:val="hu-HU"/>
              </w:rPr>
              <w:t xml:space="preserve">Költségvetés: </w:t>
            </w:r>
            <w:r>
              <w:rPr>
                <w:szCs w:val="18"/>
                <w:lang w:val="hu-HU"/>
              </w:rPr>
              <w:t>5 milliárd Ft</w:t>
            </w:r>
          </w:p>
          <w:p w14:paraId="226BB90B" w14:textId="77777777" w:rsidR="006F28C5" w:rsidRPr="00041184" w:rsidRDefault="006F28C5" w:rsidP="006F28C5">
            <w:pPr>
              <w:tabs>
                <w:tab w:val="left" w:pos="284"/>
              </w:tabs>
              <w:rPr>
                <w:szCs w:val="18"/>
                <w:lang w:val="hu-HU"/>
              </w:rPr>
            </w:pPr>
            <w:r w:rsidRPr="00041184">
              <w:rPr>
                <w:szCs w:val="18"/>
                <w:u w:val="single"/>
                <w:lang w:val="hu-HU"/>
              </w:rPr>
              <w:t>Projekt jellemzők:</w:t>
            </w:r>
            <w:r>
              <w:rPr>
                <w:szCs w:val="18"/>
                <w:lang w:val="hu-HU"/>
              </w:rPr>
              <w:t xml:space="preserve"> </w:t>
            </w:r>
            <w:r w:rsidRPr="00041184">
              <w:rPr>
                <w:szCs w:val="18"/>
                <w:lang w:val="hu-HU"/>
              </w:rPr>
              <w:t xml:space="preserve">Projektméret: </w:t>
            </w:r>
            <w:r>
              <w:rPr>
                <w:szCs w:val="18"/>
                <w:lang w:val="hu-HU"/>
              </w:rPr>
              <w:t>200 millió</w:t>
            </w:r>
            <w:r w:rsidRPr="00041184">
              <w:rPr>
                <w:szCs w:val="18"/>
                <w:lang w:val="hu-HU"/>
              </w:rPr>
              <w:t xml:space="preserve"> </w:t>
            </w:r>
            <w:r>
              <w:rPr>
                <w:szCs w:val="18"/>
                <w:lang w:val="hu-HU"/>
              </w:rPr>
              <w:t>Ft – 1 milliárd Ft</w:t>
            </w:r>
          </w:p>
          <w:p w14:paraId="19A6942B" w14:textId="77777777" w:rsidR="006F28C5" w:rsidRPr="00041184" w:rsidRDefault="006F28C5" w:rsidP="006F28C5">
            <w:pPr>
              <w:tabs>
                <w:tab w:val="left" w:pos="284"/>
              </w:tabs>
              <w:rPr>
                <w:szCs w:val="18"/>
                <w:lang w:val="hu-HU"/>
              </w:rPr>
            </w:pPr>
            <w:r w:rsidRPr="00041184">
              <w:rPr>
                <w:szCs w:val="18"/>
                <w:u w:val="single"/>
                <w:lang w:val="hu-HU"/>
              </w:rPr>
              <w:t>Támogatási intenzitás:</w:t>
            </w:r>
            <w:r w:rsidRPr="00041184">
              <w:rPr>
                <w:szCs w:val="18"/>
                <w:lang w:val="hu-HU"/>
              </w:rPr>
              <w:t xml:space="preserve"> </w:t>
            </w:r>
            <w:r>
              <w:rPr>
                <w:szCs w:val="18"/>
                <w:lang w:val="hu-HU"/>
              </w:rPr>
              <w:t>maximum 50%</w:t>
            </w:r>
          </w:p>
          <w:p w14:paraId="268EFFCD" w14:textId="77777777" w:rsidR="006F28C5" w:rsidRDefault="006F28C5" w:rsidP="006F28C5">
            <w:pPr>
              <w:tabs>
                <w:tab w:val="left" w:pos="284"/>
              </w:tabs>
              <w:rPr>
                <w:szCs w:val="18"/>
                <w:lang w:val="hu-HU"/>
              </w:rPr>
            </w:pPr>
            <w:r w:rsidRPr="003A214E">
              <w:rPr>
                <w:szCs w:val="18"/>
                <w:u w:val="single"/>
                <w:lang w:val="hu-HU"/>
              </w:rPr>
              <w:t>Támogatott tevékenységek:</w:t>
            </w:r>
            <w:r>
              <w:rPr>
                <w:szCs w:val="18"/>
                <w:lang w:val="hu-HU"/>
              </w:rPr>
              <w:t xml:space="preserve"> </w:t>
            </w:r>
          </w:p>
          <w:p w14:paraId="7E40EE74" w14:textId="25430679" w:rsidR="006F28C5" w:rsidRPr="00120A21" w:rsidRDefault="006F28C5" w:rsidP="006F28C5">
            <w:pPr>
              <w:pStyle w:val="Buborkszveg"/>
              <w:tabs>
                <w:tab w:val="left" w:pos="284"/>
              </w:tabs>
              <w:spacing w:after="120" w:line="276" w:lineRule="auto"/>
              <w:rPr>
                <w:rFonts w:asciiTheme="minorHAnsi" w:hAnsiTheme="minorHAnsi" w:cstheme="minorBidi"/>
                <w:color w:val="auto"/>
                <w:sz w:val="22"/>
                <w:lang w:val="hu-HU"/>
              </w:rPr>
            </w:pPr>
            <w:r>
              <w:rPr>
                <w:rFonts w:asciiTheme="minorHAnsi" w:hAnsiTheme="minorHAnsi" w:cstheme="minorBidi"/>
                <w:color w:val="auto"/>
                <w:sz w:val="22"/>
                <w:lang w:val="hu-HU"/>
              </w:rPr>
              <w:t>Valószínűleg jelen Beruházási Koncepció elemeit nem érinti (csak indirekt módon) a Modernizációs Alap hatóköre, azonban az ország energetikai fejlődése szempontjából fontos eszköz lehet.</w:t>
            </w:r>
          </w:p>
          <w:p w14:paraId="06A1CCCA" w14:textId="77777777" w:rsidR="006F28C5" w:rsidRDefault="006F28C5" w:rsidP="006F28C5"/>
          <w:p w14:paraId="2C67B300" w14:textId="3CD33E17" w:rsidR="006F28C5" w:rsidRPr="00D24F01" w:rsidRDefault="006F28C5" w:rsidP="006F28C5">
            <w:pPr>
              <w:rPr>
                <w:u w:val="single"/>
              </w:rPr>
            </w:pPr>
            <w:r w:rsidRPr="00D24F01">
              <w:rPr>
                <w:b/>
                <w:bCs/>
                <w:u w:val="single"/>
              </w:rPr>
              <w:t>Energiahatékonysági kötelezettségi rendszer (EKR)</w:t>
            </w:r>
            <w:r w:rsidRPr="00D24F01">
              <w:rPr>
                <w:rStyle w:val="Lbjegyzet-hivatkozs"/>
                <w:u w:val="single"/>
              </w:rPr>
              <w:footnoteReference w:id="44"/>
            </w:r>
          </w:p>
          <w:p w14:paraId="1FA5EF15" w14:textId="7CB99856" w:rsidR="006F28C5" w:rsidRPr="00520908" w:rsidRDefault="006F28C5" w:rsidP="006F28C5">
            <w:r>
              <w:lastRenderedPageBreak/>
              <w:t xml:space="preserve">Magyarország a </w:t>
            </w:r>
            <w:r w:rsidRPr="00A40710">
              <w:t>Nemzeti Energia- és Klímatervben</w:t>
            </w:r>
            <w:r>
              <w:t xml:space="preserve"> kitűzött célok elérése érdekében 2021-től </w:t>
            </w:r>
            <w:r w:rsidRPr="00A40710">
              <w:t>egy új szakpolitikai eszköz</w:t>
            </w:r>
            <w:r>
              <w:t>t</w:t>
            </w:r>
            <w:r w:rsidRPr="00A40710">
              <w:t xml:space="preserve">, </w:t>
            </w:r>
            <w:r>
              <w:t>az</w:t>
            </w:r>
            <w:r w:rsidRPr="00A40710">
              <w:t xml:space="preserve"> ún. energiahatékonysági kötelezettségi rendszer</w:t>
            </w:r>
            <w:r>
              <w:t xml:space="preserve">t indította el. Az Európa számos országábában már sikeres metódus lényege, hogy pénzügyi ösztönzőkön keresztül motiválja a kötelezetteket (földgáz- és villamosenergia-kereskedők, illetve egyetemes szolgáltatók) </w:t>
            </w:r>
            <w:r w:rsidRPr="00A40710">
              <w:t>energiahatékonysági beruházás</w:t>
            </w:r>
            <w:r>
              <w:t xml:space="preserve">okra a felhasználókkal együttműködésben. A szervezetek számára a </w:t>
            </w:r>
            <w:r w:rsidRPr="00520908">
              <w:t>Magyar Energetikai és Közmű-szabályozási Hivatal (MEKH)</w:t>
            </w:r>
            <w:r>
              <w:t xml:space="preserve"> írja elő az energiamegtakarítási kötelezettségeket: ezek be nem tartása esetén pedig évente növekvő bírság kerül kiszabásra. Az EKR nyújtotta lehetőségek nyitottak több szféra számára is, mint a lakosság, a közszféra vagy a vállalati ügyfelek. A KPMG álláspontja szerint „a</w:t>
            </w:r>
            <w:r w:rsidRPr="00520908">
              <w:t>z EKR által ösztönzött beruházások teljes összege az évtized végéig elérheti a 3000 milliárd forintot”</w:t>
            </w:r>
            <w:r>
              <w:t>.</w:t>
            </w:r>
            <w:r w:rsidR="00517080">
              <w:t xml:space="preserve"> </w:t>
            </w:r>
            <w:r w:rsidR="00517080" w:rsidRPr="00517080">
              <w:t xml:space="preserve">Az EKR nagyobb társasháznál egyedileg, vagy több épületnél aggregáltan használható részlegesen finanszírozásra. Kb. 150-200 GJ megtakarítás fölött már vannak olyan auditorok, akik vállalják az energiamegtakarítás validálását és a hitelesített energiamegtakarítás (HEM) eladását. Az auditor </w:t>
            </w:r>
            <w:r w:rsidR="00517080">
              <w:t>j</w:t>
            </w:r>
            <w:r w:rsidR="00517080" w:rsidRPr="00517080">
              <w:t>ellemzően a kivitelezői szerződés előtt lép be a felújítási folyamatba.</w:t>
            </w:r>
            <w:r w:rsidR="00EB5A2E">
              <w:t xml:space="preserve"> Az elért megtakarításról az energetikai auditáló szervezet által hitelesített Fehér Tanúsítvány piacképes vagyoni értékű jog, melynek értéke jelenleg 10-15.000 Ft/GJ, de várhatóan ennek összege emelkedni fog.</w:t>
            </w:r>
            <w:r w:rsidR="00517080" w:rsidRPr="00517080">
              <w:t xml:space="preserve"> Az előkészítő munkákat (energetikai felmérés stb</w:t>
            </w:r>
            <w:r w:rsidR="00517080">
              <w:t>.</w:t>
            </w:r>
            <w:r w:rsidR="00517080" w:rsidRPr="00517080">
              <w:t>) a társasháznak kell előfinanszíroznia, de van már példa audit által történő előfinanszírozásra (ipari projektek esetében). Az EKR akár a beruházási költség 8-40%-át is finanszírozhatja utólag. Ez előzetes munkákra (vízszigetelés, statikai megerősítés) nem fordítható, csak az energiahatékonyság javítására.</w:t>
            </w:r>
            <w:r w:rsidR="001B2A01">
              <w:t xml:space="preserve"> Fontos megjegyezni még, hogy napelemes beruházásból eredő villamos energia csökkenés a rendszerben nem elszámolható.</w:t>
            </w:r>
          </w:p>
          <w:p w14:paraId="3BD1CA60" w14:textId="77777777" w:rsidR="006F28C5" w:rsidRPr="00520908" w:rsidRDefault="006F28C5" w:rsidP="006F28C5"/>
          <w:p w14:paraId="489D177A" w14:textId="77777777" w:rsidR="006F28C5" w:rsidRPr="001933F6" w:rsidRDefault="006F28C5" w:rsidP="006F28C5">
            <w:pPr>
              <w:tabs>
                <w:tab w:val="left" w:pos="284"/>
              </w:tabs>
              <w:rPr>
                <w:b/>
                <w:bCs/>
                <w:szCs w:val="18"/>
                <w:lang w:val="hu-HU"/>
              </w:rPr>
            </w:pPr>
            <w:r w:rsidRPr="001933F6">
              <w:rPr>
                <w:b/>
                <w:bCs/>
                <w:szCs w:val="18"/>
                <w:lang w:val="hu-HU"/>
              </w:rPr>
              <w:t>2. EU 202</w:t>
            </w:r>
            <w:r>
              <w:rPr>
                <w:b/>
                <w:bCs/>
                <w:szCs w:val="18"/>
                <w:lang w:val="hu-HU"/>
              </w:rPr>
              <w:t>1</w:t>
            </w:r>
            <w:r w:rsidRPr="001933F6">
              <w:rPr>
                <w:b/>
                <w:bCs/>
                <w:szCs w:val="18"/>
                <w:lang w:val="hu-HU"/>
              </w:rPr>
              <w:t>-2027 kormányzati elosztású támogatásai</w:t>
            </w:r>
          </w:p>
          <w:p w14:paraId="4D9A77FD" w14:textId="77777777" w:rsidR="006F28C5" w:rsidRDefault="006F28C5" w:rsidP="006F28C5">
            <w:pPr>
              <w:tabs>
                <w:tab w:val="left" w:pos="284"/>
              </w:tabs>
              <w:rPr>
                <w:szCs w:val="18"/>
                <w:lang w:val="hu-HU"/>
              </w:rPr>
            </w:pPr>
            <w:r>
              <w:rPr>
                <w:szCs w:val="18"/>
                <w:lang w:val="hu-HU"/>
              </w:rPr>
              <w:t xml:space="preserve">Az előző ciklus (2014-2020) operatív programjai újulnak meg és egészülnek ki egy „Plusz” taggal. Jelenleg a </w:t>
            </w:r>
            <w:r w:rsidRPr="006D7256">
              <w:rPr>
                <w:szCs w:val="18"/>
                <w:lang w:val="hu-HU"/>
              </w:rPr>
              <w:t>Gazdaságfejlesztési és Innovációs Operatív Program Plusz (GINOP Plusz)</w:t>
            </w:r>
            <w:r>
              <w:rPr>
                <w:szCs w:val="18"/>
                <w:lang w:val="hu-HU"/>
              </w:rPr>
              <w:t xml:space="preserve">, valamint a </w:t>
            </w:r>
            <w:r w:rsidRPr="006D7256">
              <w:rPr>
                <w:szCs w:val="18"/>
                <w:lang w:val="hu-HU"/>
              </w:rPr>
              <w:t>Terület- és Településfejlesztési Operatív Program Plusz (TOP Plusz)</w:t>
            </w:r>
            <w:r>
              <w:rPr>
                <w:szCs w:val="18"/>
                <w:lang w:val="hu-HU"/>
              </w:rPr>
              <w:t xml:space="preserve"> felhívásai érhetőek el (részlegesen).</w:t>
            </w:r>
          </w:p>
          <w:p w14:paraId="39FA087E" w14:textId="61102A86" w:rsidR="006F28C5" w:rsidRDefault="006F28C5" w:rsidP="006F28C5">
            <w:pPr>
              <w:tabs>
                <w:tab w:val="left" w:pos="284"/>
              </w:tabs>
              <w:rPr>
                <w:szCs w:val="18"/>
                <w:lang w:val="hu-HU"/>
              </w:rPr>
            </w:pPr>
            <w:r>
              <w:rPr>
                <w:szCs w:val="18"/>
                <w:lang w:val="hu-HU"/>
              </w:rPr>
              <w:t>A TOP Plusz felhívásai közül a 2.1.2-21 Fenntartható energiahatékonyság az, amely forrást biztosíthat</w:t>
            </w:r>
            <w:r w:rsidRPr="005A1E9D">
              <w:rPr>
                <w:szCs w:val="18"/>
                <w:lang w:val="hu-HU"/>
              </w:rPr>
              <w:t xml:space="preserve"> </w:t>
            </w:r>
            <w:r>
              <w:rPr>
                <w:szCs w:val="18"/>
                <w:lang w:val="hu-HU"/>
              </w:rPr>
              <w:t xml:space="preserve">a támogatható tevékenységeken keresztül klímavédelmi projektekhez a </w:t>
            </w:r>
            <w:r w:rsidRPr="005A1E9D">
              <w:rPr>
                <w:szCs w:val="18"/>
                <w:lang w:val="hu-HU"/>
              </w:rPr>
              <w:t>Fenntartható Városfejlesztési eszköz keretében jogosul</w:t>
            </w:r>
            <w:r>
              <w:rPr>
                <w:szCs w:val="18"/>
                <w:lang w:val="hu-HU"/>
              </w:rPr>
              <w:t>t városok számára. Ezen kedvezményezetti körnek nem képezik részét a budapesti kerületek.</w:t>
            </w:r>
          </w:p>
          <w:p w14:paraId="48248C9C" w14:textId="25F14FC6" w:rsidR="006F28C5" w:rsidRDefault="006F28C5" w:rsidP="006F28C5">
            <w:pPr>
              <w:tabs>
                <w:tab w:val="left" w:pos="284"/>
              </w:tabs>
              <w:rPr>
                <w:szCs w:val="18"/>
                <w:lang w:val="hu-HU"/>
              </w:rPr>
            </w:pPr>
            <w:r>
              <w:rPr>
                <w:szCs w:val="18"/>
                <w:lang w:val="hu-HU"/>
              </w:rPr>
              <w:t xml:space="preserve">Ennek megfelelő tartalmú a </w:t>
            </w:r>
            <w:r w:rsidRPr="007A783B">
              <w:rPr>
                <w:szCs w:val="18"/>
                <w:lang w:val="hu-HU"/>
              </w:rPr>
              <w:t xml:space="preserve">TOP_Plusz-2.1.1-21 </w:t>
            </w:r>
            <w:r>
              <w:rPr>
                <w:szCs w:val="18"/>
                <w:lang w:val="hu-HU"/>
              </w:rPr>
              <w:t>–</w:t>
            </w:r>
            <w:r w:rsidRPr="007A783B">
              <w:rPr>
                <w:szCs w:val="18"/>
                <w:lang w:val="hu-HU"/>
              </w:rPr>
              <w:t xml:space="preserve"> Önkormányzati épületek energetikai korszerűsítése</w:t>
            </w:r>
            <w:r>
              <w:rPr>
                <w:szCs w:val="18"/>
                <w:lang w:val="hu-HU"/>
              </w:rPr>
              <w:t xml:space="preserve"> című felhívás, melyre már nyújthatnak be támogatási kérelmet a különböző önkormányzatok, akár konzorciumi formában is. </w:t>
            </w:r>
            <w:proofErr w:type="gramStart"/>
            <w:r>
              <w:rPr>
                <w:szCs w:val="18"/>
                <w:lang w:val="hu-HU"/>
              </w:rPr>
              <w:t xml:space="preserve">A felhívás támogatja többek közt az </w:t>
            </w:r>
            <w:r w:rsidRPr="00D714C2">
              <w:rPr>
                <w:szCs w:val="18"/>
                <w:lang w:val="hu-HU"/>
              </w:rPr>
              <w:t>Épületek külső határoló szerkezeteinek korszerűsítés</w:t>
            </w:r>
            <w:r>
              <w:rPr>
                <w:szCs w:val="18"/>
                <w:lang w:val="hu-HU"/>
              </w:rPr>
              <w:t>ét</w:t>
            </w:r>
            <w:r w:rsidRPr="00D714C2">
              <w:rPr>
                <w:szCs w:val="18"/>
                <w:lang w:val="hu-HU"/>
              </w:rPr>
              <w:t>; Fosszilis</w:t>
            </w:r>
            <w:r>
              <w:rPr>
                <w:szCs w:val="18"/>
                <w:lang w:val="hu-HU"/>
              </w:rPr>
              <w:t xml:space="preserve"> </w:t>
            </w:r>
            <w:r w:rsidRPr="00D714C2">
              <w:rPr>
                <w:szCs w:val="18"/>
                <w:lang w:val="hu-HU"/>
              </w:rPr>
              <w:t>energiahordozó alapú hőtermelő berendezések korszerűsítés</w:t>
            </w:r>
            <w:r>
              <w:rPr>
                <w:szCs w:val="18"/>
                <w:lang w:val="hu-HU"/>
              </w:rPr>
              <w:t xml:space="preserve">ét </w:t>
            </w:r>
            <w:r w:rsidRPr="00D714C2">
              <w:rPr>
                <w:szCs w:val="18"/>
                <w:lang w:val="hu-HU"/>
              </w:rPr>
              <w:t>és cseréj</w:t>
            </w:r>
            <w:r>
              <w:rPr>
                <w:szCs w:val="18"/>
                <w:lang w:val="hu-HU"/>
              </w:rPr>
              <w:t>ét</w:t>
            </w:r>
            <w:r w:rsidRPr="00D714C2">
              <w:rPr>
                <w:szCs w:val="18"/>
                <w:lang w:val="hu-HU"/>
              </w:rPr>
              <w:t>; Fűtési és HMV rendszerek korszerűsítés</w:t>
            </w:r>
            <w:r>
              <w:rPr>
                <w:szCs w:val="18"/>
                <w:lang w:val="hu-HU"/>
              </w:rPr>
              <w:t>ét</w:t>
            </w:r>
            <w:r w:rsidRPr="00D714C2">
              <w:rPr>
                <w:szCs w:val="18"/>
                <w:lang w:val="hu-HU"/>
              </w:rPr>
              <w:t>;</w:t>
            </w:r>
            <w:r>
              <w:rPr>
                <w:szCs w:val="18"/>
                <w:lang w:val="hu-HU"/>
              </w:rPr>
              <w:t xml:space="preserve"> </w:t>
            </w:r>
            <w:r w:rsidRPr="00D714C2">
              <w:rPr>
                <w:szCs w:val="18"/>
                <w:lang w:val="hu-HU"/>
              </w:rPr>
              <w:t>Napkollektorok telepítés</w:t>
            </w:r>
            <w:r>
              <w:rPr>
                <w:szCs w:val="18"/>
                <w:lang w:val="hu-HU"/>
              </w:rPr>
              <w:t>ét</w:t>
            </w:r>
            <w:r w:rsidRPr="00D714C2">
              <w:rPr>
                <w:szCs w:val="18"/>
                <w:lang w:val="hu-HU"/>
              </w:rPr>
              <w:t xml:space="preserve"> és hőközlő rendszerre kötés</w:t>
            </w:r>
            <w:r>
              <w:rPr>
                <w:szCs w:val="18"/>
                <w:lang w:val="hu-HU"/>
              </w:rPr>
              <w:t>ét</w:t>
            </w:r>
            <w:r w:rsidRPr="00D714C2">
              <w:rPr>
                <w:szCs w:val="18"/>
                <w:lang w:val="hu-HU"/>
              </w:rPr>
              <w:t>;</w:t>
            </w:r>
            <w:r>
              <w:rPr>
                <w:szCs w:val="18"/>
                <w:lang w:val="hu-HU"/>
              </w:rPr>
              <w:t xml:space="preserve"> </w:t>
            </w:r>
            <w:r w:rsidRPr="00D714C2">
              <w:rPr>
                <w:szCs w:val="18"/>
                <w:lang w:val="hu-HU"/>
              </w:rPr>
              <w:t>Legfeljebb háztartási méretű kiserőmű (HMKE)</w:t>
            </w:r>
            <w:r>
              <w:rPr>
                <w:szCs w:val="18"/>
                <w:lang w:val="hu-HU"/>
              </w:rPr>
              <w:t xml:space="preserve"> </w:t>
            </w:r>
            <w:r w:rsidRPr="00D714C2">
              <w:rPr>
                <w:szCs w:val="18"/>
                <w:lang w:val="hu-HU"/>
              </w:rPr>
              <w:t>fotovillamos</w:t>
            </w:r>
            <w:r>
              <w:rPr>
                <w:szCs w:val="18"/>
                <w:lang w:val="hu-HU"/>
              </w:rPr>
              <w:t xml:space="preserve"> </w:t>
            </w:r>
            <w:r w:rsidRPr="00D714C2">
              <w:rPr>
                <w:szCs w:val="18"/>
                <w:lang w:val="hu-HU"/>
              </w:rPr>
              <w:t>rendszer kialakítás</w:t>
            </w:r>
            <w:r>
              <w:rPr>
                <w:szCs w:val="18"/>
                <w:lang w:val="hu-HU"/>
              </w:rPr>
              <w:t>át</w:t>
            </w:r>
            <w:r w:rsidRPr="00D714C2">
              <w:rPr>
                <w:szCs w:val="18"/>
                <w:lang w:val="hu-HU"/>
              </w:rPr>
              <w:t>; Hőszivattyú rendszerek telepítés</w:t>
            </w:r>
            <w:r>
              <w:rPr>
                <w:szCs w:val="18"/>
                <w:lang w:val="hu-HU"/>
              </w:rPr>
              <w:t>ét</w:t>
            </w:r>
            <w:r w:rsidRPr="00D714C2">
              <w:rPr>
                <w:szCs w:val="18"/>
                <w:lang w:val="hu-HU"/>
              </w:rPr>
              <w:t xml:space="preserve"> és</w:t>
            </w:r>
            <w:r>
              <w:rPr>
                <w:szCs w:val="18"/>
                <w:lang w:val="hu-HU"/>
              </w:rPr>
              <w:t xml:space="preserve"> </w:t>
            </w:r>
            <w:r w:rsidRPr="00D714C2">
              <w:rPr>
                <w:szCs w:val="18"/>
                <w:lang w:val="hu-HU"/>
              </w:rPr>
              <w:t>hőközlő rendszerre kötés</w:t>
            </w:r>
            <w:r>
              <w:rPr>
                <w:szCs w:val="18"/>
                <w:lang w:val="hu-HU"/>
              </w:rPr>
              <w:t>ét</w:t>
            </w:r>
            <w:r w:rsidRPr="00D714C2">
              <w:rPr>
                <w:szCs w:val="18"/>
                <w:lang w:val="hu-HU"/>
              </w:rPr>
              <w:t>; Fosszilis-, vegyes- vagy tisztán</w:t>
            </w:r>
            <w:r>
              <w:rPr>
                <w:szCs w:val="18"/>
                <w:lang w:val="hu-HU"/>
              </w:rPr>
              <w:t xml:space="preserve"> </w:t>
            </w:r>
            <w:r w:rsidRPr="00D714C2">
              <w:rPr>
                <w:szCs w:val="18"/>
                <w:lang w:val="hu-HU"/>
              </w:rPr>
              <w:t>megújuló energiaforrásokból táplálkozó helyi közösségi fűtőműre</w:t>
            </w:r>
            <w:r>
              <w:rPr>
                <w:szCs w:val="18"/>
                <w:lang w:val="hu-HU"/>
              </w:rPr>
              <w:t xml:space="preserve"> </w:t>
            </w:r>
            <w:r w:rsidRPr="00D714C2">
              <w:rPr>
                <w:szCs w:val="18"/>
                <w:lang w:val="hu-HU"/>
              </w:rPr>
              <w:t>való csatlakozás</w:t>
            </w:r>
            <w:r>
              <w:rPr>
                <w:szCs w:val="18"/>
                <w:lang w:val="hu-HU"/>
              </w:rPr>
              <w:t>t</w:t>
            </w:r>
            <w:r w:rsidRPr="00D714C2">
              <w:rPr>
                <w:szCs w:val="18"/>
                <w:lang w:val="hu-HU"/>
              </w:rPr>
              <w:t>; Okos hálózat és okos mérési</w:t>
            </w:r>
            <w:r>
              <w:rPr>
                <w:szCs w:val="18"/>
                <w:lang w:val="hu-HU"/>
              </w:rPr>
              <w:t xml:space="preserve"> </w:t>
            </w:r>
            <w:r w:rsidRPr="00D714C2">
              <w:rPr>
                <w:szCs w:val="18"/>
                <w:lang w:val="hu-HU"/>
              </w:rPr>
              <w:t>rendszer létrehozás</w:t>
            </w:r>
            <w:r>
              <w:rPr>
                <w:szCs w:val="18"/>
                <w:lang w:val="hu-HU"/>
              </w:rPr>
              <w:t>át</w:t>
            </w:r>
            <w:r w:rsidRPr="00D714C2">
              <w:rPr>
                <w:szCs w:val="18"/>
                <w:lang w:val="hu-HU"/>
              </w:rPr>
              <w:t>; Kül- és beltéri</w:t>
            </w:r>
            <w:proofErr w:type="gramEnd"/>
            <w:r w:rsidRPr="00D714C2">
              <w:rPr>
                <w:szCs w:val="18"/>
                <w:lang w:val="hu-HU"/>
              </w:rPr>
              <w:t xml:space="preserve"> világítási rendszerek</w:t>
            </w:r>
            <w:r>
              <w:rPr>
                <w:szCs w:val="18"/>
                <w:lang w:val="hu-HU"/>
              </w:rPr>
              <w:t xml:space="preserve"> </w:t>
            </w:r>
            <w:r w:rsidRPr="00D714C2">
              <w:rPr>
                <w:szCs w:val="18"/>
                <w:lang w:val="hu-HU"/>
              </w:rPr>
              <w:t>korszerűsítés</w:t>
            </w:r>
            <w:r>
              <w:rPr>
                <w:szCs w:val="18"/>
                <w:lang w:val="hu-HU"/>
              </w:rPr>
              <w:t>ét</w:t>
            </w:r>
            <w:r w:rsidRPr="00D714C2">
              <w:rPr>
                <w:szCs w:val="18"/>
                <w:lang w:val="hu-HU"/>
              </w:rPr>
              <w:t>; Központi szellőző- és légkondicionáló rendszerek</w:t>
            </w:r>
            <w:r>
              <w:rPr>
                <w:szCs w:val="18"/>
                <w:lang w:val="hu-HU"/>
              </w:rPr>
              <w:t xml:space="preserve"> </w:t>
            </w:r>
            <w:r w:rsidRPr="00D714C2">
              <w:rPr>
                <w:szCs w:val="18"/>
                <w:lang w:val="hu-HU"/>
              </w:rPr>
              <w:t>korszerűsítés</w:t>
            </w:r>
            <w:r>
              <w:rPr>
                <w:szCs w:val="18"/>
                <w:lang w:val="hu-HU"/>
              </w:rPr>
              <w:t>ét</w:t>
            </w:r>
            <w:r w:rsidRPr="00D714C2">
              <w:rPr>
                <w:szCs w:val="18"/>
                <w:lang w:val="hu-HU"/>
              </w:rPr>
              <w:t>.</w:t>
            </w:r>
          </w:p>
          <w:p w14:paraId="6C15EFB5" w14:textId="005645DD" w:rsidR="006F28C5" w:rsidRDefault="006F28C5" w:rsidP="006F28C5">
            <w:pPr>
              <w:tabs>
                <w:tab w:val="left" w:pos="284"/>
              </w:tabs>
              <w:rPr>
                <w:szCs w:val="18"/>
                <w:lang w:val="hu-HU"/>
              </w:rPr>
            </w:pPr>
            <w:r>
              <w:rPr>
                <w:szCs w:val="18"/>
                <w:lang w:val="hu-HU"/>
              </w:rPr>
              <w:t>Budapestre – és így a kerületre – vonatkozóan Top Plusz felhívások jelenleg még nem állnak rendelkezésre. Az Operatív Program hivatalosan elfogadott verziója alapján két prioritás foglalkozik majd a budapesti fejlesztésekkel (egy infrastrukturális és egy humán prioritás). V</w:t>
            </w:r>
            <w:r w:rsidRPr="002B3207">
              <w:rPr>
                <w:szCs w:val="18"/>
                <w:lang w:val="hu-HU"/>
              </w:rPr>
              <w:t xml:space="preserve">árhatóan </w:t>
            </w:r>
            <w:r>
              <w:rPr>
                <w:szCs w:val="18"/>
                <w:lang w:val="hu-HU"/>
              </w:rPr>
              <w:t xml:space="preserve">két nagyobb </w:t>
            </w:r>
            <w:r w:rsidRPr="002B3207">
              <w:rPr>
                <w:szCs w:val="18"/>
                <w:lang w:val="hu-HU"/>
              </w:rPr>
              <w:t>beavatkozási terület</w:t>
            </w:r>
            <w:r>
              <w:rPr>
                <w:szCs w:val="18"/>
                <w:lang w:val="hu-HU"/>
              </w:rPr>
              <w:t>r</w:t>
            </w:r>
            <w:r w:rsidRPr="002B3207">
              <w:rPr>
                <w:szCs w:val="18"/>
                <w:lang w:val="hu-HU"/>
              </w:rPr>
              <w:t>e</w:t>
            </w:r>
            <w:r>
              <w:rPr>
                <w:szCs w:val="18"/>
                <w:lang w:val="hu-HU"/>
              </w:rPr>
              <w:t xml:space="preserve"> </w:t>
            </w:r>
            <w:r w:rsidRPr="002B3207">
              <w:rPr>
                <w:szCs w:val="18"/>
                <w:lang w:val="hu-HU"/>
              </w:rPr>
              <w:t>lehet majd támogatási kérelmet benyújtani</w:t>
            </w:r>
            <w:r>
              <w:rPr>
                <w:szCs w:val="18"/>
                <w:lang w:val="hu-HU"/>
              </w:rPr>
              <w:t xml:space="preserve"> az infrastrukturális </w:t>
            </w:r>
            <w:proofErr w:type="gramStart"/>
            <w:r>
              <w:rPr>
                <w:szCs w:val="18"/>
                <w:lang w:val="hu-HU"/>
              </w:rPr>
              <w:t>prioritáson</w:t>
            </w:r>
            <w:proofErr w:type="gramEnd"/>
            <w:r w:rsidRPr="002B3207">
              <w:rPr>
                <w:szCs w:val="18"/>
                <w:lang w:val="hu-HU"/>
              </w:rPr>
              <w:t xml:space="preserve"> Budapest területén</w:t>
            </w:r>
            <w:r>
              <w:rPr>
                <w:szCs w:val="18"/>
                <w:lang w:val="hu-HU"/>
              </w:rPr>
              <w:t>:</w:t>
            </w:r>
          </w:p>
          <w:p w14:paraId="2099E76B" w14:textId="77777777" w:rsidR="006F28C5" w:rsidRDefault="006F28C5" w:rsidP="006F28C5">
            <w:pPr>
              <w:pStyle w:val="Listaszerbekezds"/>
              <w:numPr>
                <w:ilvl w:val="0"/>
                <w:numId w:val="37"/>
              </w:numPr>
              <w:tabs>
                <w:tab w:val="left" w:pos="284"/>
              </w:tabs>
              <w:spacing w:line="276" w:lineRule="auto"/>
              <w:rPr>
                <w:szCs w:val="18"/>
                <w:lang w:val="hu-HU"/>
              </w:rPr>
            </w:pPr>
            <w:r w:rsidRPr="00F43073">
              <w:rPr>
                <w:szCs w:val="18"/>
                <w:lang w:val="hu-HU"/>
              </w:rPr>
              <w:t>A, Élhetőbb városi környezet megteremtése integrált településfejlesztési beavatkozásokkal;</w:t>
            </w:r>
          </w:p>
          <w:p w14:paraId="4B4FC6AB" w14:textId="77777777" w:rsidR="006F28C5" w:rsidRPr="00F43073" w:rsidRDefault="006F28C5" w:rsidP="006F28C5">
            <w:pPr>
              <w:pStyle w:val="Listaszerbekezds"/>
              <w:numPr>
                <w:ilvl w:val="0"/>
                <w:numId w:val="37"/>
              </w:numPr>
              <w:tabs>
                <w:tab w:val="left" w:pos="284"/>
              </w:tabs>
              <w:spacing w:line="276" w:lineRule="auto"/>
              <w:rPr>
                <w:szCs w:val="18"/>
                <w:lang w:val="hu-HU"/>
              </w:rPr>
            </w:pPr>
            <w:r w:rsidRPr="00F43073">
              <w:rPr>
                <w:szCs w:val="18"/>
                <w:lang w:val="hu-HU"/>
              </w:rPr>
              <w:lastRenderedPageBreak/>
              <w:t>B, Esélyteremtő szolgáltatások, szociális célú városrehabilitáció és épületállomány energiahatékony infrastrukturális hátterének javítása)</w:t>
            </w:r>
            <w:r>
              <w:rPr>
                <w:szCs w:val="18"/>
                <w:lang w:val="hu-HU"/>
              </w:rPr>
              <w:t>.</w:t>
            </w:r>
          </w:p>
          <w:p w14:paraId="4E855CF2" w14:textId="5FF7ACF1" w:rsidR="006F28C5" w:rsidRDefault="006F28C5" w:rsidP="006F28C5">
            <w:pPr>
              <w:tabs>
                <w:tab w:val="left" w:pos="284"/>
              </w:tabs>
              <w:rPr>
                <w:szCs w:val="18"/>
                <w:lang w:val="hu-HU"/>
              </w:rPr>
            </w:pPr>
            <w:r>
              <w:rPr>
                <w:szCs w:val="18"/>
                <w:lang w:val="hu-HU"/>
              </w:rPr>
              <w:t xml:space="preserve"> Jelen Beruházási Koncepció aspektusából a B prioritási területen szereplő beavatkozás lehet releváns:</w:t>
            </w:r>
          </w:p>
          <w:p w14:paraId="198889E5" w14:textId="643CC6BA" w:rsidR="006F28C5" w:rsidRPr="00CF55C7" w:rsidRDefault="006F28C5" w:rsidP="006F28C5">
            <w:pPr>
              <w:pStyle w:val="Listaszerbekezds"/>
              <w:numPr>
                <w:ilvl w:val="0"/>
                <w:numId w:val="44"/>
              </w:numPr>
              <w:tabs>
                <w:tab w:val="left" w:pos="284"/>
              </w:tabs>
              <w:rPr>
                <w:szCs w:val="18"/>
              </w:rPr>
            </w:pPr>
            <w:r w:rsidRPr="00CF55C7">
              <w:rPr>
                <w:szCs w:val="18"/>
              </w:rPr>
              <w:t>Lakásügynökség – lakásállomány felújítása és bővítése:</w:t>
            </w:r>
            <w:r>
              <w:rPr>
                <w:szCs w:val="18"/>
              </w:rPr>
              <w:t xml:space="preserve"> </w:t>
            </w:r>
            <w:r w:rsidRPr="00CF55C7">
              <w:rPr>
                <w:szCs w:val="18"/>
              </w:rPr>
              <w:t>"A lakások komplex, energetikai mélyfelújításra is kiterjedő rekonstrukció után kerülnek az 5. prioritásban tervezett Lakásügynökség által bérbeadásra. A</w:t>
            </w:r>
            <w:r>
              <w:rPr>
                <w:szCs w:val="18"/>
              </w:rPr>
              <w:t xml:space="preserve"> </w:t>
            </w:r>
            <w:r w:rsidRPr="00CF55C7">
              <w:rPr>
                <w:szCs w:val="18"/>
              </w:rPr>
              <w:t>felújítandó ingatlanok nem koncentrálódnak a város egyes területeire, így szegregátumok létrehozásához vagy fenntartásához a tervezett fejlesztések</w:t>
            </w:r>
            <w:r>
              <w:rPr>
                <w:szCs w:val="18"/>
              </w:rPr>
              <w:t xml:space="preserve"> </w:t>
            </w:r>
            <w:r w:rsidRPr="00CF55C7">
              <w:rPr>
                <w:szCs w:val="18"/>
              </w:rPr>
              <w:t>semmilyen formában nem járulnak hozzá.</w:t>
            </w:r>
            <w:r>
              <w:rPr>
                <w:szCs w:val="18"/>
              </w:rPr>
              <w:t xml:space="preserve"> </w:t>
            </w:r>
            <w:r w:rsidRPr="00CF55C7">
              <w:rPr>
                <w:szCs w:val="18"/>
              </w:rPr>
              <w:t>A lakásügynökség olyan lakhatási szegénységben élő budapestiek számára biztosít megfizethető, biztonságos lakhatást, akiknek nincsen sem lakásvagyona,</w:t>
            </w:r>
            <w:r>
              <w:rPr>
                <w:szCs w:val="18"/>
              </w:rPr>
              <w:t xml:space="preserve"> </w:t>
            </w:r>
            <w:r w:rsidRPr="00CF55C7">
              <w:rPr>
                <w:szCs w:val="18"/>
              </w:rPr>
              <w:t>sem ahhoz elegendő elkölthető jövedelme, hogy lakhatásukat a magánbérleti szektorban önerőből megoldják."</w:t>
            </w:r>
            <w:r>
              <w:rPr>
                <w:rStyle w:val="Lbjegyzet-hivatkozs"/>
                <w:szCs w:val="18"/>
              </w:rPr>
              <w:footnoteReference w:id="45"/>
            </w:r>
          </w:p>
          <w:p w14:paraId="26C4D58F" w14:textId="77777777" w:rsidR="006F28C5" w:rsidRDefault="006F28C5" w:rsidP="006F28C5">
            <w:pPr>
              <w:tabs>
                <w:tab w:val="left" w:pos="284"/>
              </w:tabs>
              <w:rPr>
                <w:szCs w:val="18"/>
                <w:lang w:val="hu-HU"/>
              </w:rPr>
            </w:pPr>
            <w:r>
              <w:rPr>
                <w:szCs w:val="18"/>
                <w:lang w:val="hu-HU"/>
              </w:rPr>
              <w:t xml:space="preserve">A </w:t>
            </w:r>
            <w:r w:rsidRPr="004821BA">
              <w:rPr>
                <w:szCs w:val="18"/>
                <w:lang w:val="hu-HU"/>
              </w:rPr>
              <w:t>Környezeti és Energiahatékonysági Operatív Program Plusz (KEHOP Plusz</w:t>
            </w:r>
            <w:r>
              <w:rPr>
                <w:szCs w:val="18"/>
                <w:lang w:val="hu-HU"/>
              </w:rPr>
              <w:t>) felhívásainak egy része társadalmasítási folyamatban van, várhatóan ezek közül jelentős számban kerülnek ki olyan pályázati lehetőségek, melyek kapcsolódnak jelen EUCF Beruházási Koncepció profiljához.</w:t>
            </w:r>
          </w:p>
          <w:p w14:paraId="6841A7D0" w14:textId="4AFE5018" w:rsidR="006F28C5" w:rsidRDefault="006F28C5" w:rsidP="006F28C5">
            <w:pPr>
              <w:tabs>
                <w:tab w:val="left" w:pos="284"/>
              </w:tabs>
              <w:rPr>
                <w:szCs w:val="18"/>
                <w:lang w:val="hu-HU"/>
              </w:rPr>
            </w:pPr>
            <w:r>
              <w:rPr>
                <w:szCs w:val="18"/>
                <w:lang w:val="hu-HU"/>
              </w:rPr>
              <w:t>A strukturális alapok mellett új eszközként megjelent a Helyreállítási és Ellenállóképességi Eszköz (RRF). A konstrukció európai uniós finanszírozása ugyanakkor még tárgyalások részét képezi.</w:t>
            </w:r>
          </w:p>
          <w:p w14:paraId="39CFC0BD" w14:textId="77777777" w:rsidR="006F28C5" w:rsidRDefault="006F28C5" w:rsidP="006F28C5">
            <w:pPr>
              <w:tabs>
                <w:tab w:val="left" w:pos="284"/>
              </w:tabs>
              <w:jc w:val="left"/>
              <w:rPr>
                <w:b/>
                <w:bCs/>
                <w:szCs w:val="18"/>
                <w:lang w:val="hu-HU"/>
              </w:rPr>
            </w:pPr>
          </w:p>
          <w:p w14:paraId="7221D4E5" w14:textId="77777777" w:rsidR="006F28C5" w:rsidRPr="00D4459C" w:rsidRDefault="006F28C5" w:rsidP="006F28C5">
            <w:pPr>
              <w:tabs>
                <w:tab w:val="left" w:pos="284"/>
              </w:tabs>
              <w:jc w:val="left"/>
              <w:rPr>
                <w:b/>
                <w:bCs/>
                <w:szCs w:val="18"/>
                <w:lang w:val="hu-HU"/>
              </w:rPr>
            </w:pPr>
            <w:r w:rsidRPr="00D4459C">
              <w:rPr>
                <w:b/>
                <w:bCs/>
                <w:szCs w:val="18"/>
                <w:lang w:val="hu-HU"/>
              </w:rPr>
              <w:t>3. Harmadik feles finanszírozás (ESCO)</w:t>
            </w:r>
          </w:p>
          <w:p w14:paraId="16F144EA" w14:textId="77777777" w:rsidR="006F28C5" w:rsidRDefault="006F28C5" w:rsidP="006F28C5">
            <w:pPr>
              <w:tabs>
                <w:tab w:val="left" w:pos="284"/>
              </w:tabs>
              <w:rPr>
                <w:szCs w:val="18"/>
                <w:lang w:val="hu-HU"/>
              </w:rPr>
            </w:pPr>
            <w:r>
              <w:rPr>
                <w:szCs w:val="18"/>
                <w:lang w:val="hu-HU"/>
              </w:rPr>
              <w:t xml:space="preserve">Az ESCO (Energy Service Company – Energetikai Szolgáltató Vállalat) a 2006/32/EK Irányelv definíciója szerint az a természetes vagy jogi személy, aki energetikai és/vagy energiahatékonysági szolgáltatást nyújt a felhasználó létesítményei számára, részt vállalva annak gazdálkodási kockázatából. A szolgáltatás ellenértékének a fedezete (részben vagy egészben) az energiahatékonysági beavatkozás </w:t>
            </w:r>
            <w:proofErr w:type="gramStart"/>
            <w:r>
              <w:rPr>
                <w:szCs w:val="18"/>
                <w:lang w:val="hu-HU"/>
              </w:rPr>
              <w:t>kell</w:t>
            </w:r>
            <w:proofErr w:type="gramEnd"/>
            <w:r>
              <w:rPr>
                <w:szCs w:val="18"/>
                <w:lang w:val="hu-HU"/>
              </w:rPr>
              <w:t xml:space="preserve"> legyen, egy Energiatakarékossági Szerződésben (EPC) előre lefektetett teljesítési kritérium rendszer alapján.</w:t>
            </w:r>
          </w:p>
          <w:p w14:paraId="40ED71E4" w14:textId="77777777" w:rsidR="006F28C5" w:rsidRDefault="006F28C5" w:rsidP="006F28C5">
            <w:pPr>
              <w:tabs>
                <w:tab w:val="left" w:pos="284"/>
              </w:tabs>
              <w:rPr>
                <w:szCs w:val="18"/>
                <w:lang w:val="hu-HU"/>
              </w:rPr>
            </w:pPr>
            <w:r>
              <w:rPr>
                <w:szCs w:val="18"/>
                <w:lang w:val="hu-HU"/>
              </w:rPr>
              <w:t>Ezen megoldás esetén tehát az ingatlan tulajdonosa helyett egy harmadik fél finanszírozza – előre meghatározott igények és feltételek mellett – a beruházást. A költségeket</w:t>
            </w:r>
            <w:r>
              <w:t xml:space="preserve"> – </w:t>
            </w:r>
            <w:r w:rsidRPr="003C4000">
              <w:rPr>
                <w:szCs w:val="18"/>
                <w:lang w:val="hu-HU"/>
              </w:rPr>
              <w:t>a vállalt kockázatoknak és munkálatoknak megfelelő profi</w:t>
            </w:r>
            <w:r>
              <w:rPr>
                <w:szCs w:val="18"/>
                <w:lang w:val="hu-HU"/>
              </w:rPr>
              <w:t>ttal növelt – az elért energiaköltség-megtakarítás valamekkora hányada fedezi. A különböző cégek ajánlata, metódusa alapján elmondható, hogy általában az ESCO saját költségén felújítja, telepíti és üzemelteti az adott energiamegtakarítást célzó rendszereket. Ezek a berendezések – a szerződésnek és annak időtartamának megfelelően – a megállapodás végéig az ESCO tulajdonában maradnak. Ezeknek a hosszú távú energiamegtakarítási szerződéseknek az átlagos időtartama 5-20 év között változik.</w:t>
            </w:r>
          </w:p>
          <w:p w14:paraId="70370A19" w14:textId="77777777" w:rsidR="006F28C5" w:rsidRDefault="006F28C5" w:rsidP="006F28C5">
            <w:pPr>
              <w:tabs>
                <w:tab w:val="left" w:pos="284"/>
              </w:tabs>
              <w:rPr>
                <w:szCs w:val="18"/>
                <w:lang w:val="hu-HU"/>
              </w:rPr>
            </w:pPr>
            <w:r>
              <w:rPr>
                <w:szCs w:val="18"/>
                <w:lang w:val="hu-HU"/>
              </w:rPr>
              <w:t>Magyarországon a privát szférában társasházaknál vagy gazdasági társaságok épületeinél, az állami szférában pedig elsősorban kórházak, büntetés-végrehajtó és önkormányzati intézmények (ahol az energetika nem tartozik az alaptevékenységek közé) esetében fordul elő ez a modell.</w:t>
            </w:r>
          </w:p>
          <w:p w14:paraId="0A8B4BDC" w14:textId="77777777" w:rsidR="006F28C5" w:rsidRDefault="006F28C5" w:rsidP="006F28C5">
            <w:pPr>
              <w:tabs>
                <w:tab w:val="left" w:pos="284"/>
              </w:tabs>
              <w:rPr>
                <w:szCs w:val="18"/>
                <w:lang w:val="hu-HU"/>
              </w:rPr>
            </w:pPr>
            <w:r>
              <w:rPr>
                <w:szCs w:val="18"/>
                <w:lang w:val="hu-HU"/>
              </w:rPr>
              <w:t>Magyarországon jelenleg kisszámú ESCO érhető el, azonban az olyan alábbi cégek profiljában szerepel ez a szolgáltatás, mint például:</w:t>
            </w:r>
          </w:p>
          <w:p w14:paraId="1CE9E442"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711C01">
              <w:rPr>
                <w:szCs w:val="18"/>
                <w:lang w:val="hu-HU"/>
              </w:rPr>
              <w:t>ENGIE Magyarország Kft.</w:t>
            </w:r>
            <w:r>
              <w:rPr>
                <w:szCs w:val="18"/>
                <w:lang w:val="hu-HU"/>
              </w:rPr>
              <w:t>;</w:t>
            </w:r>
          </w:p>
          <w:p w14:paraId="53E66755"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711C01">
              <w:rPr>
                <w:szCs w:val="18"/>
                <w:lang w:val="hu-HU"/>
              </w:rPr>
              <w:t>Energy-Hungary Zrt</w:t>
            </w:r>
            <w:proofErr w:type="gramStart"/>
            <w:r w:rsidRPr="00711C01">
              <w:rPr>
                <w:szCs w:val="18"/>
                <w:lang w:val="hu-HU"/>
              </w:rPr>
              <w:t>.</w:t>
            </w:r>
            <w:r>
              <w:rPr>
                <w:szCs w:val="18"/>
                <w:lang w:val="hu-HU"/>
              </w:rPr>
              <w:t>;</w:t>
            </w:r>
            <w:proofErr w:type="gramEnd"/>
          </w:p>
          <w:p w14:paraId="4916F9ED"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BC5FA5">
              <w:rPr>
                <w:szCs w:val="18"/>
                <w:lang w:val="hu-HU"/>
              </w:rPr>
              <w:t>Greenvestment Kft.</w:t>
            </w:r>
            <w:r>
              <w:rPr>
                <w:szCs w:val="18"/>
                <w:lang w:val="hu-HU"/>
              </w:rPr>
              <w:t xml:space="preserve"> (SYSCO Group tagja) – főként közvilágítás-korszerűsítés;</w:t>
            </w:r>
          </w:p>
          <w:p w14:paraId="117ECEF8"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F84057">
              <w:rPr>
                <w:szCs w:val="18"/>
                <w:lang w:val="hu-HU"/>
              </w:rPr>
              <w:t>EnergoSys Zrt</w:t>
            </w:r>
            <w:proofErr w:type="gramStart"/>
            <w:r w:rsidRPr="00F84057">
              <w:rPr>
                <w:szCs w:val="18"/>
                <w:lang w:val="hu-HU"/>
              </w:rPr>
              <w:t>.</w:t>
            </w:r>
            <w:r>
              <w:rPr>
                <w:szCs w:val="18"/>
                <w:lang w:val="hu-HU"/>
              </w:rPr>
              <w:t>;</w:t>
            </w:r>
            <w:proofErr w:type="gramEnd"/>
          </w:p>
          <w:p w14:paraId="48D6B9B7"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D30FBC">
              <w:rPr>
                <w:szCs w:val="18"/>
                <w:lang w:val="hu-HU"/>
              </w:rPr>
              <w:t>LENERG Energiaügynökség Mérnöki és Tanácsadó Nonprofit Kft.</w:t>
            </w:r>
            <w:r>
              <w:rPr>
                <w:szCs w:val="18"/>
                <w:lang w:val="hu-HU"/>
              </w:rPr>
              <w:t>;</w:t>
            </w:r>
          </w:p>
          <w:p w14:paraId="709F6F1B"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D30FBC">
              <w:rPr>
                <w:szCs w:val="18"/>
                <w:lang w:val="hu-HU"/>
              </w:rPr>
              <w:lastRenderedPageBreak/>
              <w:t>MVM ESCO Zrt</w:t>
            </w:r>
            <w:r>
              <w:rPr>
                <w:szCs w:val="18"/>
                <w:lang w:val="hu-HU"/>
              </w:rPr>
              <w:t>. és leányvállalata,</w:t>
            </w:r>
            <w:r>
              <w:t xml:space="preserve"> </w:t>
            </w:r>
            <w:r w:rsidRPr="00D30FBC">
              <w:rPr>
                <w:szCs w:val="18"/>
                <w:lang w:val="hu-HU"/>
              </w:rPr>
              <w:t>az MVM ESCO Urban Kft.</w:t>
            </w:r>
            <w:r>
              <w:rPr>
                <w:szCs w:val="18"/>
                <w:lang w:val="hu-HU"/>
              </w:rPr>
              <w:t>;</w:t>
            </w:r>
          </w:p>
          <w:p w14:paraId="2F763F8B"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E71765">
              <w:rPr>
                <w:szCs w:val="18"/>
                <w:lang w:val="hu-HU"/>
              </w:rPr>
              <w:t>MN6 Energiaügynökség</w:t>
            </w:r>
            <w:r>
              <w:rPr>
                <w:szCs w:val="18"/>
                <w:lang w:val="hu-HU"/>
              </w:rPr>
              <w:t xml:space="preserve"> (ESCO-hoz kapcsolódó tanácsadás);</w:t>
            </w:r>
          </w:p>
          <w:p w14:paraId="66707E27"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E71765">
              <w:rPr>
                <w:szCs w:val="18"/>
                <w:lang w:val="hu-HU"/>
              </w:rPr>
              <w:t>Első Magyar Energetikai Fejlesztő és Szolgáltató</w:t>
            </w:r>
            <w:r>
              <w:rPr>
                <w:szCs w:val="18"/>
                <w:lang w:val="hu-HU"/>
              </w:rPr>
              <w:t xml:space="preserve"> Kft.</w:t>
            </w:r>
            <w:r w:rsidRPr="00E71765">
              <w:rPr>
                <w:szCs w:val="18"/>
                <w:lang w:val="hu-HU"/>
              </w:rPr>
              <w:t xml:space="preserve"> </w:t>
            </w:r>
            <w:r>
              <w:rPr>
                <w:szCs w:val="18"/>
                <w:lang w:val="hu-HU"/>
              </w:rPr>
              <w:t>(</w:t>
            </w:r>
            <w:r w:rsidRPr="00E71765">
              <w:rPr>
                <w:szCs w:val="18"/>
                <w:lang w:val="hu-HU"/>
              </w:rPr>
              <w:t>EMEF</w:t>
            </w:r>
            <w:r>
              <w:rPr>
                <w:szCs w:val="18"/>
                <w:lang w:val="hu-HU"/>
              </w:rPr>
              <w:t>);</w:t>
            </w:r>
          </w:p>
          <w:p w14:paraId="04A48307"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9C2EA3">
              <w:rPr>
                <w:szCs w:val="18"/>
                <w:lang w:val="hu-HU"/>
              </w:rPr>
              <w:t>Nemzeti Energiagazdálkodási Zrt</w:t>
            </w:r>
            <w:proofErr w:type="gramStart"/>
            <w:r w:rsidRPr="009C2EA3">
              <w:rPr>
                <w:szCs w:val="18"/>
                <w:lang w:val="hu-HU"/>
              </w:rPr>
              <w:t>.</w:t>
            </w:r>
            <w:r>
              <w:rPr>
                <w:szCs w:val="18"/>
                <w:lang w:val="hu-HU"/>
              </w:rPr>
              <w:t>;</w:t>
            </w:r>
            <w:proofErr w:type="gramEnd"/>
          </w:p>
          <w:p w14:paraId="36434363" w14:textId="77777777" w:rsidR="006F28C5" w:rsidRDefault="006F28C5" w:rsidP="006F28C5">
            <w:pPr>
              <w:pStyle w:val="Listaszerbekezds"/>
              <w:numPr>
                <w:ilvl w:val="0"/>
                <w:numId w:val="38"/>
              </w:numPr>
              <w:tabs>
                <w:tab w:val="left" w:pos="284"/>
              </w:tabs>
              <w:spacing w:line="276" w:lineRule="auto"/>
              <w:jc w:val="left"/>
              <w:rPr>
                <w:szCs w:val="18"/>
                <w:lang w:val="hu-HU"/>
              </w:rPr>
            </w:pPr>
            <w:r w:rsidRPr="00C7173B">
              <w:rPr>
                <w:szCs w:val="18"/>
                <w:lang w:val="hu-HU"/>
              </w:rPr>
              <w:t>EnerIn ESCO Kft.</w:t>
            </w:r>
            <w:r>
              <w:rPr>
                <w:szCs w:val="18"/>
                <w:lang w:val="hu-HU"/>
              </w:rPr>
              <w:t xml:space="preserve"> </w:t>
            </w:r>
            <w:r w:rsidRPr="00C7173B">
              <w:rPr>
                <w:szCs w:val="18"/>
                <w:lang w:val="hu-HU"/>
              </w:rPr>
              <w:t>közvilágítás-korszerűsítés;</w:t>
            </w:r>
          </w:p>
          <w:p w14:paraId="4D7D0E5F" w14:textId="77777777" w:rsidR="006F28C5" w:rsidRDefault="006F28C5" w:rsidP="006F28C5">
            <w:pPr>
              <w:pStyle w:val="Listaszerbekezds"/>
              <w:numPr>
                <w:ilvl w:val="0"/>
                <w:numId w:val="38"/>
              </w:numPr>
              <w:tabs>
                <w:tab w:val="left" w:pos="284"/>
              </w:tabs>
              <w:spacing w:line="276" w:lineRule="auto"/>
              <w:jc w:val="left"/>
              <w:rPr>
                <w:szCs w:val="18"/>
                <w:lang w:val="hu-HU"/>
              </w:rPr>
            </w:pPr>
            <w:r>
              <w:rPr>
                <w:szCs w:val="18"/>
                <w:lang w:val="hu-HU"/>
              </w:rPr>
              <w:t>GREP Zrt.</w:t>
            </w:r>
          </w:p>
          <w:p w14:paraId="42952070" w14:textId="77777777" w:rsidR="006F28C5" w:rsidRPr="00434A49" w:rsidRDefault="006F28C5" w:rsidP="006F28C5">
            <w:pPr>
              <w:tabs>
                <w:tab w:val="left" w:pos="284"/>
              </w:tabs>
              <w:jc w:val="left"/>
              <w:rPr>
                <w:b/>
                <w:bCs/>
                <w:szCs w:val="18"/>
                <w:lang w:val="hu-HU"/>
              </w:rPr>
            </w:pPr>
            <w:r w:rsidRPr="00434A49">
              <w:rPr>
                <w:b/>
                <w:bCs/>
                <w:szCs w:val="18"/>
                <w:lang w:val="hu-HU"/>
              </w:rPr>
              <w:t>4. Banki hitelek</w:t>
            </w:r>
          </w:p>
          <w:p w14:paraId="6E0A3E2E" w14:textId="77777777" w:rsidR="006F28C5" w:rsidRDefault="006F28C5" w:rsidP="006F28C5">
            <w:pPr>
              <w:tabs>
                <w:tab w:val="left" w:pos="284"/>
              </w:tabs>
              <w:rPr>
                <w:szCs w:val="18"/>
                <w:lang w:val="hu-HU"/>
              </w:rPr>
            </w:pPr>
            <w:r>
              <w:rPr>
                <w:szCs w:val="18"/>
                <w:lang w:val="hu-HU"/>
              </w:rPr>
              <w:t>A projekt várható megtérülési idejének korlátai miatt a harmadik feles finanszírozás (ESCO), valamint a banki hitelek lehetőségét a koncepció részletekbe menően nem vizsgálja. A banki hitelek finanszírozási lehetőségként való figyelembevétele azért sem ideális, mert az emelkedő kamatkörnyezet miatt jelenleg nem kiszámítható és optimális megoldás.</w:t>
            </w:r>
          </w:p>
          <w:p w14:paraId="1A004E38" w14:textId="77777777" w:rsidR="006F28C5" w:rsidRDefault="006F28C5" w:rsidP="006F28C5">
            <w:pPr>
              <w:tabs>
                <w:tab w:val="left" w:pos="284"/>
              </w:tabs>
              <w:rPr>
                <w:szCs w:val="18"/>
                <w:lang w:val="hu-HU"/>
              </w:rPr>
            </w:pPr>
            <w:r>
              <w:rPr>
                <w:szCs w:val="18"/>
                <w:lang w:val="hu-HU"/>
              </w:rPr>
              <w:t xml:space="preserve">A különböző kereskedelmi bankok portfóliójában rendre szerepelnek a társasházi/lakásszövetkezeti hitelek, melyek felhasználásának módjai hasonlóak. Általában a következő – a Koncepció szempontjából releváns – tevékenységek valósíthatóak meg a </w:t>
            </w:r>
            <w:r w:rsidRPr="002E2BC3">
              <w:rPr>
                <w:szCs w:val="18"/>
                <w:lang w:val="hu-HU"/>
              </w:rPr>
              <w:t>társasházi/lakásszövetkezeti hitelek</w:t>
            </w:r>
            <w:r>
              <w:rPr>
                <w:szCs w:val="18"/>
                <w:lang w:val="hu-HU"/>
              </w:rPr>
              <w:t>ből a</w:t>
            </w:r>
            <w:r>
              <w:t xml:space="preserve"> társasházak</w:t>
            </w:r>
            <w:r w:rsidRPr="001340C0">
              <w:rPr>
                <w:szCs w:val="18"/>
                <w:lang w:val="hu-HU"/>
              </w:rPr>
              <w:t xml:space="preserve"> közös tulajdonában lévő és a lakásszövetkezetek tulajdonában álló épületrészek </w:t>
            </w:r>
            <w:r>
              <w:rPr>
                <w:szCs w:val="18"/>
                <w:lang w:val="hu-HU"/>
              </w:rPr>
              <w:t>esetében:</w:t>
            </w:r>
          </w:p>
          <w:p w14:paraId="18C57637" w14:textId="77777777" w:rsidR="006F28C5" w:rsidRDefault="006F28C5" w:rsidP="006F28C5">
            <w:pPr>
              <w:pStyle w:val="Listaszerbekezds"/>
              <w:numPr>
                <w:ilvl w:val="0"/>
                <w:numId w:val="40"/>
              </w:numPr>
              <w:tabs>
                <w:tab w:val="left" w:pos="284"/>
              </w:tabs>
              <w:spacing w:line="276" w:lineRule="auto"/>
              <w:rPr>
                <w:szCs w:val="18"/>
                <w:lang w:val="hu-HU"/>
              </w:rPr>
            </w:pPr>
            <w:r>
              <w:rPr>
                <w:szCs w:val="18"/>
                <w:lang w:val="hu-HU"/>
              </w:rPr>
              <w:t>Tető, külső homlokzat vagy lépcsőház felújítása;</w:t>
            </w:r>
          </w:p>
          <w:p w14:paraId="6A54D479" w14:textId="77777777" w:rsidR="006F28C5" w:rsidRDefault="006F28C5" w:rsidP="006F28C5">
            <w:pPr>
              <w:pStyle w:val="Listaszerbekezds"/>
              <w:numPr>
                <w:ilvl w:val="0"/>
                <w:numId w:val="40"/>
              </w:numPr>
              <w:tabs>
                <w:tab w:val="left" w:pos="284"/>
              </w:tabs>
              <w:spacing w:line="276" w:lineRule="auto"/>
              <w:rPr>
                <w:szCs w:val="18"/>
                <w:lang w:val="hu-HU"/>
              </w:rPr>
            </w:pPr>
            <w:r>
              <w:rPr>
                <w:szCs w:val="18"/>
                <w:lang w:val="hu-HU"/>
              </w:rPr>
              <w:t>Kéményfelújítás, -bélelés;</w:t>
            </w:r>
          </w:p>
          <w:p w14:paraId="53682483" w14:textId="77777777" w:rsidR="006F28C5" w:rsidRDefault="006F28C5" w:rsidP="006F28C5">
            <w:pPr>
              <w:pStyle w:val="Listaszerbekezds"/>
              <w:numPr>
                <w:ilvl w:val="0"/>
                <w:numId w:val="40"/>
              </w:numPr>
              <w:tabs>
                <w:tab w:val="left" w:pos="284"/>
              </w:tabs>
              <w:spacing w:line="276" w:lineRule="auto"/>
              <w:rPr>
                <w:szCs w:val="18"/>
                <w:lang w:val="hu-HU"/>
              </w:rPr>
            </w:pPr>
            <w:r>
              <w:rPr>
                <w:szCs w:val="18"/>
                <w:lang w:val="hu-HU"/>
              </w:rPr>
              <w:t>Központi fűtés kialakítása vagy telepítése;</w:t>
            </w:r>
          </w:p>
          <w:p w14:paraId="5D4D8769" w14:textId="77777777" w:rsidR="006F28C5" w:rsidRDefault="006F28C5" w:rsidP="006F28C5">
            <w:pPr>
              <w:pStyle w:val="Listaszerbekezds"/>
              <w:numPr>
                <w:ilvl w:val="0"/>
                <w:numId w:val="40"/>
              </w:numPr>
              <w:tabs>
                <w:tab w:val="left" w:pos="284"/>
              </w:tabs>
              <w:spacing w:line="276" w:lineRule="auto"/>
              <w:rPr>
                <w:szCs w:val="18"/>
                <w:lang w:val="hu-HU"/>
              </w:rPr>
            </w:pPr>
            <w:r>
              <w:rPr>
                <w:szCs w:val="18"/>
                <w:lang w:val="hu-HU"/>
              </w:rPr>
              <w:t>Különböző vezetékek felújítása, cseréje (víz, villany, gáz, szennyvíz);</w:t>
            </w:r>
          </w:p>
          <w:p w14:paraId="0250AE7A" w14:textId="77777777" w:rsidR="006F28C5" w:rsidRDefault="006F28C5" w:rsidP="006F28C5">
            <w:pPr>
              <w:pStyle w:val="Listaszerbekezds"/>
              <w:numPr>
                <w:ilvl w:val="0"/>
                <w:numId w:val="40"/>
              </w:numPr>
              <w:tabs>
                <w:tab w:val="left" w:pos="284"/>
              </w:tabs>
              <w:spacing w:line="276" w:lineRule="auto"/>
              <w:rPr>
                <w:szCs w:val="18"/>
                <w:lang w:val="hu-HU"/>
              </w:rPr>
            </w:pPr>
            <w:r>
              <w:rPr>
                <w:szCs w:val="18"/>
                <w:lang w:val="hu-HU"/>
              </w:rPr>
              <w:t>Nyílászárók cseréje vagy felújítása;</w:t>
            </w:r>
          </w:p>
          <w:p w14:paraId="6C421DF0" w14:textId="77777777" w:rsidR="006F28C5" w:rsidRDefault="006F28C5" w:rsidP="006F28C5">
            <w:pPr>
              <w:pStyle w:val="Listaszerbekezds"/>
              <w:numPr>
                <w:ilvl w:val="0"/>
                <w:numId w:val="40"/>
              </w:numPr>
              <w:tabs>
                <w:tab w:val="left" w:pos="284"/>
              </w:tabs>
              <w:spacing w:line="276" w:lineRule="auto"/>
              <w:rPr>
                <w:szCs w:val="18"/>
                <w:lang w:val="hu-HU"/>
              </w:rPr>
            </w:pPr>
            <w:r>
              <w:rPr>
                <w:szCs w:val="18"/>
                <w:lang w:val="hu-HU"/>
              </w:rPr>
              <w:t>Közművek felújítása;</w:t>
            </w:r>
          </w:p>
          <w:p w14:paraId="3F83730E" w14:textId="77777777" w:rsidR="006F28C5" w:rsidRPr="002E2BC3" w:rsidRDefault="006F28C5" w:rsidP="006F28C5">
            <w:pPr>
              <w:pStyle w:val="Listaszerbekezds"/>
              <w:numPr>
                <w:ilvl w:val="0"/>
                <w:numId w:val="40"/>
              </w:numPr>
              <w:tabs>
                <w:tab w:val="left" w:pos="284"/>
              </w:tabs>
              <w:spacing w:line="276" w:lineRule="auto"/>
              <w:rPr>
                <w:szCs w:val="18"/>
                <w:lang w:val="hu-HU"/>
              </w:rPr>
            </w:pPr>
            <w:r>
              <w:rPr>
                <w:szCs w:val="18"/>
                <w:lang w:val="hu-HU"/>
              </w:rPr>
              <w:t>Egyedi fűtőberendezések közösségi cseréje.</w:t>
            </w:r>
          </w:p>
          <w:p w14:paraId="30E1BC06" w14:textId="77777777" w:rsidR="006F28C5" w:rsidRDefault="006F28C5" w:rsidP="006F28C5">
            <w:pPr>
              <w:tabs>
                <w:tab w:val="left" w:pos="284"/>
              </w:tabs>
              <w:rPr>
                <w:szCs w:val="18"/>
                <w:lang w:val="hu-HU"/>
              </w:rPr>
            </w:pPr>
            <w:r>
              <w:rPr>
                <w:szCs w:val="18"/>
                <w:lang w:val="hu-HU"/>
              </w:rPr>
              <w:t>OTP Bank</w:t>
            </w:r>
            <w:r>
              <w:rPr>
                <w:rStyle w:val="Lbjegyzet-hivatkozs"/>
                <w:szCs w:val="18"/>
                <w:lang w:val="hu-HU"/>
              </w:rPr>
              <w:footnoteReference w:id="46"/>
            </w:r>
          </w:p>
          <w:p w14:paraId="5EF70726" w14:textId="77777777" w:rsidR="006F28C5" w:rsidRDefault="006F28C5" w:rsidP="006F28C5">
            <w:pPr>
              <w:tabs>
                <w:tab w:val="left" w:pos="284"/>
              </w:tabs>
              <w:rPr>
                <w:szCs w:val="18"/>
                <w:lang w:val="hu-HU"/>
              </w:rPr>
            </w:pPr>
            <w:r>
              <w:rPr>
                <w:szCs w:val="18"/>
                <w:lang w:val="hu-HU"/>
              </w:rPr>
              <w:t xml:space="preserve">Az OTP Bank esetében a Thermo/Stílus Hitel az, ami állami kamattámogatás mellett biztosít kedvező forrást a felújításokat és energiamegtakarítási beruházásokat tervező, de saját forrással csak minimálisan rendelkező társasházak és lakásszövetkezetek részére. A konstrukció előnyei, hogy </w:t>
            </w:r>
            <w:r w:rsidRPr="007F0167">
              <w:rPr>
                <w:szCs w:val="18"/>
                <w:lang w:val="hu-HU"/>
              </w:rPr>
              <w:t>a hitel igényléséhez</w:t>
            </w:r>
            <w:r>
              <w:t xml:space="preserve"> nem</w:t>
            </w:r>
            <w:r>
              <w:rPr>
                <w:szCs w:val="18"/>
                <w:lang w:val="hu-HU"/>
              </w:rPr>
              <w:t xml:space="preserve"> </w:t>
            </w:r>
            <w:r w:rsidRPr="007F0167">
              <w:rPr>
                <w:szCs w:val="18"/>
                <w:lang w:val="hu-HU"/>
              </w:rPr>
              <w:t>szükséges ingatlanfedezet</w:t>
            </w:r>
            <w:r>
              <w:rPr>
                <w:szCs w:val="18"/>
                <w:lang w:val="hu-HU"/>
              </w:rPr>
              <w:t>; a</w:t>
            </w:r>
            <w:r w:rsidRPr="003A71D6">
              <w:rPr>
                <w:szCs w:val="18"/>
                <w:lang w:val="hu-HU"/>
              </w:rPr>
              <w:t xml:space="preserve"> futamidő első 5 évében 70%-os, a második 5 évben 35%-os az állami kamattámogatás</w:t>
            </w:r>
            <w:r>
              <w:rPr>
                <w:szCs w:val="18"/>
                <w:lang w:val="hu-HU"/>
              </w:rPr>
              <w:t>; a</w:t>
            </w:r>
            <w:r w:rsidRPr="003A71D6">
              <w:rPr>
                <w:szCs w:val="18"/>
                <w:lang w:val="hu-HU"/>
              </w:rPr>
              <w:t xml:space="preserve"> hitel összege önerőnek számít a pályázatokon való induláskor</w:t>
            </w:r>
            <w:r>
              <w:rPr>
                <w:szCs w:val="18"/>
                <w:lang w:val="hu-HU"/>
              </w:rPr>
              <w:t>; valamint f</w:t>
            </w:r>
            <w:r w:rsidRPr="003A71D6">
              <w:rPr>
                <w:szCs w:val="18"/>
                <w:lang w:val="hu-HU"/>
              </w:rPr>
              <w:t>elhasználható a nem közös épületrészek felújítására is, ebben az esetben a kamattámogatás azonban nem nyújtható</w:t>
            </w:r>
            <w:r>
              <w:rPr>
                <w:szCs w:val="18"/>
                <w:lang w:val="hu-HU"/>
              </w:rPr>
              <w:t>.</w:t>
            </w:r>
          </w:p>
          <w:p w14:paraId="45DA15E5" w14:textId="77777777" w:rsidR="006F28C5" w:rsidRDefault="006F28C5" w:rsidP="006F28C5">
            <w:pPr>
              <w:tabs>
                <w:tab w:val="left" w:pos="284"/>
              </w:tabs>
              <w:rPr>
                <w:szCs w:val="18"/>
                <w:lang w:val="hu-HU"/>
              </w:rPr>
            </w:pPr>
            <w:r>
              <w:rPr>
                <w:szCs w:val="18"/>
                <w:lang w:val="hu-HU"/>
              </w:rPr>
              <w:t>Egyéb feltételek:</w:t>
            </w:r>
          </w:p>
          <w:p w14:paraId="5A86CAE8" w14:textId="77777777" w:rsidR="006F28C5" w:rsidRDefault="006F28C5" w:rsidP="006F28C5">
            <w:pPr>
              <w:pStyle w:val="Listaszerbekezds"/>
              <w:numPr>
                <w:ilvl w:val="0"/>
                <w:numId w:val="39"/>
              </w:numPr>
              <w:tabs>
                <w:tab w:val="left" w:pos="284"/>
              </w:tabs>
              <w:spacing w:line="276" w:lineRule="auto"/>
              <w:rPr>
                <w:szCs w:val="18"/>
                <w:lang w:val="hu-HU"/>
              </w:rPr>
            </w:pPr>
            <w:r w:rsidRPr="00C27670">
              <w:rPr>
                <w:szCs w:val="18"/>
                <w:lang w:val="hu-HU"/>
              </w:rPr>
              <w:t>Felújítási alapképzés: az állami kamattámogatás igénybevételéhez a lakóközösségnek a 12/2001. (I.31.) számú Kormányrendelet 16. §-ban meghatározott felújítási alappal kell rendelkeznie</w:t>
            </w:r>
            <w:r>
              <w:rPr>
                <w:szCs w:val="18"/>
                <w:lang w:val="hu-HU"/>
              </w:rPr>
              <w:t>;</w:t>
            </w:r>
          </w:p>
          <w:p w14:paraId="00230286" w14:textId="77777777" w:rsidR="006F28C5" w:rsidRDefault="006F28C5" w:rsidP="006F28C5">
            <w:pPr>
              <w:pStyle w:val="Listaszerbekezds"/>
              <w:numPr>
                <w:ilvl w:val="0"/>
                <w:numId w:val="39"/>
              </w:numPr>
              <w:tabs>
                <w:tab w:val="left" w:pos="284"/>
              </w:tabs>
              <w:spacing w:line="276" w:lineRule="auto"/>
              <w:rPr>
                <w:szCs w:val="18"/>
                <w:lang w:val="hu-HU"/>
              </w:rPr>
            </w:pPr>
            <w:r w:rsidRPr="00C27670">
              <w:rPr>
                <w:szCs w:val="18"/>
                <w:lang w:val="hu-HU"/>
              </w:rPr>
              <w:t>Állami kamattámogatás csak a közös tulajdonú épületrészek felújításához kapható</w:t>
            </w:r>
            <w:r>
              <w:rPr>
                <w:szCs w:val="18"/>
                <w:lang w:val="hu-HU"/>
              </w:rPr>
              <w:t>;</w:t>
            </w:r>
          </w:p>
          <w:p w14:paraId="5A2472CB" w14:textId="77777777" w:rsidR="006F28C5" w:rsidRPr="00C27670" w:rsidRDefault="006F28C5" w:rsidP="006F28C5">
            <w:pPr>
              <w:pStyle w:val="Listaszerbekezds"/>
              <w:numPr>
                <w:ilvl w:val="0"/>
                <w:numId w:val="39"/>
              </w:numPr>
              <w:tabs>
                <w:tab w:val="left" w:pos="284"/>
              </w:tabs>
              <w:spacing w:line="276" w:lineRule="auto"/>
              <w:rPr>
                <w:szCs w:val="18"/>
                <w:lang w:val="hu-HU"/>
              </w:rPr>
            </w:pPr>
            <w:r w:rsidRPr="00C27670">
              <w:rPr>
                <w:szCs w:val="18"/>
                <w:lang w:val="hu-HU"/>
              </w:rPr>
              <w:t>A lakóközösség közgyűlési határozata szükséges a hitel felvételéhez</w:t>
            </w:r>
            <w:r>
              <w:rPr>
                <w:szCs w:val="18"/>
                <w:lang w:val="hu-HU"/>
              </w:rPr>
              <w:t>.</w:t>
            </w:r>
          </w:p>
          <w:p w14:paraId="4354C4B7" w14:textId="77777777" w:rsidR="006F28C5" w:rsidRDefault="006F28C5" w:rsidP="006F28C5">
            <w:pPr>
              <w:tabs>
                <w:tab w:val="left" w:pos="284"/>
              </w:tabs>
              <w:rPr>
                <w:szCs w:val="18"/>
                <w:lang w:val="hu-HU"/>
              </w:rPr>
            </w:pPr>
            <w:r w:rsidRPr="00C27670">
              <w:rPr>
                <w:szCs w:val="18"/>
                <w:lang w:val="hu-HU"/>
              </w:rPr>
              <w:t>Futamidő: maximum 15 év, vagy a lakástakarék szerződés kiutalásához igazodik</w:t>
            </w:r>
            <w:r>
              <w:rPr>
                <w:szCs w:val="18"/>
                <w:lang w:val="hu-HU"/>
              </w:rPr>
              <w:t>;</w:t>
            </w:r>
          </w:p>
          <w:p w14:paraId="260B8915" w14:textId="77777777" w:rsidR="006F28C5" w:rsidRDefault="006F28C5" w:rsidP="006F28C5">
            <w:pPr>
              <w:tabs>
                <w:tab w:val="left" w:pos="284"/>
              </w:tabs>
              <w:rPr>
                <w:szCs w:val="18"/>
                <w:lang w:val="hu-HU"/>
              </w:rPr>
            </w:pPr>
            <w:r>
              <w:rPr>
                <w:szCs w:val="18"/>
                <w:lang w:val="hu-HU"/>
              </w:rPr>
              <w:t>Kamat: változó kamatozású, részletek a 4.4. Mellékletben</w:t>
            </w:r>
          </w:p>
          <w:p w14:paraId="2396B3FC" w14:textId="77777777" w:rsidR="006F28C5" w:rsidRDefault="006F28C5" w:rsidP="006F28C5">
            <w:pPr>
              <w:tabs>
                <w:tab w:val="left" w:pos="284"/>
              </w:tabs>
              <w:rPr>
                <w:szCs w:val="18"/>
                <w:lang w:val="hu-HU"/>
              </w:rPr>
            </w:pPr>
            <w:r>
              <w:rPr>
                <w:szCs w:val="18"/>
                <w:lang w:val="hu-HU"/>
              </w:rPr>
              <w:lastRenderedPageBreak/>
              <w:t>UniCredit Bank</w:t>
            </w:r>
            <w:r>
              <w:rPr>
                <w:rStyle w:val="Lbjegyzet-hivatkozs"/>
                <w:szCs w:val="18"/>
                <w:lang w:val="hu-HU"/>
              </w:rPr>
              <w:footnoteReference w:id="47"/>
            </w:r>
          </w:p>
          <w:p w14:paraId="67839DB7" w14:textId="77777777" w:rsidR="006F28C5" w:rsidRDefault="006F28C5" w:rsidP="006F28C5">
            <w:pPr>
              <w:tabs>
                <w:tab w:val="left" w:pos="284"/>
              </w:tabs>
              <w:rPr>
                <w:szCs w:val="18"/>
                <w:lang w:val="hu-HU"/>
              </w:rPr>
            </w:pPr>
            <w:r>
              <w:rPr>
                <w:szCs w:val="18"/>
                <w:lang w:val="hu-HU"/>
              </w:rPr>
              <w:t>A bank kínálatában három különböző hitelformátum érhető el társasházak részére, az elérhető információk alapján:</w:t>
            </w:r>
          </w:p>
          <w:p w14:paraId="3F466726" w14:textId="77777777" w:rsidR="006F28C5" w:rsidRDefault="006F28C5" w:rsidP="006F28C5">
            <w:pPr>
              <w:pStyle w:val="Listaszerbekezds"/>
              <w:numPr>
                <w:ilvl w:val="0"/>
                <w:numId w:val="41"/>
              </w:numPr>
              <w:tabs>
                <w:tab w:val="left" w:pos="284"/>
              </w:tabs>
              <w:spacing w:line="276" w:lineRule="auto"/>
              <w:rPr>
                <w:szCs w:val="18"/>
                <w:lang w:val="hu-HU"/>
              </w:rPr>
            </w:pPr>
            <w:r>
              <w:rPr>
                <w:szCs w:val="18"/>
                <w:lang w:val="hu-HU"/>
              </w:rPr>
              <w:t>Társasházi Kombi hitel</w:t>
            </w:r>
          </w:p>
          <w:p w14:paraId="0AEFE557" w14:textId="77777777" w:rsidR="006F28C5" w:rsidRDefault="006F28C5" w:rsidP="006F28C5">
            <w:pPr>
              <w:pStyle w:val="Listaszerbekezds"/>
              <w:numPr>
                <w:ilvl w:val="1"/>
                <w:numId w:val="41"/>
              </w:numPr>
              <w:tabs>
                <w:tab w:val="left" w:pos="284"/>
              </w:tabs>
              <w:spacing w:line="276" w:lineRule="auto"/>
              <w:rPr>
                <w:szCs w:val="18"/>
                <w:lang w:val="hu-HU"/>
              </w:rPr>
            </w:pPr>
            <w:r w:rsidRPr="007B20AA">
              <w:rPr>
                <w:szCs w:val="18"/>
                <w:lang w:val="hu-HU"/>
              </w:rPr>
              <w:t>elegendő egy darab lakás-előtakarékossági szerződés megkötése</w:t>
            </w:r>
            <w:r>
              <w:rPr>
                <w:szCs w:val="18"/>
                <w:lang w:val="hu-HU"/>
              </w:rPr>
              <w:t xml:space="preserve"> hozzá;</w:t>
            </w:r>
          </w:p>
          <w:p w14:paraId="303DE77D" w14:textId="77777777" w:rsidR="006F28C5" w:rsidRDefault="006F28C5" w:rsidP="006F28C5">
            <w:pPr>
              <w:pStyle w:val="Listaszerbekezds"/>
              <w:numPr>
                <w:ilvl w:val="1"/>
                <w:numId w:val="41"/>
              </w:numPr>
              <w:tabs>
                <w:tab w:val="left" w:pos="284"/>
              </w:tabs>
              <w:spacing w:line="276" w:lineRule="auto"/>
              <w:rPr>
                <w:szCs w:val="18"/>
                <w:lang w:val="hu-HU"/>
              </w:rPr>
            </w:pPr>
            <w:r w:rsidRPr="00486B43">
              <w:rPr>
                <w:szCs w:val="18"/>
                <w:lang w:val="hu-HU"/>
              </w:rPr>
              <w:t>már egy havi elő-takarékosság igazolása után azonnal igényelhető</w:t>
            </w:r>
            <w:r>
              <w:rPr>
                <w:szCs w:val="18"/>
                <w:lang w:val="hu-HU"/>
              </w:rPr>
              <w:t>;</w:t>
            </w:r>
          </w:p>
          <w:p w14:paraId="51E678AE" w14:textId="77777777" w:rsidR="006F28C5" w:rsidRDefault="006F28C5" w:rsidP="006F28C5">
            <w:pPr>
              <w:pStyle w:val="Listaszerbekezds"/>
              <w:numPr>
                <w:ilvl w:val="1"/>
                <w:numId w:val="41"/>
              </w:numPr>
              <w:tabs>
                <w:tab w:val="left" w:pos="284"/>
              </w:tabs>
              <w:spacing w:line="276" w:lineRule="auto"/>
              <w:rPr>
                <w:szCs w:val="18"/>
                <w:lang w:val="hu-HU"/>
              </w:rPr>
            </w:pPr>
            <w:r w:rsidRPr="00486B43">
              <w:rPr>
                <w:szCs w:val="18"/>
                <w:lang w:val="hu-HU"/>
              </w:rPr>
              <w:t>a lakás-előtakarékossági szerződés megtakarítási összegének 100%-</w:t>
            </w:r>
            <w:proofErr w:type="gramStart"/>
            <w:r>
              <w:rPr>
                <w:szCs w:val="18"/>
                <w:lang w:val="hu-HU"/>
              </w:rPr>
              <w:t>a</w:t>
            </w:r>
            <w:proofErr w:type="gramEnd"/>
            <w:r w:rsidRPr="00486B43">
              <w:rPr>
                <w:szCs w:val="18"/>
                <w:lang w:val="hu-HU"/>
              </w:rPr>
              <w:t xml:space="preserve"> is </w:t>
            </w:r>
            <w:r>
              <w:rPr>
                <w:szCs w:val="18"/>
                <w:lang w:val="hu-HU"/>
              </w:rPr>
              <w:t>hitelezhető;</w:t>
            </w:r>
          </w:p>
          <w:p w14:paraId="11B095FD" w14:textId="77777777" w:rsidR="006F28C5" w:rsidRDefault="006F28C5" w:rsidP="006F28C5">
            <w:pPr>
              <w:pStyle w:val="Listaszerbekezds"/>
              <w:numPr>
                <w:ilvl w:val="0"/>
                <w:numId w:val="41"/>
              </w:numPr>
              <w:tabs>
                <w:tab w:val="left" w:pos="284"/>
              </w:tabs>
              <w:spacing w:line="276" w:lineRule="auto"/>
              <w:rPr>
                <w:szCs w:val="18"/>
                <w:lang w:val="hu-HU"/>
              </w:rPr>
            </w:pPr>
            <w:r>
              <w:rPr>
                <w:szCs w:val="18"/>
                <w:lang w:val="hu-HU"/>
              </w:rPr>
              <w:t>Társasházi Vegyes hitel</w:t>
            </w:r>
          </w:p>
          <w:p w14:paraId="3E76B82B" w14:textId="77777777" w:rsidR="006F28C5" w:rsidRDefault="006F28C5" w:rsidP="006F28C5">
            <w:pPr>
              <w:pStyle w:val="Listaszerbekezds"/>
              <w:numPr>
                <w:ilvl w:val="1"/>
                <w:numId w:val="41"/>
              </w:numPr>
              <w:tabs>
                <w:tab w:val="left" w:pos="284"/>
              </w:tabs>
              <w:spacing w:line="276" w:lineRule="auto"/>
              <w:rPr>
                <w:szCs w:val="18"/>
                <w:lang w:val="hu-HU"/>
              </w:rPr>
            </w:pPr>
            <w:r w:rsidRPr="00486B43">
              <w:rPr>
                <w:szCs w:val="18"/>
                <w:lang w:val="hu-HU"/>
              </w:rPr>
              <w:t>elegendő egy darab lakás-előtakarékossági szerződés megkötése hozzá</w:t>
            </w:r>
            <w:r>
              <w:rPr>
                <w:szCs w:val="18"/>
                <w:lang w:val="hu-HU"/>
              </w:rPr>
              <w:t>;</w:t>
            </w:r>
          </w:p>
          <w:p w14:paraId="6B84185E" w14:textId="77777777" w:rsidR="006F28C5" w:rsidRDefault="006F28C5" w:rsidP="006F28C5">
            <w:pPr>
              <w:pStyle w:val="Listaszerbekezds"/>
              <w:numPr>
                <w:ilvl w:val="1"/>
                <w:numId w:val="41"/>
              </w:numPr>
              <w:tabs>
                <w:tab w:val="left" w:pos="284"/>
              </w:tabs>
              <w:spacing w:line="276" w:lineRule="auto"/>
              <w:rPr>
                <w:szCs w:val="18"/>
                <w:lang w:val="hu-HU"/>
              </w:rPr>
            </w:pPr>
            <w:r w:rsidRPr="00486B43">
              <w:rPr>
                <w:szCs w:val="18"/>
                <w:lang w:val="hu-HU"/>
              </w:rPr>
              <w:t>már egy havi elő-takarékosság igazolása után azonnal igényelhető</w:t>
            </w:r>
            <w:r>
              <w:rPr>
                <w:szCs w:val="18"/>
                <w:lang w:val="hu-HU"/>
              </w:rPr>
              <w:t>;</w:t>
            </w:r>
          </w:p>
          <w:p w14:paraId="45A7CAAE" w14:textId="77777777" w:rsidR="006F28C5" w:rsidRDefault="006F28C5" w:rsidP="006F28C5">
            <w:pPr>
              <w:pStyle w:val="Listaszerbekezds"/>
              <w:numPr>
                <w:ilvl w:val="1"/>
                <w:numId w:val="41"/>
              </w:numPr>
              <w:tabs>
                <w:tab w:val="left" w:pos="284"/>
              </w:tabs>
              <w:spacing w:line="276" w:lineRule="auto"/>
              <w:rPr>
                <w:szCs w:val="18"/>
                <w:lang w:val="hu-HU"/>
              </w:rPr>
            </w:pPr>
            <w:r w:rsidRPr="00486B43">
              <w:rPr>
                <w:szCs w:val="18"/>
                <w:lang w:val="hu-HU"/>
              </w:rPr>
              <w:t>a hitelösszeg rugalmasan alakítható, a lakás-elő takarékossági szerződés megtakarítási összegét meghaladó hiteligény esetén a megtakarítási összeget meghaladó részre egyenlő összegű tőketörlesztéses hitel</w:t>
            </w:r>
            <w:r>
              <w:rPr>
                <w:szCs w:val="18"/>
                <w:lang w:val="hu-HU"/>
              </w:rPr>
              <w:t xml:space="preserve"> elérhető;</w:t>
            </w:r>
          </w:p>
          <w:p w14:paraId="51174ADA" w14:textId="77777777" w:rsidR="006F28C5" w:rsidRDefault="006F28C5" w:rsidP="006F28C5">
            <w:pPr>
              <w:pStyle w:val="Listaszerbekezds"/>
              <w:numPr>
                <w:ilvl w:val="0"/>
                <w:numId w:val="41"/>
              </w:numPr>
              <w:tabs>
                <w:tab w:val="left" w:pos="284"/>
              </w:tabs>
              <w:spacing w:line="276" w:lineRule="auto"/>
              <w:rPr>
                <w:szCs w:val="18"/>
                <w:lang w:val="hu-HU"/>
              </w:rPr>
            </w:pPr>
            <w:r>
              <w:rPr>
                <w:szCs w:val="18"/>
                <w:lang w:val="hu-HU"/>
              </w:rPr>
              <w:t>T</w:t>
            </w:r>
            <w:r w:rsidRPr="00A55DAD">
              <w:rPr>
                <w:szCs w:val="18"/>
                <w:lang w:val="hu-HU"/>
              </w:rPr>
              <w:t>ársasházi Egyenlő tőketörlesztéses hitel</w:t>
            </w:r>
          </w:p>
          <w:p w14:paraId="059F7EA4" w14:textId="77777777" w:rsidR="006F28C5" w:rsidRPr="00A55DAD" w:rsidRDefault="006F28C5" w:rsidP="006F28C5">
            <w:pPr>
              <w:pStyle w:val="Listaszerbekezds"/>
              <w:numPr>
                <w:ilvl w:val="1"/>
                <w:numId w:val="41"/>
              </w:numPr>
              <w:tabs>
                <w:tab w:val="left" w:pos="284"/>
              </w:tabs>
              <w:spacing w:line="276" w:lineRule="auto"/>
              <w:rPr>
                <w:szCs w:val="18"/>
                <w:lang w:val="hu-HU"/>
              </w:rPr>
            </w:pPr>
            <w:r w:rsidRPr="00F14D06">
              <w:rPr>
                <w:szCs w:val="18"/>
                <w:lang w:val="hu-HU"/>
              </w:rPr>
              <w:t>Fundamenta lakás-takarékpénztári szerződéssel</w:t>
            </w:r>
            <w:r>
              <w:rPr>
                <w:szCs w:val="18"/>
                <w:lang w:val="hu-HU"/>
              </w:rPr>
              <w:t xml:space="preserve"> nem rendelkező társasházak és lakásszövetkezetek részére</w:t>
            </w:r>
            <w:r>
              <w:t xml:space="preserve"> </w:t>
            </w:r>
            <w:r w:rsidRPr="00F14D06">
              <w:rPr>
                <w:szCs w:val="18"/>
                <w:lang w:val="hu-HU"/>
              </w:rPr>
              <w:t xml:space="preserve">akár 10 éves futamidővel </w:t>
            </w:r>
            <w:r>
              <w:rPr>
                <w:szCs w:val="18"/>
                <w:lang w:val="hu-HU"/>
              </w:rPr>
              <w:t>elérhető</w:t>
            </w:r>
            <w:r w:rsidRPr="00F14D06">
              <w:rPr>
                <w:szCs w:val="18"/>
                <w:lang w:val="hu-HU"/>
              </w:rPr>
              <w:t xml:space="preserve"> havi egyenlő tőketörlesztéses hitel</w:t>
            </w:r>
            <w:r>
              <w:rPr>
                <w:szCs w:val="18"/>
                <w:lang w:val="hu-HU"/>
              </w:rPr>
              <w:t>.</w:t>
            </w:r>
          </w:p>
          <w:p w14:paraId="52CA0D34" w14:textId="77777777" w:rsidR="006F28C5" w:rsidRDefault="006F28C5" w:rsidP="006F28C5">
            <w:pPr>
              <w:tabs>
                <w:tab w:val="left" w:pos="284"/>
              </w:tabs>
              <w:rPr>
                <w:szCs w:val="18"/>
                <w:lang w:val="hu-HU"/>
              </w:rPr>
            </w:pPr>
            <w:r>
              <w:rPr>
                <w:szCs w:val="18"/>
                <w:lang w:val="hu-HU"/>
              </w:rPr>
              <w:t>Raiffeisen Bank</w:t>
            </w:r>
            <w:r>
              <w:rPr>
                <w:rStyle w:val="Lbjegyzet-hivatkozs"/>
                <w:szCs w:val="18"/>
                <w:lang w:val="hu-HU"/>
              </w:rPr>
              <w:footnoteReference w:id="48"/>
            </w:r>
          </w:p>
          <w:p w14:paraId="2C696380" w14:textId="77777777" w:rsidR="006F28C5" w:rsidRDefault="006F28C5" w:rsidP="006F28C5">
            <w:pPr>
              <w:tabs>
                <w:tab w:val="left" w:pos="284"/>
              </w:tabs>
              <w:rPr>
                <w:szCs w:val="18"/>
                <w:lang w:val="hu-HU"/>
              </w:rPr>
            </w:pPr>
            <w:r>
              <w:rPr>
                <w:szCs w:val="18"/>
                <w:lang w:val="hu-HU"/>
              </w:rPr>
              <w:t xml:space="preserve">A </w:t>
            </w:r>
            <w:r w:rsidRPr="00847184">
              <w:rPr>
                <w:szCs w:val="18"/>
                <w:lang w:val="hu-HU"/>
              </w:rPr>
              <w:t>Raiffeisen Bank</w:t>
            </w:r>
            <w:r>
              <w:rPr>
                <w:szCs w:val="18"/>
                <w:lang w:val="hu-HU"/>
              </w:rPr>
              <w:t>nál</w:t>
            </w:r>
            <w:r w:rsidRPr="00847184">
              <w:rPr>
                <w:szCs w:val="18"/>
                <w:lang w:val="hu-HU"/>
              </w:rPr>
              <w:t xml:space="preserve"> </w:t>
            </w:r>
            <w:r>
              <w:rPr>
                <w:szCs w:val="18"/>
                <w:lang w:val="hu-HU"/>
              </w:rPr>
              <w:t xml:space="preserve">a Kamattámogatott felújítási hitel áll rendelkezésre a társasházak és lakásszövetkezetek részére. </w:t>
            </w:r>
            <w:proofErr w:type="gramStart"/>
            <w:r>
              <w:rPr>
                <w:szCs w:val="18"/>
                <w:lang w:val="hu-HU"/>
              </w:rPr>
              <w:t>Ennek</w:t>
            </w:r>
            <w:proofErr w:type="gramEnd"/>
            <w:r>
              <w:rPr>
                <w:szCs w:val="18"/>
                <w:lang w:val="hu-HU"/>
              </w:rPr>
              <w:t xml:space="preserve"> igénybevételének feltételei a következőek:</w:t>
            </w:r>
          </w:p>
          <w:p w14:paraId="621AF6A5" w14:textId="77777777" w:rsidR="006F28C5" w:rsidRDefault="006F28C5" w:rsidP="006F28C5">
            <w:pPr>
              <w:pStyle w:val="Listaszerbekezds"/>
              <w:numPr>
                <w:ilvl w:val="0"/>
                <w:numId w:val="42"/>
              </w:numPr>
              <w:tabs>
                <w:tab w:val="left" w:pos="284"/>
              </w:tabs>
              <w:spacing w:line="276" w:lineRule="auto"/>
              <w:rPr>
                <w:szCs w:val="18"/>
                <w:lang w:val="hu-HU"/>
              </w:rPr>
            </w:pPr>
            <w:r>
              <w:rPr>
                <w:szCs w:val="18"/>
                <w:lang w:val="hu-HU"/>
              </w:rPr>
              <w:t>Az igénylőnek rendelkeznie kell adószámmal;</w:t>
            </w:r>
          </w:p>
          <w:p w14:paraId="3F750D48" w14:textId="77777777" w:rsidR="006F28C5" w:rsidRDefault="006F28C5" w:rsidP="006F28C5">
            <w:pPr>
              <w:pStyle w:val="Listaszerbekezds"/>
              <w:numPr>
                <w:ilvl w:val="0"/>
                <w:numId w:val="42"/>
              </w:numPr>
              <w:tabs>
                <w:tab w:val="left" w:pos="284"/>
              </w:tabs>
              <w:spacing w:line="276" w:lineRule="auto"/>
              <w:rPr>
                <w:szCs w:val="18"/>
                <w:lang w:val="hu-HU"/>
              </w:rPr>
            </w:pPr>
            <w:r>
              <w:rPr>
                <w:szCs w:val="18"/>
                <w:lang w:val="hu-HU"/>
              </w:rPr>
              <w:t xml:space="preserve">A társasháznak legalább 2 éves felújítási alappal kell rendelkeznie (bizonyos kritériumoknak megfelelően, melyek részletesen a </w:t>
            </w:r>
            <w:r w:rsidRPr="00C96FCF">
              <w:rPr>
                <w:szCs w:val="18"/>
                <w:lang w:val="hu-HU"/>
              </w:rPr>
              <w:t>4.4. Mellékletben</w:t>
            </w:r>
            <w:r>
              <w:rPr>
                <w:szCs w:val="18"/>
                <w:lang w:val="hu-HU"/>
              </w:rPr>
              <w:t xml:space="preserve"> találhatóak);</w:t>
            </w:r>
          </w:p>
          <w:p w14:paraId="088B47DF" w14:textId="77777777" w:rsidR="006F28C5" w:rsidRDefault="006F28C5" w:rsidP="006F28C5">
            <w:pPr>
              <w:pStyle w:val="Listaszerbekezds"/>
              <w:numPr>
                <w:ilvl w:val="0"/>
                <w:numId w:val="42"/>
              </w:numPr>
              <w:tabs>
                <w:tab w:val="left" w:pos="284"/>
              </w:tabs>
              <w:spacing w:line="276" w:lineRule="auto"/>
              <w:rPr>
                <w:szCs w:val="18"/>
                <w:lang w:val="hu-HU"/>
              </w:rPr>
            </w:pPr>
            <w:r>
              <w:rPr>
                <w:szCs w:val="18"/>
                <w:lang w:val="hu-HU"/>
              </w:rPr>
              <w:t xml:space="preserve">Az </w:t>
            </w:r>
            <w:r w:rsidRPr="00D23B64">
              <w:rPr>
                <w:szCs w:val="18"/>
                <w:lang w:val="hu-HU"/>
              </w:rPr>
              <w:t xml:space="preserve">újonnan alakult lakóközösségek esetén az első közgyűléstől, használatbavételtől, birtokbavételtől számított 90 napon belül legalább </w:t>
            </w:r>
            <w:r>
              <w:rPr>
                <w:szCs w:val="18"/>
                <w:lang w:val="hu-HU"/>
              </w:rPr>
              <w:t>az előbb említett és a 4.4 Mellékletben található</w:t>
            </w:r>
            <w:r w:rsidRPr="00D23B64">
              <w:rPr>
                <w:szCs w:val="18"/>
                <w:lang w:val="hu-HU"/>
              </w:rPr>
              <w:t xml:space="preserve"> mértékek szerint megkezdték a felújítási alap képzését, ha nem, akkor legalább 2 éve folyamatosan képzik a felújítási alapot</w:t>
            </w:r>
            <w:r>
              <w:rPr>
                <w:szCs w:val="18"/>
                <w:lang w:val="hu-HU"/>
              </w:rPr>
              <w:t>;</w:t>
            </w:r>
          </w:p>
          <w:p w14:paraId="6250D8C7" w14:textId="77777777" w:rsidR="006F28C5" w:rsidRDefault="006F28C5" w:rsidP="006F28C5">
            <w:pPr>
              <w:pStyle w:val="Listaszerbekezds"/>
              <w:numPr>
                <w:ilvl w:val="0"/>
                <w:numId w:val="42"/>
              </w:numPr>
              <w:tabs>
                <w:tab w:val="left" w:pos="284"/>
              </w:tabs>
              <w:spacing w:line="276" w:lineRule="auto"/>
              <w:rPr>
                <w:szCs w:val="18"/>
                <w:lang w:val="hu-HU"/>
              </w:rPr>
            </w:pPr>
            <w:r>
              <w:rPr>
                <w:szCs w:val="18"/>
                <w:lang w:val="hu-HU"/>
              </w:rPr>
              <w:t xml:space="preserve">Vállalás, </w:t>
            </w:r>
            <w:r w:rsidRPr="00BA74C6">
              <w:rPr>
                <w:szCs w:val="18"/>
                <w:lang w:val="hu-HU"/>
              </w:rPr>
              <w:t xml:space="preserve">hogy a Bank részére az elfogadott költségvetésben szereplő teljes felújítási költség legalább 70%-áról a társasház nevére kiállított számlák legkésőbb az utolsó kölcsönrész folyósításáig </w:t>
            </w:r>
            <w:r>
              <w:rPr>
                <w:szCs w:val="18"/>
                <w:lang w:val="hu-HU"/>
              </w:rPr>
              <w:t>bemutatásra kerülnek.</w:t>
            </w:r>
          </w:p>
          <w:p w14:paraId="52992EEC" w14:textId="77777777" w:rsidR="006F28C5" w:rsidRDefault="006F28C5" w:rsidP="006F28C5">
            <w:pPr>
              <w:tabs>
                <w:tab w:val="left" w:pos="284"/>
              </w:tabs>
              <w:rPr>
                <w:szCs w:val="18"/>
                <w:lang w:val="hu-HU"/>
              </w:rPr>
            </w:pPr>
            <w:r>
              <w:rPr>
                <w:szCs w:val="18"/>
                <w:lang w:val="hu-HU"/>
              </w:rPr>
              <w:t>Alapvetően két finanszírozási konstrukcióban lehet a banknál a hitelhez fordulni:</w:t>
            </w:r>
          </w:p>
          <w:p w14:paraId="59A9EB66" w14:textId="77777777" w:rsidR="006F28C5" w:rsidRDefault="006F28C5" w:rsidP="006F28C5">
            <w:pPr>
              <w:pStyle w:val="Listaszerbekezds"/>
              <w:numPr>
                <w:ilvl w:val="0"/>
                <w:numId w:val="43"/>
              </w:numPr>
              <w:tabs>
                <w:tab w:val="left" w:pos="284"/>
              </w:tabs>
              <w:spacing w:line="276" w:lineRule="auto"/>
              <w:rPr>
                <w:szCs w:val="18"/>
                <w:lang w:val="hu-HU"/>
              </w:rPr>
            </w:pPr>
            <w:r>
              <w:rPr>
                <w:szCs w:val="18"/>
                <w:lang w:val="hu-HU"/>
              </w:rPr>
              <w:t>Alapkonstrukció: a tőke- és kamatfizetés havonta történik, amelyet a társasház a megemelt közös költség beszedésével teremt elő. Lakóközösségi közgyűlési határozat szükséges a felújításról, a kölcsönfelvételről, valamint a közös költség megemeléséről. Előnye a viszonylag egyszerű finanszírozási forma, valamint a döntéshozás és a folyósítás közötti időintervallum rövidsége.</w:t>
            </w:r>
          </w:p>
          <w:p w14:paraId="66B895D3" w14:textId="77777777" w:rsidR="006F28C5" w:rsidRDefault="006F28C5" w:rsidP="006F28C5">
            <w:pPr>
              <w:pStyle w:val="Listaszerbekezds"/>
              <w:numPr>
                <w:ilvl w:val="0"/>
                <w:numId w:val="43"/>
              </w:numPr>
              <w:tabs>
                <w:tab w:val="left" w:pos="284"/>
              </w:tabs>
              <w:spacing w:line="276" w:lineRule="auto"/>
              <w:rPr>
                <w:szCs w:val="18"/>
                <w:lang w:val="hu-HU"/>
              </w:rPr>
            </w:pPr>
            <w:r w:rsidRPr="0079657F">
              <w:rPr>
                <w:szCs w:val="18"/>
                <w:lang w:val="hu-HU"/>
              </w:rPr>
              <w:t>Lakás-előtakarékossági szerződéssel</w:t>
            </w:r>
            <w:r>
              <w:rPr>
                <w:szCs w:val="18"/>
                <w:lang w:val="hu-HU"/>
              </w:rPr>
              <w:t xml:space="preserve"> (LTP) </w:t>
            </w:r>
            <w:r w:rsidRPr="0079657F">
              <w:rPr>
                <w:szCs w:val="18"/>
                <w:lang w:val="hu-HU"/>
              </w:rPr>
              <w:t>kombinált konstrukció</w:t>
            </w:r>
            <w:r>
              <w:rPr>
                <w:szCs w:val="18"/>
                <w:lang w:val="hu-HU"/>
              </w:rPr>
              <w:t xml:space="preserve">: </w:t>
            </w:r>
            <w:r w:rsidRPr="00E229ED">
              <w:rPr>
                <w:szCs w:val="18"/>
                <w:lang w:val="hu-HU"/>
              </w:rPr>
              <w:t>A kölcsön és járulékainak lakásonkénti meghatározása után a lakók</w:t>
            </w:r>
            <w:r>
              <w:rPr>
                <w:szCs w:val="18"/>
                <w:lang w:val="hu-HU"/>
              </w:rPr>
              <w:t>,</w:t>
            </w:r>
            <w:r w:rsidRPr="00E229ED">
              <w:rPr>
                <w:szCs w:val="18"/>
                <w:lang w:val="hu-HU"/>
              </w:rPr>
              <w:t xml:space="preserve"> illetve a lakóközösség a kölcsön tőkeösszegéhez igazodóan LTP szerződéseket kötnek, melyből keletkező megtakarítást a Bankra </w:t>
            </w:r>
            <w:r w:rsidRPr="00E229ED">
              <w:rPr>
                <w:szCs w:val="18"/>
                <w:lang w:val="hu-HU"/>
              </w:rPr>
              <w:lastRenderedPageBreak/>
              <w:t>engedményezve zálogosítják. A lakók havonta teljesítik fizetési kötelezettségüket a lakóház felé a megemelt közös költség formájában, a lakóház pedig abból a lakók nevében lakás-takarékpénztári megtakarítást, továbbá a kölcsönhöz kapcsolódó kamatfizetést havonta teljesít a bankhoz. A bank az esedékes kamatot elszámolja és az LTP megtakarításra fizetendő összeget a Pénztár részére átutalja.</w:t>
            </w:r>
            <w:r>
              <w:rPr>
                <w:szCs w:val="18"/>
                <w:lang w:val="hu-HU"/>
              </w:rPr>
              <w:t xml:space="preserve"> </w:t>
            </w:r>
            <w:r w:rsidRPr="00E229ED">
              <w:rPr>
                <w:szCs w:val="18"/>
                <w:lang w:val="hu-HU"/>
              </w:rPr>
              <w:t>Az LTP szerződések kiutalásakor a lakók által bankra engedményezett és zálogosított megtakarításból a futamidő végén egy összegben</w:t>
            </w:r>
            <w:r>
              <w:rPr>
                <w:szCs w:val="18"/>
                <w:lang w:val="hu-HU"/>
              </w:rPr>
              <w:t xml:space="preserve"> </w:t>
            </w:r>
            <w:r w:rsidRPr="00E229ED">
              <w:rPr>
                <w:szCs w:val="18"/>
                <w:lang w:val="hu-HU"/>
              </w:rPr>
              <w:t>teljesítik a bank felé fennálló tőketörlesztési kötelezettségüket.</w:t>
            </w:r>
            <w:r>
              <w:rPr>
                <w:szCs w:val="18"/>
                <w:lang w:val="hu-HU"/>
              </w:rPr>
              <w:t xml:space="preserve"> </w:t>
            </w:r>
            <w:r w:rsidRPr="003F60B3">
              <w:rPr>
                <w:szCs w:val="18"/>
                <w:lang w:val="hu-HU"/>
              </w:rPr>
              <w:t>Az LTP-vel kombinált finanszírozási konstrukció előnye az LTP megtakarítások utáni állami támogatás, amelynek mértéke</w:t>
            </w:r>
            <w:r>
              <w:rPr>
                <w:szCs w:val="18"/>
                <w:lang w:val="hu-HU"/>
              </w:rPr>
              <w:t xml:space="preserve"> </w:t>
            </w:r>
            <w:r w:rsidRPr="003F60B3">
              <w:rPr>
                <w:szCs w:val="18"/>
                <w:lang w:val="hu-HU"/>
              </w:rPr>
              <w:t>a 4.4 Mellékletben</w:t>
            </w:r>
            <w:r>
              <w:rPr>
                <w:szCs w:val="18"/>
                <w:lang w:val="hu-HU"/>
              </w:rPr>
              <w:t xml:space="preserve"> részletesen elérhető.</w:t>
            </w:r>
          </w:p>
          <w:p w14:paraId="52589D76" w14:textId="77777777" w:rsidR="006F28C5" w:rsidRDefault="006F28C5" w:rsidP="006F28C5">
            <w:pPr>
              <w:tabs>
                <w:tab w:val="left" w:pos="284"/>
              </w:tabs>
              <w:rPr>
                <w:szCs w:val="18"/>
                <w:lang w:val="hu-HU"/>
              </w:rPr>
            </w:pPr>
            <w:r>
              <w:rPr>
                <w:szCs w:val="18"/>
                <w:lang w:val="hu-HU"/>
              </w:rPr>
              <w:t>Takarékbank</w:t>
            </w:r>
            <w:r>
              <w:rPr>
                <w:rStyle w:val="Lbjegyzet-hivatkozs"/>
                <w:szCs w:val="18"/>
                <w:lang w:val="hu-HU"/>
              </w:rPr>
              <w:footnoteReference w:id="49"/>
            </w:r>
          </w:p>
          <w:p w14:paraId="2C9DA198" w14:textId="77777777" w:rsidR="006F28C5" w:rsidRDefault="006F28C5" w:rsidP="006F28C5">
            <w:pPr>
              <w:tabs>
                <w:tab w:val="left" w:pos="284"/>
              </w:tabs>
              <w:rPr>
                <w:szCs w:val="18"/>
                <w:lang w:val="hu-HU"/>
              </w:rPr>
            </w:pPr>
            <w:r>
              <w:rPr>
                <w:szCs w:val="18"/>
                <w:lang w:val="hu-HU"/>
              </w:rPr>
              <w:t xml:space="preserve">A bank profiljában a </w:t>
            </w:r>
            <w:r w:rsidRPr="00AA6352">
              <w:rPr>
                <w:szCs w:val="18"/>
                <w:lang w:val="hu-HU"/>
              </w:rPr>
              <w:t>Társasházak És Lakásszövetkezetek Részére Nyújtható Hitel</w:t>
            </w:r>
            <w:r>
              <w:rPr>
                <w:szCs w:val="18"/>
                <w:lang w:val="hu-HU"/>
              </w:rPr>
              <w:t xml:space="preserve"> áll rendelkezésre, amely l</w:t>
            </w:r>
            <w:r w:rsidRPr="00AA6352">
              <w:rPr>
                <w:szCs w:val="18"/>
                <w:lang w:val="hu-HU"/>
              </w:rPr>
              <w:t>akásszövetkezetek, társasházak lakás-előtakarékossággal kombinált kamattámogatásos felújítási kölcsöne</w:t>
            </w:r>
            <w:r>
              <w:rPr>
                <w:szCs w:val="18"/>
                <w:lang w:val="hu-HU"/>
              </w:rPr>
              <w:t>. Ennek felhasználhatósága – a többi felsorolt hitelhez hasonlóan – a közös tulajdonok, területek felújítására és korszerűsítésre vonatkozik.</w:t>
            </w:r>
          </w:p>
          <w:p w14:paraId="364D0302" w14:textId="487E326D" w:rsidR="006F28C5" w:rsidRDefault="006F28C5" w:rsidP="006F28C5">
            <w:pPr>
              <w:tabs>
                <w:tab w:val="left" w:pos="284"/>
              </w:tabs>
              <w:rPr>
                <w:szCs w:val="18"/>
                <w:lang w:val="hu-HU"/>
              </w:rPr>
            </w:pPr>
            <w:r>
              <w:rPr>
                <w:szCs w:val="18"/>
                <w:lang w:val="hu-HU"/>
              </w:rPr>
              <w:t>A hitel minimális összege 2 millió Ft, míg a maximális a</w:t>
            </w:r>
            <w:r w:rsidRPr="00D476AB">
              <w:rPr>
                <w:szCs w:val="18"/>
                <w:lang w:val="hu-HU"/>
              </w:rPr>
              <w:t xml:space="preserve"> társasház/lakásszövetkezet által kötött lakás-előtakarékossági szerződésben szereplő megtakarítási összeg 100%-</w:t>
            </w:r>
            <w:proofErr w:type="gramStart"/>
            <w:r w:rsidRPr="00D476AB">
              <w:rPr>
                <w:szCs w:val="18"/>
                <w:lang w:val="hu-HU"/>
              </w:rPr>
              <w:t>a</w:t>
            </w:r>
            <w:proofErr w:type="gramEnd"/>
            <w:r w:rsidRPr="00D476AB">
              <w:rPr>
                <w:szCs w:val="18"/>
                <w:lang w:val="hu-HU"/>
              </w:rPr>
              <w:t>, valamint a lakók/tagok által kötött (un. csoportos kötés), engedményezett lakás-takarékpénztári szerződések megtakarítási összegek együttesen zárolt összege.</w:t>
            </w:r>
            <w:r>
              <w:rPr>
                <w:szCs w:val="18"/>
                <w:lang w:val="hu-HU"/>
              </w:rPr>
              <w:t xml:space="preserve"> Az önerő mértékének el kell érnie a </w:t>
            </w:r>
            <w:r w:rsidRPr="00D476AB">
              <w:rPr>
                <w:szCs w:val="18"/>
                <w:lang w:val="hu-HU"/>
              </w:rPr>
              <w:t>felújításra vonatkozó költségvetés bruttó összegének minimum</w:t>
            </w:r>
            <w:r>
              <w:rPr>
                <w:szCs w:val="18"/>
                <w:lang w:val="hu-HU"/>
              </w:rPr>
              <w:t xml:space="preserve"> 10%-át, azonban k</w:t>
            </w:r>
            <w:r w:rsidRPr="00BB2EB0">
              <w:rPr>
                <w:szCs w:val="18"/>
                <w:lang w:val="hu-HU"/>
              </w:rPr>
              <w:t>iegészítő óvadéki fedezet esetén a teljes beruházási költség megfinanszírozható.</w:t>
            </w:r>
            <w:r>
              <w:rPr>
                <w:szCs w:val="18"/>
                <w:lang w:val="hu-HU"/>
              </w:rPr>
              <w:t xml:space="preserve"> A konstrukció maximális futamideje 10 év.</w:t>
            </w:r>
          </w:p>
          <w:p w14:paraId="75BD8465" w14:textId="05BE11FA" w:rsidR="00152E80" w:rsidRDefault="00152E80" w:rsidP="006F28C5">
            <w:pPr>
              <w:tabs>
                <w:tab w:val="left" w:pos="284"/>
              </w:tabs>
              <w:rPr>
                <w:szCs w:val="18"/>
                <w:lang w:val="hu-HU"/>
              </w:rPr>
            </w:pPr>
            <w:bookmarkStart w:id="35" w:name="_Hlk133485482"/>
            <w:r>
              <w:rPr>
                <w:szCs w:val="18"/>
                <w:lang w:val="hu-HU"/>
              </w:rPr>
              <w:t>Fundamenta</w:t>
            </w:r>
            <w:r>
              <w:rPr>
                <w:rStyle w:val="Lbjegyzet-hivatkozs"/>
                <w:szCs w:val="18"/>
                <w:lang w:val="hu-HU"/>
              </w:rPr>
              <w:footnoteReference w:id="50"/>
            </w:r>
          </w:p>
          <w:p w14:paraId="6CEF27E4" w14:textId="20EFF981" w:rsidR="00152E80" w:rsidRDefault="00152E80" w:rsidP="006F28C5">
            <w:pPr>
              <w:tabs>
                <w:tab w:val="left" w:pos="284"/>
              </w:tabs>
              <w:rPr>
                <w:szCs w:val="18"/>
                <w:lang w:val="hu-HU"/>
              </w:rPr>
            </w:pPr>
            <w:r w:rsidRPr="00152E80">
              <w:rPr>
                <w:szCs w:val="18"/>
                <w:lang w:val="hu-HU"/>
              </w:rPr>
              <w:t>A kamattámogatott hiteleken túl a Fundament</w:t>
            </w:r>
            <w:r>
              <w:rPr>
                <w:szCs w:val="18"/>
                <w:lang w:val="hu-HU"/>
              </w:rPr>
              <w:t>a is rendelkezik</w:t>
            </w:r>
            <w:r w:rsidRPr="00152E80">
              <w:rPr>
                <w:szCs w:val="18"/>
                <w:lang w:val="hu-HU"/>
              </w:rPr>
              <w:t xml:space="preserve"> társasházi hitel</w:t>
            </w:r>
            <w:r>
              <w:rPr>
                <w:szCs w:val="18"/>
                <w:lang w:val="hu-HU"/>
              </w:rPr>
              <w:t>lel a portfóliójában</w:t>
            </w:r>
            <w:r w:rsidRPr="00152E80">
              <w:rPr>
                <w:szCs w:val="18"/>
                <w:lang w:val="hu-HU"/>
              </w:rPr>
              <w:t>, ami</w:t>
            </w:r>
            <w:r>
              <w:rPr>
                <w:szCs w:val="18"/>
                <w:lang w:val="hu-HU"/>
              </w:rPr>
              <w:t xml:space="preserve"> bár</w:t>
            </w:r>
            <w:r w:rsidRPr="00152E80">
              <w:rPr>
                <w:szCs w:val="18"/>
                <w:lang w:val="hu-HU"/>
              </w:rPr>
              <w:t xml:space="preserve"> nem kamattámogatott, de fix </w:t>
            </w:r>
            <w:r>
              <w:rPr>
                <w:szCs w:val="18"/>
                <w:lang w:val="hu-HU"/>
              </w:rPr>
              <w:t>kamatozású</w:t>
            </w:r>
            <w:r w:rsidRPr="00152E80">
              <w:rPr>
                <w:szCs w:val="18"/>
                <w:lang w:val="hu-HU"/>
              </w:rPr>
              <w:t>, könnyebb és rövidebb elbírálás</w:t>
            </w:r>
            <w:r>
              <w:rPr>
                <w:szCs w:val="18"/>
                <w:lang w:val="hu-HU"/>
              </w:rPr>
              <w:t>ú.</w:t>
            </w:r>
            <w:r w:rsidRPr="00152E80">
              <w:rPr>
                <w:szCs w:val="18"/>
                <w:lang w:val="hu-HU"/>
              </w:rPr>
              <w:t xml:space="preserve"> </w:t>
            </w:r>
            <w:r>
              <w:rPr>
                <w:szCs w:val="18"/>
                <w:lang w:val="hu-HU"/>
              </w:rPr>
              <w:t>Továbbá,</w:t>
            </w:r>
            <w:r w:rsidRPr="00152E80">
              <w:rPr>
                <w:szCs w:val="18"/>
                <w:lang w:val="hu-HU"/>
              </w:rPr>
              <w:t xml:space="preserve"> ha</w:t>
            </w:r>
            <w:r>
              <w:rPr>
                <w:szCs w:val="18"/>
                <w:lang w:val="hu-HU"/>
              </w:rPr>
              <w:t xml:space="preserve"> a hiteligénylés</w:t>
            </w:r>
            <w:r w:rsidRPr="00152E80">
              <w:rPr>
                <w:szCs w:val="18"/>
                <w:lang w:val="hu-HU"/>
              </w:rPr>
              <w:t xml:space="preserve"> előtt megtakarít a társasház, akkor egészen kedvező</w:t>
            </w:r>
            <w:r>
              <w:rPr>
                <w:szCs w:val="18"/>
                <w:lang w:val="hu-HU"/>
              </w:rPr>
              <w:t>en alakul</w:t>
            </w:r>
            <w:r w:rsidRPr="00152E80">
              <w:rPr>
                <w:szCs w:val="18"/>
                <w:lang w:val="hu-HU"/>
              </w:rPr>
              <w:t xml:space="preserve"> a kamat</w:t>
            </w:r>
            <w:r>
              <w:rPr>
                <w:szCs w:val="18"/>
                <w:lang w:val="hu-HU"/>
              </w:rPr>
              <w:t>.</w:t>
            </w:r>
            <w:bookmarkEnd w:id="35"/>
          </w:p>
          <w:p w14:paraId="335A351E" w14:textId="77777777" w:rsidR="00152E80" w:rsidRDefault="00152E80" w:rsidP="006F28C5">
            <w:pPr>
              <w:tabs>
                <w:tab w:val="left" w:pos="284"/>
              </w:tabs>
              <w:rPr>
                <w:szCs w:val="18"/>
                <w:lang w:val="hu-HU"/>
              </w:rPr>
            </w:pPr>
          </w:p>
          <w:p w14:paraId="1913C955" w14:textId="77777777" w:rsidR="006F28C5" w:rsidRDefault="006F28C5" w:rsidP="006F28C5">
            <w:pPr>
              <w:tabs>
                <w:tab w:val="left" w:pos="284"/>
              </w:tabs>
              <w:rPr>
                <w:b/>
                <w:bCs/>
                <w:szCs w:val="18"/>
                <w:lang w:val="hu-HU"/>
              </w:rPr>
            </w:pPr>
            <w:r w:rsidRPr="00434A49">
              <w:rPr>
                <w:b/>
                <w:bCs/>
                <w:szCs w:val="18"/>
                <w:lang w:val="hu-HU"/>
              </w:rPr>
              <w:t xml:space="preserve">5. </w:t>
            </w:r>
            <w:bookmarkStart w:id="36" w:name="_Hlk116912302"/>
            <w:r w:rsidRPr="00434A49">
              <w:rPr>
                <w:b/>
                <w:bCs/>
                <w:szCs w:val="18"/>
                <w:lang w:val="hu-HU"/>
              </w:rPr>
              <w:t>Saját forrás/közösségi finanszírozás</w:t>
            </w:r>
            <w:bookmarkEnd w:id="36"/>
          </w:p>
          <w:p w14:paraId="117E010D" w14:textId="77777777" w:rsidR="00750B74" w:rsidRPr="00750B74" w:rsidRDefault="00750B74" w:rsidP="006F28C5">
            <w:pPr>
              <w:tabs>
                <w:tab w:val="left" w:pos="284"/>
              </w:tabs>
              <w:rPr>
                <w:b/>
                <w:bCs/>
                <w:szCs w:val="18"/>
                <w:lang w:val="hu-HU"/>
              </w:rPr>
            </w:pPr>
            <w:r w:rsidRPr="00750B74">
              <w:rPr>
                <w:b/>
                <w:bCs/>
                <w:szCs w:val="18"/>
                <w:lang w:val="hu-HU"/>
              </w:rPr>
              <w:t>Energiahatékonysági és Klímavédelmi Alap</w:t>
            </w:r>
          </w:p>
          <w:p w14:paraId="2313DFC7" w14:textId="7754D9C4" w:rsidR="00750B74" w:rsidRDefault="00750B74" w:rsidP="006F28C5">
            <w:pPr>
              <w:tabs>
                <w:tab w:val="left" w:pos="284"/>
              </w:tabs>
              <w:rPr>
                <w:szCs w:val="18"/>
                <w:lang w:val="hu-HU"/>
              </w:rPr>
            </w:pPr>
            <w:r>
              <w:rPr>
                <w:szCs w:val="18"/>
                <w:lang w:val="hu-HU"/>
              </w:rPr>
              <w:t xml:space="preserve">Jelen EUCF Beruházási Koncepció részeként – a két dokumentumot együtt értelmezve – egy pénzügyi alap koncepciója is kidolgozásra került. Ez az </w:t>
            </w:r>
            <w:bookmarkStart w:id="37" w:name="_Hlk130537384"/>
            <w:r w:rsidRPr="00750B74">
              <w:rPr>
                <w:b/>
                <w:bCs/>
                <w:szCs w:val="18"/>
                <w:lang w:val="hu-HU"/>
              </w:rPr>
              <w:t>Energiahatékonysági és Klímavédelmi Alap</w:t>
            </w:r>
            <w:bookmarkEnd w:id="37"/>
            <w:r>
              <w:rPr>
                <w:szCs w:val="18"/>
                <w:lang w:val="hu-HU"/>
              </w:rPr>
              <w:t>, mely részletes, teljes formában a 4.4 mellékletben található – jelen alfejezetben egy rövid kivonat mutatja be.</w:t>
            </w:r>
          </w:p>
          <w:p w14:paraId="39949A62" w14:textId="7B20F7B4" w:rsidR="00377132" w:rsidRPr="00377132" w:rsidRDefault="00E36BAC" w:rsidP="00377132">
            <w:pPr>
              <w:tabs>
                <w:tab w:val="left" w:pos="284"/>
              </w:tabs>
              <w:rPr>
                <w:szCs w:val="18"/>
              </w:rPr>
            </w:pPr>
            <w:r w:rsidRPr="00E36BAC">
              <w:rPr>
                <w:szCs w:val="18"/>
              </w:rPr>
              <w:t>Budapest Főváros VII. kerület Erzsébetváros Önkormányzata 2022. október 19-ei rendes ülésén tárgyalta és elfogadta az Energiahatékonysági és Klímavédelmi Alap létrehozásáról szóló javaslatot. Az Alap általános célja, hogy a kerület lakóinak és intézményeinek energiamegtakarítási, klímavédelmi és zöld fejlesztéseit támogassa</w:t>
            </w:r>
            <w:r w:rsidR="00B15DBD">
              <w:rPr>
                <w:szCs w:val="18"/>
              </w:rPr>
              <w:t>, azokat ösztönözze</w:t>
            </w:r>
            <w:r>
              <w:rPr>
                <w:szCs w:val="18"/>
              </w:rPr>
              <w:t>.</w:t>
            </w:r>
            <w:r w:rsidR="00377132">
              <w:t xml:space="preserve"> </w:t>
            </w:r>
            <w:r w:rsidR="00377132" w:rsidRPr="00377132">
              <w:rPr>
                <w:szCs w:val="18"/>
              </w:rPr>
              <w:t>A</w:t>
            </w:r>
            <w:r w:rsidR="00B15DBD">
              <w:rPr>
                <w:szCs w:val="18"/>
              </w:rPr>
              <w:t xml:space="preserve"> </w:t>
            </w:r>
            <w:r w:rsidR="00377132" w:rsidRPr="00377132">
              <w:rPr>
                <w:szCs w:val="18"/>
              </w:rPr>
              <w:t>konkrét cél</w:t>
            </w:r>
            <w:r w:rsidR="00B15DBD">
              <w:rPr>
                <w:szCs w:val="18"/>
              </w:rPr>
              <w:t>ok a következők</w:t>
            </w:r>
            <w:r w:rsidR="00377132" w:rsidRPr="00377132">
              <w:rPr>
                <w:szCs w:val="18"/>
              </w:rPr>
              <w:t>:</w:t>
            </w:r>
          </w:p>
          <w:p w14:paraId="14F3797F" w14:textId="50A3EF61" w:rsidR="00377132" w:rsidRPr="00377132" w:rsidRDefault="00377132" w:rsidP="00377132">
            <w:pPr>
              <w:pStyle w:val="Listaszerbekezds"/>
              <w:numPr>
                <w:ilvl w:val="0"/>
                <w:numId w:val="49"/>
              </w:numPr>
              <w:tabs>
                <w:tab w:val="left" w:pos="284"/>
              </w:tabs>
              <w:rPr>
                <w:szCs w:val="18"/>
              </w:rPr>
            </w:pPr>
            <w:r w:rsidRPr="00377132">
              <w:rPr>
                <w:szCs w:val="18"/>
              </w:rPr>
              <w:t>Önkormányzati ingatlanok korszerűsítései (hivatali épületek, intézmények, cégek által használt épületek)</w:t>
            </w:r>
            <w:r w:rsidR="00CB2446">
              <w:rPr>
                <w:szCs w:val="18"/>
              </w:rPr>
              <w:t>;</w:t>
            </w:r>
          </w:p>
          <w:p w14:paraId="5B88B315" w14:textId="07E2E01F" w:rsidR="00377132" w:rsidRPr="00377132" w:rsidRDefault="00377132" w:rsidP="00377132">
            <w:pPr>
              <w:pStyle w:val="Listaszerbekezds"/>
              <w:numPr>
                <w:ilvl w:val="0"/>
                <w:numId w:val="49"/>
              </w:numPr>
              <w:tabs>
                <w:tab w:val="left" w:pos="284"/>
              </w:tabs>
              <w:rPr>
                <w:szCs w:val="18"/>
              </w:rPr>
            </w:pPr>
            <w:r w:rsidRPr="00377132">
              <w:rPr>
                <w:szCs w:val="18"/>
              </w:rPr>
              <w:t>Önkormányzati lakás- és épületállomány energiahatékony felújításai, tömbmegújítások</w:t>
            </w:r>
            <w:r w:rsidR="00CB2446">
              <w:rPr>
                <w:szCs w:val="18"/>
              </w:rPr>
              <w:t>;</w:t>
            </w:r>
          </w:p>
          <w:p w14:paraId="264B2471" w14:textId="2BEEF4E1" w:rsidR="00377132" w:rsidRPr="00377132" w:rsidRDefault="00377132" w:rsidP="00377132">
            <w:pPr>
              <w:pStyle w:val="Listaszerbekezds"/>
              <w:numPr>
                <w:ilvl w:val="0"/>
                <w:numId w:val="49"/>
              </w:numPr>
              <w:tabs>
                <w:tab w:val="left" w:pos="284"/>
              </w:tabs>
              <w:rPr>
                <w:szCs w:val="18"/>
              </w:rPr>
            </w:pPr>
            <w:r w:rsidRPr="00377132">
              <w:rPr>
                <w:szCs w:val="18"/>
              </w:rPr>
              <w:t>Az önkormányzati közterületek, terek klímabarát megújítási programja</w:t>
            </w:r>
            <w:r w:rsidR="00CB2446">
              <w:rPr>
                <w:szCs w:val="18"/>
              </w:rPr>
              <w:t>;</w:t>
            </w:r>
          </w:p>
          <w:p w14:paraId="2BC1C789" w14:textId="3695E214" w:rsidR="00377132" w:rsidRPr="00377132" w:rsidRDefault="00377132" w:rsidP="00377132">
            <w:pPr>
              <w:pStyle w:val="Listaszerbekezds"/>
              <w:numPr>
                <w:ilvl w:val="0"/>
                <w:numId w:val="49"/>
              </w:numPr>
              <w:tabs>
                <w:tab w:val="left" w:pos="284"/>
              </w:tabs>
              <w:rPr>
                <w:szCs w:val="18"/>
              </w:rPr>
            </w:pPr>
            <w:r w:rsidRPr="00377132">
              <w:rPr>
                <w:szCs w:val="18"/>
              </w:rPr>
              <w:lastRenderedPageBreak/>
              <w:t>A magántulajdonú (illetve vegyes tulajdonú) társasházak energiamegtakarítási és klímavédelmi célokat szolgáló fejlesztéseinek támogatása</w:t>
            </w:r>
            <w:r w:rsidR="00CB2446">
              <w:rPr>
                <w:szCs w:val="18"/>
              </w:rPr>
              <w:t>;</w:t>
            </w:r>
          </w:p>
          <w:p w14:paraId="0D332DE4" w14:textId="2F0EE77E" w:rsidR="00E36BAC" w:rsidRPr="00B15DBD" w:rsidRDefault="00377132" w:rsidP="00377132">
            <w:pPr>
              <w:pStyle w:val="Listaszerbekezds"/>
              <w:numPr>
                <w:ilvl w:val="0"/>
                <w:numId w:val="49"/>
              </w:numPr>
              <w:tabs>
                <w:tab w:val="left" w:pos="284"/>
              </w:tabs>
              <w:rPr>
                <w:szCs w:val="18"/>
                <w:lang w:val="hu-HU"/>
              </w:rPr>
            </w:pPr>
            <w:r w:rsidRPr="00377132">
              <w:rPr>
                <w:szCs w:val="18"/>
              </w:rPr>
              <w:t>Lakossági energiamegtakarítási programok</w:t>
            </w:r>
            <w:r w:rsidR="00CB2446">
              <w:rPr>
                <w:szCs w:val="18"/>
              </w:rPr>
              <w:t>.</w:t>
            </w:r>
          </w:p>
          <w:p w14:paraId="47195BC7" w14:textId="57C86093" w:rsidR="00B15DBD" w:rsidRDefault="00B15DBD" w:rsidP="00B15DBD">
            <w:pPr>
              <w:tabs>
                <w:tab w:val="left" w:pos="284"/>
              </w:tabs>
              <w:rPr>
                <w:szCs w:val="18"/>
                <w:lang w:val="hu-HU"/>
              </w:rPr>
            </w:pPr>
            <w:r w:rsidRPr="00B15DBD">
              <w:rPr>
                <w:szCs w:val="18"/>
                <w:lang w:val="hu-HU"/>
              </w:rPr>
              <w:t xml:space="preserve">A költségvetési átcsoportosításokat és ingatlanértékesítésből származó bevételek eredményeképpen az </w:t>
            </w:r>
            <w:r w:rsidRPr="0037501C">
              <w:rPr>
                <w:b/>
                <w:bCs/>
                <w:szCs w:val="18"/>
                <w:lang w:val="hu-HU"/>
              </w:rPr>
              <w:t>Alap közel 3 milliárd forintos kerettel került bevezetésre</w:t>
            </w:r>
            <w:r w:rsidR="0037501C">
              <w:rPr>
                <w:szCs w:val="18"/>
                <w:lang w:val="hu-HU"/>
              </w:rPr>
              <w:t xml:space="preserve"> (</w:t>
            </w:r>
            <w:r w:rsidR="0037501C" w:rsidRPr="0037501C">
              <w:rPr>
                <w:szCs w:val="18"/>
                <w:lang w:val="hu-HU"/>
              </w:rPr>
              <w:t>a 2023-as évben az Alapban rendelkezésre álló összeg</w:t>
            </w:r>
            <w:r w:rsidR="0037501C">
              <w:t xml:space="preserve"> </w:t>
            </w:r>
            <w:r w:rsidR="0037501C" w:rsidRPr="0037501C">
              <w:rPr>
                <w:szCs w:val="18"/>
                <w:lang w:val="hu-HU"/>
              </w:rPr>
              <w:t>bruttó 2 708</w:t>
            </w:r>
            <w:r w:rsidR="0037501C">
              <w:rPr>
                <w:szCs w:val="18"/>
                <w:lang w:val="hu-HU"/>
              </w:rPr>
              <w:t> </w:t>
            </w:r>
            <w:r w:rsidR="0037501C" w:rsidRPr="0037501C">
              <w:rPr>
                <w:szCs w:val="18"/>
                <w:lang w:val="hu-HU"/>
              </w:rPr>
              <w:t>882</w:t>
            </w:r>
            <w:r w:rsidR="0037501C">
              <w:rPr>
                <w:szCs w:val="18"/>
                <w:lang w:val="hu-HU"/>
              </w:rPr>
              <w:t xml:space="preserve"> 000</w:t>
            </w:r>
            <w:r w:rsidR="0037501C" w:rsidRPr="0037501C">
              <w:rPr>
                <w:szCs w:val="18"/>
                <w:lang w:val="hu-HU"/>
              </w:rPr>
              <w:t xml:space="preserve"> Ft</w:t>
            </w:r>
            <w:r w:rsidR="0037501C">
              <w:rPr>
                <w:szCs w:val="18"/>
                <w:lang w:val="hu-HU"/>
              </w:rPr>
              <w:t>)</w:t>
            </w:r>
            <w:r w:rsidRPr="00B15DBD">
              <w:rPr>
                <w:szCs w:val="18"/>
                <w:lang w:val="hu-HU"/>
              </w:rPr>
              <w:t>.</w:t>
            </w:r>
            <w:r w:rsidR="0037501C">
              <w:rPr>
                <w:szCs w:val="18"/>
                <w:lang w:val="hu-HU"/>
              </w:rPr>
              <w:t xml:space="preserve"> Ezen forrás egy része konkrét épületekre vonatkozik, így az </w:t>
            </w:r>
            <w:bookmarkStart w:id="38" w:name="_Hlk130537411"/>
            <w:r w:rsidR="0037501C">
              <w:rPr>
                <w:szCs w:val="18"/>
                <w:lang w:val="hu-HU"/>
              </w:rPr>
              <w:t>EUCF Beruházási Koncepcióban szereplő projektelemekre</w:t>
            </w:r>
            <w:r w:rsidR="0037501C">
              <w:t xml:space="preserve"> </w:t>
            </w:r>
            <w:r w:rsidR="0037501C" w:rsidRPr="0037501C">
              <w:rPr>
                <w:szCs w:val="18"/>
                <w:u w:val="single"/>
                <w:lang w:val="hu-HU"/>
              </w:rPr>
              <w:t>2 615 882 000 Ft</w:t>
            </w:r>
            <w:r w:rsidR="0037501C">
              <w:rPr>
                <w:szCs w:val="18"/>
                <w:lang w:val="hu-HU"/>
              </w:rPr>
              <w:t xml:space="preserve"> vonatkoztatható</w:t>
            </w:r>
            <w:bookmarkEnd w:id="38"/>
            <w:r w:rsidR="0037501C">
              <w:rPr>
                <w:szCs w:val="18"/>
                <w:lang w:val="hu-HU"/>
              </w:rPr>
              <w:t>.</w:t>
            </w:r>
          </w:p>
          <w:p w14:paraId="4B2E8F79" w14:textId="14B6AD12" w:rsidR="0003387C" w:rsidRPr="0003387C" w:rsidRDefault="0003387C" w:rsidP="0003387C">
            <w:pPr>
              <w:tabs>
                <w:tab w:val="left" w:pos="284"/>
              </w:tabs>
              <w:rPr>
                <w:szCs w:val="18"/>
              </w:rPr>
            </w:pPr>
            <w:r w:rsidRPr="0003387C">
              <w:rPr>
                <w:szCs w:val="18"/>
              </w:rPr>
              <w:t>Az Alap pénzügyi forrásai nem lehetnek általános adóbevételek, hiszen azok a kötelező feladatok ellátására szolgálnak. Minden olyan további forrással lehet számítani, amely a lakásgazdálkodás feladathoz köthető. Ilyenek lehetnek:</w:t>
            </w:r>
          </w:p>
          <w:p w14:paraId="5442FF6E" w14:textId="5C7498DD" w:rsidR="0003387C" w:rsidRPr="0003387C" w:rsidRDefault="0003387C" w:rsidP="0003387C">
            <w:pPr>
              <w:pStyle w:val="Listaszerbekezds"/>
              <w:numPr>
                <w:ilvl w:val="0"/>
                <w:numId w:val="50"/>
              </w:numPr>
              <w:tabs>
                <w:tab w:val="left" w:pos="284"/>
              </w:tabs>
              <w:rPr>
                <w:szCs w:val="18"/>
              </w:rPr>
            </w:pPr>
            <w:r w:rsidRPr="0003387C">
              <w:rPr>
                <w:szCs w:val="18"/>
              </w:rPr>
              <w:t>Ingatlanértékesítés</w:t>
            </w:r>
            <w:r w:rsidR="00CB2446">
              <w:rPr>
                <w:szCs w:val="18"/>
              </w:rPr>
              <w:t>;</w:t>
            </w:r>
          </w:p>
          <w:p w14:paraId="294DFD13" w14:textId="02A058A0" w:rsidR="0003387C" w:rsidRPr="0003387C" w:rsidRDefault="0003387C" w:rsidP="0003387C">
            <w:pPr>
              <w:pStyle w:val="Listaszerbekezds"/>
              <w:numPr>
                <w:ilvl w:val="0"/>
                <w:numId w:val="50"/>
              </w:numPr>
              <w:tabs>
                <w:tab w:val="left" w:pos="284"/>
              </w:tabs>
              <w:rPr>
                <w:szCs w:val="18"/>
              </w:rPr>
            </w:pPr>
            <w:r w:rsidRPr="0003387C">
              <w:rPr>
                <w:szCs w:val="18"/>
              </w:rPr>
              <w:t>Lakásértékesítés</w:t>
            </w:r>
            <w:r w:rsidR="00CB2446">
              <w:rPr>
                <w:szCs w:val="18"/>
              </w:rPr>
              <w:t>;</w:t>
            </w:r>
          </w:p>
          <w:p w14:paraId="2FF27AC6" w14:textId="59649476" w:rsidR="0003387C" w:rsidRPr="0003387C" w:rsidRDefault="0003387C" w:rsidP="0003387C">
            <w:pPr>
              <w:pStyle w:val="Listaszerbekezds"/>
              <w:numPr>
                <w:ilvl w:val="0"/>
                <w:numId w:val="50"/>
              </w:numPr>
              <w:tabs>
                <w:tab w:val="left" w:pos="284"/>
              </w:tabs>
              <w:rPr>
                <w:szCs w:val="18"/>
              </w:rPr>
            </w:pPr>
            <w:r w:rsidRPr="0003387C">
              <w:rPr>
                <w:szCs w:val="18"/>
              </w:rPr>
              <w:t>Önkormányzati tulajdonú épület bővítése, tetőtér beépítése</w:t>
            </w:r>
            <w:r w:rsidR="00CB2446">
              <w:rPr>
                <w:szCs w:val="18"/>
              </w:rPr>
              <w:t>;</w:t>
            </w:r>
          </w:p>
          <w:p w14:paraId="045CD29A" w14:textId="48B81759" w:rsidR="0003387C" w:rsidRPr="0003387C" w:rsidRDefault="0003387C" w:rsidP="0003387C">
            <w:pPr>
              <w:pStyle w:val="Listaszerbekezds"/>
              <w:numPr>
                <w:ilvl w:val="0"/>
                <w:numId w:val="50"/>
              </w:numPr>
              <w:tabs>
                <w:tab w:val="left" w:pos="284"/>
              </w:tabs>
              <w:rPr>
                <w:szCs w:val="18"/>
              </w:rPr>
            </w:pPr>
            <w:r w:rsidRPr="0003387C">
              <w:rPr>
                <w:szCs w:val="18"/>
              </w:rPr>
              <w:t>Önkormányzati tulajdonú foghíj, beépítetlen telek befektetési hasznosításából származó bevétel</w:t>
            </w:r>
            <w:r w:rsidR="00CB2446">
              <w:rPr>
                <w:szCs w:val="18"/>
              </w:rPr>
              <w:t>;</w:t>
            </w:r>
          </w:p>
          <w:p w14:paraId="78081B29" w14:textId="7504803A" w:rsidR="0003387C" w:rsidRPr="0003387C" w:rsidRDefault="0003387C" w:rsidP="0003387C">
            <w:pPr>
              <w:pStyle w:val="Listaszerbekezds"/>
              <w:numPr>
                <w:ilvl w:val="0"/>
                <w:numId w:val="50"/>
              </w:numPr>
              <w:tabs>
                <w:tab w:val="left" w:pos="284"/>
              </w:tabs>
              <w:rPr>
                <w:szCs w:val="18"/>
              </w:rPr>
            </w:pPr>
            <w:r w:rsidRPr="0003387C">
              <w:rPr>
                <w:szCs w:val="18"/>
              </w:rPr>
              <w:t>Kamatbevételek</w:t>
            </w:r>
            <w:r w:rsidR="00CB2446">
              <w:rPr>
                <w:szCs w:val="18"/>
              </w:rPr>
              <w:t>;</w:t>
            </w:r>
          </w:p>
          <w:p w14:paraId="6A06DD17" w14:textId="00B68477" w:rsidR="0003387C" w:rsidRPr="0003387C" w:rsidRDefault="0003387C" w:rsidP="0003387C">
            <w:pPr>
              <w:pStyle w:val="Listaszerbekezds"/>
              <w:numPr>
                <w:ilvl w:val="0"/>
                <w:numId w:val="50"/>
              </w:numPr>
              <w:tabs>
                <w:tab w:val="left" w:pos="284"/>
              </w:tabs>
              <w:rPr>
                <w:szCs w:val="18"/>
              </w:rPr>
            </w:pPr>
            <w:r w:rsidRPr="0003387C">
              <w:rPr>
                <w:szCs w:val="18"/>
              </w:rPr>
              <w:t>Állampapírok</w:t>
            </w:r>
            <w:r w:rsidR="00CB2446">
              <w:rPr>
                <w:szCs w:val="18"/>
              </w:rPr>
              <w:t>;</w:t>
            </w:r>
          </w:p>
          <w:p w14:paraId="3D2DD9AB" w14:textId="33F95ECC" w:rsidR="0037501C" w:rsidRPr="0003387C" w:rsidRDefault="0003387C" w:rsidP="0003387C">
            <w:pPr>
              <w:pStyle w:val="Listaszerbekezds"/>
              <w:numPr>
                <w:ilvl w:val="0"/>
                <w:numId w:val="50"/>
              </w:numPr>
              <w:tabs>
                <w:tab w:val="left" w:pos="284"/>
              </w:tabs>
              <w:rPr>
                <w:szCs w:val="18"/>
                <w:lang w:val="hu-HU"/>
              </w:rPr>
            </w:pPr>
            <w:r w:rsidRPr="0003387C">
              <w:rPr>
                <w:szCs w:val="18"/>
              </w:rPr>
              <w:t>Európai Uniós, nemzeti támogatások forrásai</w:t>
            </w:r>
            <w:r w:rsidR="00CB2446">
              <w:rPr>
                <w:szCs w:val="18"/>
              </w:rPr>
              <w:t>.</w:t>
            </w:r>
          </w:p>
          <w:p w14:paraId="7E4D4D2D" w14:textId="0169FA68" w:rsidR="0003387C" w:rsidRPr="0003387C" w:rsidRDefault="0003387C" w:rsidP="0003387C">
            <w:pPr>
              <w:tabs>
                <w:tab w:val="left" w:pos="284"/>
              </w:tabs>
              <w:rPr>
                <w:szCs w:val="18"/>
                <w:lang w:val="hu-HU"/>
              </w:rPr>
            </w:pPr>
            <w:r>
              <w:rPr>
                <w:szCs w:val="18"/>
                <w:lang w:val="hu-HU"/>
              </w:rPr>
              <w:t xml:space="preserve">Megtakarítások garanciavállalása: a </w:t>
            </w:r>
            <w:r w:rsidRPr="0003387C">
              <w:rPr>
                <w:szCs w:val="18"/>
                <w:lang w:val="hu-HU"/>
              </w:rPr>
              <w:t>forgó alap egyik kritikus pontja, hogy a beruházási költségek a megtakarításokból vagy a bérleti díjakból visszaforgatásra kerüljenek. Míg a 100% önkormányzati épületeknél a bérleti díj emelése lehetséges megoldás, a társasházaknál a kamatmentes kölcsön visszafizetési ütemezése az elsődlegesen javasolt megoldás.</w:t>
            </w:r>
          </w:p>
          <w:p w14:paraId="76DA2782" w14:textId="18A11950" w:rsidR="00E36BAC" w:rsidRPr="00B15DBD" w:rsidRDefault="00E36BAC" w:rsidP="006F28C5">
            <w:pPr>
              <w:tabs>
                <w:tab w:val="left" w:pos="284"/>
              </w:tabs>
              <w:rPr>
                <w:b/>
                <w:bCs/>
                <w:szCs w:val="18"/>
                <w:lang w:val="hu-HU"/>
              </w:rPr>
            </w:pPr>
            <w:r w:rsidRPr="00B15DBD">
              <w:rPr>
                <w:b/>
                <w:bCs/>
                <w:szCs w:val="18"/>
                <w:lang w:val="hu-HU"/>
              </w:rPr>
              <w:t>Egyéb vonatkozások</w:t>
            </w:r>
          </w:p>
          <w:p w14:paraId="545EB92F" w14:textId="320E7B11" w:rsidR="006F28C5" w:rsidRDefault="006F28C5" w:rsidP="006F28C5">
            <w:pPr>
              <w:tabs>
                <w:tab w:val="left" w:pos="284"/>
              </w:tabs>
              <w:rPr>
                <w:szCs w:val="18"/>
              </w:rPr>
            </w:pPr>
            <w:r w:rsidRPr="00EB69CC">
              <w:rPr>
                <w:szCs w:val="18"/>
              </w:rPr>
              <w:t>Magyarországon az elmúlt években nem került kialakításra kifejezetten a közösségi finanszírozásra vonatkozó jogi szabályozás. A civil és non-profit szervezetekre (CLXXV./2011) és a személyi jövedelemadóra (CXVII./1995) vonatkozó törvények szabályozzák az adományozás lehetőségeit.</w:t>
            </w:r>
            <w:r>
              <w:rPr>
                <w:szCs w:val="18"/>
              </w:rPr>
              <w:t xml:space="preserve"> Az önkormányzatoknak lehetősége van bankszámlát nyitni és adományokat gyűjteni, a non-profit alapítványok pedig közösségi finanszírozási kampányba is kezdhetnek. Az EU 2021. novemberétől rendeletben</w:t>
            </w:r>
            <w:r>
              <w:rPr>
                <w:rStyle w:val="Lbjegyzet-hivatkozs"/>
                <w:szCs w:val="18"/>
              </w:rPr>
              <w:footnoteReference w:id="51"/>
            </w:r>
            <w:r>
              <w:rPr>
                <w:szCs w:val="18"/>
              </w:rPr>
              <w:t xml:space="preserve"> szabályozza a közösségi finanszírozási szolgáltatók engedélyezését. A rendelet célja a crowdfunding támogatása és elterjesztése. A hazai engedélyezési eljárásokat az MNB látja el.</w:t>
            </w:r>
            <w:r>
              <w:rPr>
                <w:rStyle w:val="Lbjegyzet-hivatkozs"/>
                <w:szCs w:val="18"/>
              </w:rPr>
              <w:footnoteReference w:id="52"/>
            </w:r>
          </w:p>
          <w:p w14:paraId="7AC09A17" w14:textId="77777777" w:rsidR="006F28C5" w:rsidRDefault="006F28C5" w:rsidP="006F28C5">
            <w:pPr>
              <w:tabs>
                <w:tab w:val="left" w:pos="284"/>
              </w:tabs>
              <w:rPr>
                <w:szCs w:val="18"/>
                <w:lang w:val="hu-HU"/>
              </w:rPr>
            </w:pPr>
            <w:r>
              <w:rPr>
                <w:szCs w:val="18"/>
                <w:lang w:val="hu-HU"/>
              </w:rPr>
              <w:t xml:space="preserve">A hazai önkormányzatok esetében jellemzőnek mondható, hogy forrásaik, bevételeik döntő része az államtól vagy a helyi vállalatoktól származik. A helyi lakosok közvetlenül keveset adóznak az önkormányzatnak, ami az egyéb adóterhek mellett sokszor nem tudatosul, így elvárásaik irreálisak lehetnek a lakhelyük vezetése felé. Egy-egy település életében az intézményes és az alulról jövő kezdeményezések sok esetben nem találkoznak. Hazánkban eddig teljesen önkormányzati projektek nem valósultak meg közösségi finanszírozás segítségével, az önkormányzatok és a civilek sem működtek társfinanszírozóként, ám arra akad példa mikor egy önkormányzat a helyi civil rendszer résztvevőinek gyűjtését egy kampány elindításával próbálta támogatni, vagy arra, amikor egy önkormányzati cég kezdett saját kampányba. Azonban ez a finanszírozási forma inkább a civilekre és az induló üzleti vállalkozásokra jellemző. </w:t>
            </w:r>
          </w:p>
          <w:p w14:paraId="7210E9C1" w14:textId="7998AE8A" w:rsidR="006F28C5" w:rsidRPr="00E36BAC" w:rsidRDefault="006F28C5" w:rsidP="00E36BAC">
            <w:pPr>
              <w:tabs>
                <w:tab w:val="left" w:pos="284"/>
              </w:tabs>
              <w:rPr>
                <w:szCs w:val="18"/>
                <w:lang w:val="hu-HU"/>
              </w:rPr>
            </w:pPr>
            <w:r>
              <w:rPr>
                <w:szCs w:val="18"/>
                <w:lang w:val="hu-HU"/>
              </w:rPr>
              <w:t xml:space="preserve">Az adománygyűjtéssel, közösségi finanszírozáshoz kapcsolódó kampányolással foglalkozó hazai oldalak energetikai projektekkel (még) nem, de egyéb (zöld, technológia és innováció, művészet és </w:t>
            </w:r>
            <w:r>
              <w:rPr>
                <w:szCs w:val="18"/>
                <w:lang w:val="hu-HU"/>
              </w:rPr>
              <w:lastRenderedPageBreak/>
              <w:t>tudomány, sport, oktatás, gasztronómia, egészségügy, állatvédelem, jogvédelem, szociális segítség, kultúra) projektekben működtek és szereztek tapasztalatot. A projektek célösszege jellemzően pár százezer és 2 millió Ft között mozognak, amely kampány sikeres általában 100% feletti támogatási összeget is képes összegyűjteni a közvetlen adományok vagy az egyszázalékok révén. Jelen projekt esetében nem valószínű a közösségi finanszírozási módszer sikeressége.</w:t>
            </w:r>
          </w:p>
          <w:tbl>
            <w:tblPr>
              <w:tblStyle w:val="Rcsostblzat"/>
              <w:tblW w:w="0" w:type="auto"/>
              <w:tblLayout w:type="fixed"/>
              <w:tblLook w:val="04A0" w:firstRow="1" w:lastRow="0" w:firstColumn="1" w:lastColumn="0" w:noHBand="0" w:noVBand="1"/>
            </w:tblPr>
            <w:tblGrid>
              <w:gridCol w:w="3568"/>
              <w:gridCol w:w="5268"/>
            </w:tblGrid>
            <w:tr w:rsidR="006F28C5" w14:paraId="406C27D2" w14:textId="77777777" w:rsidTr="00922FBC">
              <w:tc>
                <w:tcPr>
                  <w:tcW w:w="3568" w:type="dxa"/>
                </w:tcPr>
                <w:p w14:paraId="109E9F84" w14:textId="161589EA" w:rsidR="006F28C5" w:rsidRDefault="006F28C5" w:rsidP="006F28C5">
                  <w:r w:rsidRPr="00DE5FBF">
                    <w:t>Beruházási elem neve</w:t>
                  </w:r>
                </w:p>
              </w:tc>
              <w:tc>
                <w:tcPr>
                  <w:tcW w:w="5268" w:type="dxa"/>
                </w:tcPr>
                <w:p w14:paraId="113F31F4" w14:textId="44847D1A" w:rsidR="006F28C5" w:rsidRDefault="006F28C5" w:rsidP="006F28C5">
                  <w:r w:rsidRPr="00DE5FBF">
                    <w:t>Lehetséges forrás</w:t>
                  </w:r>
                  <w:r>
                    <w:t>ok</w:t>
                  </w:r>
                </w:p>
              </w:tc>
            </w:tr>
            <w:tr w:rsidR="006F28C5" w14:paraId="0E904300" w14:textId="77777777" w:rsidTr="00922FBC">
              <w:tc>
                <w:tcPr>
                  <w:tcW w:w="3568" w:type="dxa"/>
                  <w:vAlign w:val="center"/>
                </w:tcPr>
                <w:p w14:paraId="10407663" w14:textId="40E2A7F1" w:rsidR="006F28C5" w:rsidRDefault="006F28C5" w:rsidP="006F28C5">
                  <w:pPr>
                    <w:jc w:val="left"/>
                  </w:pPr>
                  <w:r w:rsidRPr="00C4490A">
                    <w:t>Épületek hőtechnikai felújítása</w:t>
                  </w:r>
                </w:p>
              </w:tc>
              <w:tc>
                <w:tcPr>
                  <w:tcW w:w="5268" w:type="dxa"/>
                </w:tcPr>
                <w:p w14:paraId="3A69D5EF" w14:textId="77777777" w:rsidR="006F28C5" w:rsidRPr="00D24F01" w:rsidRDefault="006F28C5" w:rsidP="006F28C5">
                  <w:pPr>
                    <w:pStyle w:val="Listaszerbekezds"/>
                    <w:numPr>
                      <w:ilvl w:val="0"/>
                      <w:numId w:val="45"/>
                    </w:numPr>
                  </w:pPr>
                  <w:r w:rsidRPr="00D24F01">
                    <w:t>TOP_Plusz várhatóan 4. prioritásán lévő még meg nem jelent felhívások (TOP_Plusz-2.1.1-21 felhíváshoz hasonló tartalommal – ez a felhívás csak HMKE esetén nyújthat támogatást)</w:t>
                  </w:r>
                </w:p>
                <w:p w14:paraId="109E5356" w14:textId="77777777" w:rsidR="006F28C5" w:rsidRDefault="006F28C5" w:rsidP="006F28C5">
                  <w:pPr>
                    <w:pStyle w:val="Listaszerbekezds"/>
                    <w:numPr>
                      <w:ilvl w:val="0"/>
                      <w:numId w:val="45"/>
                    </w:numPr>
                  </w:pPr>
                  <w:r w:rsidRPr="00D24F01">
                    <w:t>KEHOP Plusz jövőben megjelenő felhívásai</w:t>
                  </w:r>
                </w:p>
                <w:p w14:paraId="01ECF752" w14:textId="77777777" w:rsidR="006F28C5" w:rsidRDefault="006F28C5" w:rsidP="006F28C5">
                  <w:pPr>
                    <w:pStyle w:val="Listaszerbekezds"/>
                    <w:numPr>
                      <w:ilvl w:val="0"/>
                      <w:numId w:val="45"/>
                    </w:numPr>
                  </w:pPr>
                  <w:r>
                    <w:t>HORIZON-CL5-2024-D4-01-01: Low-disruptive renovation processes using integration of prefabricated solutions for energy-efficient buildings</w:t>
                  </w:r>
                </w:p>
                <w:p w14:paraId="70B5EE9F" w14:textId="748F186C" w:rsidR="006F28C5" w:rsidRPr="00BF3E81" w:rsidRDefault="006F28C5" w:rsidP="006F28C5">
                  <w:pPr>
                    <w:pStyle w:val="Listaszerbekezds"/>
                    <w:numPr>
                      <w:ilvl w:val="0"/>
                      <w:numId w:val="45"/>
                    </w:numPr>
                  </w:pPr>
                  <w:r>
                    <w:t>HORIZON-CL5-2024-D4-02-01: Industrialisation of sustainable and circular deep renovation workflows (Built4People Partnership)</w:t>
                  </w:r>
                </w:p>
              </w:tc>
            </w:tr>
            <w:tr w:rsidR="006F28C5" w14:paraId="126D7571" w14:textId="77777777" w:rsidTr="00922FBC">
              <w:tc>
                <w:tcPr>
                  <w:tcW w:w="3568" w:type="dxa"/>
                  <w:vAlign w:val="center"/>
                </w:tcPr>
                <w:p w14:paraId="4F670694" w14:textId="28A55550" w:rsidR="006F28C5" w:rsidRDefault="006F28C5" w:rsidP="006F28C5">
                  <w:pPr>
                    <w:jc w:val="left"/>
                  </w:pPr>
                  <w:r w:rsidRPr="00C4490A">
                    <w:t>Hőszivattyús ellátás gáz vagy villamos energia fűtési ellátás helyett</w:t>
                  </w:r>
                </w:p>
              </w:tc>
              <w:tc>
                <w:tcPr>
                  <w:tcW w:w="5268" w:type="dxa"/>
                </w:tcPr>
                <w:p w14:paraId="45ECBD17" w14:textId="77777777" w:rsidR="006F28C5" w:rsidRPr="00D24F01" w:rsidRDefault="006F28C5" w:rsidP="006F28C5">
                  <w:pPr>
                    <w:pStyle w:val="Listaszerbekezds"/>
                    <w:numPr>
                      <w:ilvl w:val="0"/>
                      <w:numId w:val="46"/>
                    </w:numPr>
                  </w:pPr>
                  <w:r w:rsidRPr="00D24F01">
                    <w:t>TOP_Plusz várhatóan 4. prioritásán lévő még meg nem jelent felhívások (TOP_Plusz-2.1.1-21 felhíváshoz hasonló tartalommal – ez a felhívás csak HMKE esetén nyújthat támogatást)</w:t>
                  </w:r>
                </w:p>
                <w:p w14:paraId="0D30565A" w14:textId="37DBCA87" w:rsidR="006F28C5" w:rsidRPr="00E73882" w:rsidRDefault="006F28C5" w:rsidP="006F28C5">
                  <w:pPr>
                    <w:pStyle w:val="Listaszerbekezds"/>
                    <w:numPr>
                      <w:ilvl w:val="0"/>
                      <w:numId w:val="46"/>
                    </w:numPr>
                  </w:pPr>
                  <w:r w:rsidRPr="00D24F01">
                    <w:t>KEHOP Plusz jövőben megjelenő felhívásai</w:t>
                  </w:r>
                </w:p>
              </w:tc>
            </w:tr>
            <w:tr w:rsidR="006F28C5" w14:paraId="31708F7D" w14:textId="77777777" w:rsidTr="00922FBC">
              <w:tc>
                <w:tcPr>
                  <w:tcW w:w="3568" w:type="dxa"/>
                  <w:vAlign w:val="center"/>
                </w:tcPr>
                <w:p w14:paraId="0C3F331D" w14:textId="7AA56D4F" w:rsidR="006F28C5" w:rsidRDefault="006F28C5" w:rsidP="006F28C5">
                  <w:pPr>
                    <w:jc w:val="left"/>
                  </w:pPr>
                  <w:r w:rsidRPr="00C4490A">
                    <w:t>PV napelemek telepítése</w:t>
                  </w:r>
                </w:p>
              </w:tc>
              <w:tc>
                <w:tcPr>
                  <w:tcW w:w="5268" w:type="dxa"/>
                </w:tcPr>
                <w:p w14:paraId="4786E726" w14:textId="77777777" w:rsidR="006F28C5" w:rsidRPr="00D24F01" w:rsidRDefault="006F28C5" w:rsidP="006F28C5">
                  <w:pPr>
                    <w:pStyle w:val="Listaszerbekezds"/>
                    <w:numPr>
                      <w:ilvl w:val="0"/>
                      <w:numId w:val="46"/>
                    </w:numPr>
                  </w:pPr>
                  <w:r w:rsidRPr="00D24F01">
                    <w:t>TOP_Plusz várhatóan 4. prioritásán lévő még meg nem jelent felhívások (TOP_Plusz-2.1.1-21 felhíváshoz hasonló tartalommal – ez a felhívás csak HMKE esetén nyújthat támogatást)</w:t>
                  </w:r>
                </w:p>
                <w:p w14:paraId="7059FE8A" w14:textId="5A8B859F" w:rsidR="006F28C5" w:rsidRDefault="006F28C5" w:rsidP="006F28C5">
                  <w:pPr>
                    <w:pStyle w:val="Listaszerbekezds"/>
                    <w:numPr>
                      <w:ilvl w:val="0"/>
                      <w:numId w:val="46"/>
                    </w:numPr>
                  </w:pPr>
                  <w:r w:rsidRPr="00D24F01">
                    <w:t>KEHOP Plusz jövőben megjelenő felhívásai</w:t>
                  </w:r>
                </w:p>
                <w:p w14:paraId="4E912621" w14:textId="25BD75B9" w:rsidR="006F28C5" w:rsidRPr="004315DB" w:rsidRDefault="006F28C5" w:rsidP="006F28C5">
                  <w:pPr>
                    <w:pStyle w:val="Listaszerbekezds"/>
                    <w:numPr>
                      <w:ilvl w:val="0"/>
                      <w:numId w:val="46"/>
                    </w:numPr>
                  </w:pPr>
                  <w:r w:rsidRPr="004315DB">
                    <w:t>HORIZON-CL5-2023-D3-01-02: PV integration in buildings and in infrastructure</w:t>
                  </w:r>
                </w:p>
              </w:tc>
            </w:tr>
          </w:tbl>
          <w:p w14:paraId="4CC7D73F" w14:textId="0DE47BAA" w:rsidR="006F28C5" w:rsidRDefault="006F28C5" w:rsidP="006F28C5"/>
        </w:tc>
      </w:tr>
      <w:tr w:rsidR="006F28C5" w14:paraId="58A360D4" w14:textId="77777777" w:rsidTr="004424D4">
        <w:trPr>
          <w:trHeight w:val="345"/>
        </w:trPr>
        <w:tc>
          <w:tcPr>
            <w:tcW w:w="3823" w:type="dxa"/>
            <w:gridSpan w:val="3"/>
            <w:shd w:val="clear" w:color="auto" w:fill="DEEAF6" w:themeFill="accent5" w:themeFillTint="33"/>
          </w:tcPr>
          <w:p w14:paraId="23BA3974" w14:textId="66C359D5" w:rsidR="006F28C5" w:rsidRDefault="006F28C5" w:rsidP="006F28C5">
            <w:r w:rsidRPr="0050137E">
              <w:lastRenderedPageBreak/>
              <w:t>Teljes beruházási költség</w:t>
            </w:r>
          </w:p>
        </w:tc>
        <w:tc>
          <w:tcPr>
            <w:tcW w:w="5244" w:type="dxa"/>
            <w:gridSpan w:val="3"/>
          </w:tcPr>
          <w:p w14:paraId="0D24D245" w14:textId="5812BE65" w:rsidR="006F28C5" w:rsidRDefault="00530545" w:rsidP="006F28C5">
            <w:r w:rsidRPr="00530545">
              <w:t>94.068.213 EUR</w:t>
            </w:r>
            <w:r w:rsidR="006F28C5" w:rsidRPr="0050137E">
              <w:t>/100%</w:t>
            </w:r>
          </w:p>
        </w:tc>
      </w:tr>
      <w:tr w:rsidR="006F28C5" w14:paraId="7CE35AB2" w14:textId="77777777" w:rsidTr="004424D4">
        <w:trPr>
          <w:trHeight w:val="344"/>
        </w:trPr>
        <w:tc>
          <w:tcPr>
            <w:tcW w:w="3823" w:type="dxa"/>
            <w:gridSpan w:val="3"/>
            <w:shd w:val="clear" w:color="auto" w:fill="DEEAF6" w:themeFill="accent5" w:themeFillTint="33"/>
          </w:tcPr>
          <w:p w14:paraId="0DAEE695" w14:textId="72897B86" w:rsidR="006F28C5" w:rsidRDefault="006F28C5" w:rsidP="006F28C5">
            <w:r w:rsidRPr="0050137E">
              <w:t>Igényelt forrás</w:t>
            </w:r>
          </w:p>
        </w:tc>
        <w:tc>
          <w:tcPr>
            <w:tcW w:w="5244" w:type="dxa"/>
            <w:gridSpan w:val="3"/>
          </w:tcPr>
          <w:p w14:paraId="7CC06B5A" w14:textId="220A3857" w:rsidR="006F28C5" w:rsidRPr="0003387C" w:rsidRDefault="003C525F" w:rsidP="006F28C5">
            <w:r w:rsidRPr="003C525F">
              <w:t>87.184.313 EUR/92,7%</w:t>
            </w:r>
          </w:p>
        </w:tc>
      </w:tr>
      <w:tr w:rsidR="006F28C5" w14:paraId="6966C427" w14:textId="77777777" w:rsidTr="004424D4">
        <w:trPr>
          <w:trHeight w:val="344"/>
        </w:trPr>
        <w:tc>
          <w:tcPr>
            <w:tcW w:w="3823" w:type="dxa"/>
            <w:gridSpan w:val="3"/>
            <w:shd w:val="clear" w:color="auto" w:fill="DEEAF6" w:themeFill="accent5" w:themeFillTint="33"/>
          </w:tcPr>
          <w:p w14:paraId="602D6D68" w14:textId="26041F9C" w:rsidR="006F28C5" w:rsidRDefault="006F28C5" w:rsidP="006F28C5">
            <w:r w:rsidRPr="0050137E">
              <w:t>Saját forrás</w:t>
            </w:r>
            <w:r w:rsidR="0003387C">
              <w:rPr>
                <w:rStyle w:val="Lbjegyzet-hivatkozs"/>
              </w:rPr>
              <w:footnoteReference w:id="53"/>
            </w:r>
          </w:p>
        </w:tc>
        <w:tc>
          <w:tcPr>
            <w:tcW w:w="5244" w:type="dxa"/>
            <w:gridSpan w:val="3"/>
          </w:tcPr>
          <w:p w14:paraId="391B5A5F" w14:textId="45622459" w:rsidR="006F28C5" w:rsidRPr="0003387C" w:rsidRDefault="0003387C" w:rsidP="006F28C5">
            <w:r w:rsidRPr="0003387C">
              <w:t xml:space="preserve">6.883.900 </w:t>
            </w:r>
            <w:r w:rsidR="006F28C5" w:rsidRPr="0003387C">
              <w:t>EUR</w:t>
            </w:r>
            <w:r w:rsidRPr="0003387C">
              <w:t>/</w:t>
            </w:r>
            <w:r w:rsidR="003C525F">
              <w:t>7</w:t>
            </w:r>
            <w:r w:rsidRPr="0003387C">
              <w:t>,</w:t>
            </w:r>
            <w:r w:rsidR="003C525F">
              <w:t>3</w:t>
            </w:r>
            <w:r w:rsidR="006F28C5" w:rsidRPr="0003387C">
              <w:t>%</w:t>
            </w:r>
          </w:p>
        </w:tc>
      </w:tr>
    </w:tbl>
    <w:p w14:paraId="469D7F74" w14:textId="77777777" w:rsidR="000A511D" w:rsidRDefault="000A511D" w:rsidP="000A511D">
      <w:pPr>
        <w:pStyle w:val="Cmsor1"/>
      </w:pPr>
      <w:bookmarkStart w:id="39" w:name="_Toc133510186"/>
      <w:r>
        <w:t>Beruházási ütemterv</w:t>
      </w:r>
      <w:bookmarkEnd w:id="39"/>
    </w:p>
    <w:tbl>
      <w:tblPr>
        <w:tblStyle w:val="Rcsostblzat"/>
        <w:tblW w:w="0" w:type="auto"/>
        <w:tblLook w:val="04A0" w:firstRow="1" w:lastRow="0" w:firstColumn="1" w:lastColumn="0" w:noHBand="0" w:noVBand="1"/>
      </w:tblPr>
      <w:tblGrid>
        <w:gridCol w:w="9062"/>
      </w:tblGrid>
      <w:tr w:rsidR="000A511D" w14:paraId="43B68068" w14:textId="77777777" w:rsidTr="000A511D">
        <w:tc>
          <w:tcPr>
            <w:tcW w:w="9062" w:type="dxa"/>
            <w:shd w:val="clear" w:color="auto" w:fill="F2F2F2" w:themeFill="background1" w:themeFillShade="F2"/>
          </w:tcPr>
          <w:p w14:paraId="5F5E6787" w14:textId="690AB198" w:rsidR="000A511D" w:rsidRDefault="000A511D" w:rsidP="00917508">
            <w:pPr>
              <w:pStyle w:val="Cmsor2"/>
              <w:outlineLvl w:val="1"/>
            </w:pPr>
            <w:bookmarkStart w:id="40" w:name="_Toc133510187"/>
            <w:r w:rsidRPr="000A511D">
              <w:t>5.1. Technikai segítségnyújtással kapcsolatos tevékenységek</w:t>
            </w:r>
            <w:bookmarkEnd w:id="40"/>
          </w:p>
        </w:tc>
      </w:tr>
      <w:tr w:rsidR="000A511D" w14:paraId="1413B48F" w14:textId="77777777" w:rsidTr="000A511D">
        <w:tc>
          <w:tcPr>
            <w:tcW w:w="9062" w:type="dxa"/>
          </w:tcPr>
          <w:p w14:paraId="2936F97B" w14:textId="2EBA9AE8" w:rsidR="004560AC" w:rsidRPr="004560AC" w:rsidRDefault="004560AC" w:rsidP="004560AC">
            <w:r w:rsidRPr="004560AC">
              <w:t xml:space="preserve">Technikai segítségnyújtásra egyelőre nincs szükség a projektekben. A korábban említett jogszabályi akadályok, hiányosságok </w:t>
            </w:r>
            <w:r w:rsidRPr="008514D8">
              <w:t>elhárulása és a pénzügyi források biztosítása segíthet</w:t>
            </w:r>
            <w:r w:rsidRPr="004560AC">
              <w:t xml:space="preserve"> a projekt gyors </w:t>
            </w:r>
            <w:r w:rsidRPr="004560AC">
              <w:lastRenderedPageBreak/>
              <w:t>megvalósításában. A jogszabályi akadályok elhárulása és a pénzügyi források rendelkezésre állása esetén a</w:t>
            </w:r>
            <w:r>
              <w:t>z Önkormányzat a</w:t>
            </w:r>
            <w:r w:rsidRPr="004560AC">
              <w:t xml:space="preserve"> stakeholderekkel egyeztetve el tudj</w:t>
            </w:r>
            <w:r>
              <w:t>a</w:t>
            </w:r>
            <w:r w:rsidRPr="004560AC">
              <w:t xml:space="preserve"> végezni a jelen projekt megvalósításhoz szükséges menedzsmenttevékenységet</w:t>
            </w:r>
            <w:r>
              <w:t xml:space="preserve">, beleértve a </w:t>
            </w:r>
            <w:r w:rsidRPr="008514D8">
              <w:t>Felújítási Alap forrásainak</w:t>
            </w:r>
            <w:r>
              <w:t xml:space="preserve"> koordinációját</w:t>
            </w:r>
            <w:r w:rsidRPr="004560AC">
              <w:t>. A projekt megvalósításához kapcsolódó, külső vállalkozók/szakértők bevonására az alábbi tevékenységekben lesz szükség:</w:t>
            </w:r>
          </w:p>
          <w:p w14:paraId="4F585B73" w14:textId="5FB50CA3" w:rsidR="004560AC" w:rsidRPr="004560AC" w:rsidRDefault="004560AC" w:rsidP="009C6CD0">
            <w:pPr>
              <w:pStyle w:val="Listaszerbekezds"/>
              <w:numPr>
                <w:ilvl w:val="0"/>
                <w:numId w:val="19"/>
              </w:numPr>
            </w:pPr>
            <w:r w:rsidRPr="004560AC">
              <w:t>Műszaki tervek elkészítése;</w:t>
            </w:r>
          </w:p>
          <w:p w14:paraId="0BB93C5F" w14:textId="23BA9795" w:rsidR="004560AC" w:rsidRPr="004560AC" w:rsidRDefault="004560AC" w:rsidP="009C6CD0">
            <w:pPr>
              <w:pStyle w:val="Listaszerbekezds"/>
              <w:numPr>
                <w:ilvl w:val="0"/>
                <w:numId w:val="19"/>
              </w:numPr>
            </w:pPr>
            <w:r w:rsidRPr="004560AC">
              <w:t>Engedélyeztetési feladatok lebonyolítása;</w:t>
            </w:r>
          </w:p>
          <w:p w14:paraId="5C4DCA13" w14:textId="2735A8AF" w:rsidR="004560AC" w:rsidRPr="004560AC" w:rsidRDefault="004560AC" w:rsidP="009C6CD0">
            <w:pPr>
              <w:pStyle w:val="Listaszerbekezds"/>
              <w:numPr>
                <w:ilvl w:val="0"/>
                <w:numId w:val="19"/>
              </w:numPr>
            </w:pPr>
            <w:r w:rsidRPr="004560AC">
              <w:t>Közbeszerzési tevékenység lefolytatása;</w:t>
            </w:r>
          </w:p>
          <w:p w14:paraId="2F4E1245" w14:textId="7DF140BC" w:rsidR="004560AC" w:rsidRPr="004560AC" w:rsidRDefault="004560AC" w:rsidP="009C6CD0">
            <w:pPr>
              <w:pStyle w:val="Listaszerbekezds"/>
              <w:numPr>
                <w:ilvl w:val="0"/>
                <w:numId w:val="19"/>
              </w:numPr>
            </w:pPr>
            <w:r w:rsidRPr="004560AC">
              <w:t>Kivitelezés megvalósítása;</w:t>
            </w:r>
          </w:p>
          <w:p w14:paraId="611FB2F6" w14:textId="54FA743A" w:rsidR="004560AC" w:rsidRPr="004560AC" w:rsidRDefault="004560AC" w:rsidP="009C6CD0">
            <w:pPr>
              <w:pStyle w:val="Listaszerbekezds"/>
              <w:numPr>
                <w:ilvl w:val="0"/>
                <w:numId w:val="19"/>
              </w:numPr>
            </w:pPr>
            <w:r w:rsidRPr="004560AC">
              <w:t>Műszaki ellenőrzés;</w:t>
            </w:r>
          </w:p>
          <w:p w14:paraId="2F4F85FA" w14:textId="70AED848" w:rsidR="000A511D" w:rsidRDefault="004560AC" w:rsidP="009C6CD0">
            <w:pPr>
              <w:pStyle w:val="Listaszerbekezds"/>
              <w:numPr>
                <w:ilvl w:val="0"/>
                <w:numId w:val="19"/>
              </w:numPr>
            </w:pPr>
            <w:r w:rsidRPr="004560AC">
              <w:t>Üzembe helyezés</w:t>
            </w:r>
            <w:r w:rsidR="00361135">
              <w:t>;</w:t>
            </w:r>
          </w:p>
          <w:p w14:paraId="2D10E812" w14:textId="7D1EFF23" w:rsidR="00361135" w:rsidRDefault="00361135" w:rsidP="009C6CD0">
            <w:pPr>
              <w:pStyle w:val="Listaszerbekezds"/>
              <w:numPr>
                <w:ilvl w:val="0"/>
                <w:numId w:val="19"/>
              </w:numPr>
            </w:pPr>
            <w:r>
              <w:t>Fenntartás/Üzemeltetés.</w:t>
            </w:r>
          </w:p>
          <w:p w14:paraId="1789F356" w14:textId="7D21F553" w:rsidR="008514D8" w:rsidRDefault="008514D8" w:rsidP="008514D8">
            <w:r>
              <w:t>A magántulajdonú házak esetében továbbá fontos lehet:</w:t>
            </w:r>
          </w:p>
          <w:p w14:paraId="70F48924" w14:textId="77777777" w:rsidR="008514D8" w:rsidRDefault="008514D8" w:rsidP="008514D8">
            <w:pPr>
              <w:pStyle w:val="Listaszerbekezds"/>
              <w:numPr>
                <w:ilvl w:val="0"/>
                <w:numId w:val="48"/>
              </w:numPr>
            </w:pPr>
            <w:r>
              <w:t>Koordinációs tevékenységek megszervezése/elvégzése;</w:t>
            </w:r>
          </w:p>
          <w:p w14:paraId="24C778A8" w14:textId="77777777" w:rsidR="008514D8" w:rsidRDefault="008514D8" w:rsidP="008514D8">
            <w:pPr>
              <w:pStyle w:val="Listaszerbekezds"/>
              <w:numPr>
                <w:ilvl w:val="0"/>
                <w:numId w:val="48"/>
              </w:numPr>
            </w:pPr>
            <w:r>
              <w:t>P</w:t>
            </w:r>
            <w:r w:rsidRPr="008514D8">
              <w:t>ályázatkezelés</w:t>
            </w:r>
            <w:r>
              <w:t>i feladatok támogatása;</w:t>
            </w:r>
          </w:p>
          <w:p w14:paraId="04649FBA" w14:textId="0435CAB4" w:rsidR="00361135" w:rsidRDefault="00361135" w:rsidP="008514D8">
            <w:pPr>
              <w:pStyle w:val="Listaszerbekezds"/>
              <w:numPr>
                <w:ilvl w:val="0"/>
                <w:numId w:val="48"/>
              </w:numPr>
            </w:pPr>
            <w:r>
              <w:t>Technikai segítségnyújtás;</w:t>
            </w:r>
          </w:p>
          <w:p w14:paraId="4B68F1DE" w14:textId="6A796226" w:rsidR="008514D8" w:rsidRPr="008514D8" w:rsidRDefault="008514D8" w:rsidP="008514D8">
            <w:pPr>
              <w:pStyle w:val="Listaszerbekezds"/>
              <w:numPr>
                <w:ilvl w:val="0"/>
                <w:numId w:val="48"/>
              </w:numPr>
            </w:pPr>
            <w:r>
              <w:t>Tanácsadói feladatok ellátása.</w:t>
            </w:r>
          </w:p>
        </w:tc>
      </w:tr>
      <w:tr w:rsidR="000A511D" w14:paraId="216C87CA" w14:textId="77777777" w:rsidTr="000A511D">
        <w:tc>
          <w:tcPr>
            <w:tcW w:w="9062" w:type="dxa"/>
            <w:shd w:val="clear" w:color="auto" w:fill="F2F2F2" w:themeFill="background1" w:themeFillShade="F2"/>
          </w:tcPr>
          <w:p w14:paraId="53027C6F" w14:textId="736FB764" w:rsidR="000A511D" w:rsidRDefault="000A511D" w:rsidP="00917508">
            <w:pPr>
              <w:pStyle w:val="Cmsor2"/>
              <w:outlineLvl w:val="1"/>
            </w:pPr>
            <w:bookmarkStart w:id="41" w:name="_Toc133510188"/>
            <w:r w:rsidRPr="000A511D">
              <w:lastRenderedPageBreak/>
              <w:t>5.2. Munkaterv</w:t>
            </w:r>
            <w:bookmarkEnd w:id="41"/>
          </w:p>
        </w:tc>
      </w:tr>
      <w:tr w:rsidR="000A511D" w14:paraId="76886665" w14:textId="77777777" w:rsidTr="000A511D">
        <w:tc>
          <w:tcPr>
            <w:tcW w:w="9062" w:type="dxa"/>
          </w:tcPr>
          <w:p w14:paraId="2AF18D70" w14:textId="32A779C1" w:rsidR="00A8341E" w:rsidRDefault="00A8341E" w:rsidP="00A8341E">
            <w:r w:rsidRPr="00A8341E">
              <w:t xml:space="preserve">A projektelemek alapvetően koncepcionális szinten állnak rendelkezésre. Általánosságban véve a következő lépés a projektmegvalósításhoz </w:t>
            </w:r>
            <w:r>
              <w:t>a</w:t>
            </w:r>
            <w:r w:rsidR="000D5F47">
              <w:t xml:space="preserve"> </w:t>
            </w:r>
            <w:r w:rsidR="000D5F47" w:rsidRPr="000D5F47">
              <w:t>pénzügyi Alapon túli további</w:t>
            </w:r>
            <w:r w:rsidRPr="000D5F47">
              <w:t xml:space="preserve"> szükséges források megszerzése, mely jellemzően pályázati úton érhető el.</w:t>
            </w:r>
          </w:p>
          <w:p w14:paraId="3ED6E1F9" w14:textId="37C33C6C" w:rsidR="00EA145C" w:rsidRPr="00A8341E" w:rsidRDefault="00F71544" w:rsidP="00EA145C">
            <w:pPr>
              <w:pStyle w:val="Listaszerbekezds"/>
              <w:numPr>
                <w:ilvl w:val="0"/>
                <w:numId w:val="21"/>
              </w:numPr>
            </w:pPr>
            <w:r w:rsidRPr="00F71544">
              <w:rPr>
                <w:b/>
                <w:bCs/>
              </w:rPr>
              <w:t>29 önkormányzati tulajdonú</w:t>
            </w:r>
            <w:r w:rsidR="00EA145C" w:rsidRPr="00F71544">
              <w:rPr>
                <w:b/>
                <w:bCs/>
              </w:rPr>
              <w:t xml:space="preserve"> lakóépület</w:t>
            </w:r>
            <w:r w:rsidR="00EA145C" w:rsidRPr="00A8341E">
              <w:t xml:space="preserve"> energiahatékonysági célú komplex </w:t>
            </w:r>
            <w:r w:rsidR="00EA145C" w:rsidRPr="00A54977">
              <w:t>hőtechnikai</w:t>
            </w:r>
            <w:r w:rsidR="00EA145C">
              <w:t xml:space="preserve"> </w:t>
            </w:r>
            <w:r w:rsidR="00EA145C" w:rsidRPr="00A8341E">
              <w:t>felújítása</w:t>
            </w:r>
          </w:p>
          <w:p w14:paraId="54A7F36F" w14:textId="77777777" w:rsidR="00EA145C" w:rsidRPr="00A8341E" w:rsidRDefault="00EA145C" w:rsidP="00EA145C">
            <w:pPr>
              <w:pStyle w:val="Listaszerbekezds"/>
              <w:numPr>
                <w:ilvl w:val="0"/>
                <w:numId w:val="20"/>
              </w:numPr>
            </w:pPr>
            <w:r w:rsidRPr="00A8341E">
              <w:t>A projektelem állapota: Koncepcionális kidolgozottság</w:t>
            </w:r>
          </w:p>
          <w:p w14:paraId="0EA72F86" w14:textId="17B463D1" w:rsidR="00EA145C" w:rsidRDefault="00EA145C" w:rsidP="00EA145C">
            <w:pPr>
              <w:pStyle w:val="Listaszerbekezds"/>
              <w:numPr>
                <w:ilvl w:val="0"/>
                <w:numId w:val="20"/>
              </w:numPr>
            </w:pPr>
            <w:r w:rsidRPr="00EA145C">
              <w:t>A projektelem fizikai megvalósításának megkezdéséhez szükséges lépések: Pályázati anyagok elkészítése, pályázati források elnyerése, műszaki tervek elkészítése, közbeszerzés lefolytatása.</w:t>
            </w:r>
          </w:p>
          <w:p w14:paraId="2AEF7D50" w14:textId="70660FA7" w:rsidR="00EA145C" w:rsidRPr="00A54977" w:rsidRDefault="00EA145C" w:rsidP="00EA145C">
            <w:pPr>
              <w:pStyle w:val="Listaszerbekezds"/>
              <w:numPr>
                <w:ilvl w:val="0"/>
                <w:numId w:val="21"/>
              </w:numPr>
            </w:pPr>
            <w:r w:rsidRPr="00A54977">
              <w:t xml:space="preserve">Hőszivattyúk beüzemelése gázenergia </w:t>
            </w:r>
            <w:r w:rsidR="00F71544">
              <w:t xml:space="preserve">(és egy esetben villamos energia) </w:t>
            </w:r>
            <w:r w:rsidRPr="00A54977">
              <w:t xml:space="preserve">fűtési ellátás helyett </w:t>
            </w:r>
            <w:r w:rsidR="00F71544" w:rsidRPr="00F71544">
              <w:rPr>
                <w:b/>
                <w:bCs/>
              </w:rPr>
              <w:t>29</w:t>
            </w:r>
            <w:r w:rsidRPr="00F71544">
              <w:rPr>
                <w:b/>
                <w:bCs/>
              </w:rPr>
              <w:t xml:space="preserve"> </w:t>
            </w:r>
            <w:r w:rsidR="00F71544" w:rsidRPr="00F71544">
              <w:rPr>
                <w:b/>
                <w:bCs/>
              </w:rPr>
              <w:t xml:space="preserve">önkormányzati tulajdonú </w:t>
            </w:r>
            <w:r w:rsidRPr="00F71544">
              <w:rPr>
                <w:b/>
                <w:bCs/>
              </w:rPr>
              <w:t>lakóépület</w:t>
            </w:r>
            <w:r w:rsidRPr="00F71544">
              <w:t>ben</w:t>
            </w:r>
          </w:p>
          <w:p w14:paraId="40A73B68" w14:textId="77777777" w:rsidR="00EA145C" w:rsidRPr="00A8341E" w:rsidRDefault="00EA145C" w:rsidP="00EA145C">
            <w:pPr>
              <w:pStyle w:val="Listaszerbekezds"/>
              <w:numPr>
                <w:ilvl w:val="0"/>
                <w:numId w:val="20"/>
              </w:numPr>
            </w:pPr>
            <w:r w:rsidRPr="00A8341E">
              <w:t>A projektelem állapota: Koncepcionális kidolgozottság</w:t>
            </w:r>
          </w:p>
          <w:p w14:paraId="7E66058A" w14:textId="6A9EDA59" w:rsidR="00EA145C" w:rsidRPr="00EA145C" w:rsidRDefault="00EA145C" w:rsidP="00EA145C">
            <w:pPr>
              <w:pStyle w:val="Listaszerbekezds"/>
              <w:numPr>
                <w:ilvl w:val="0"/>
                <w:numId w:val="20"/>
              </w:numPr>
            </w:pPr>
            <w:r w:rsidRPr="00A8341E">
              <w:t>A projektelem fizikai megvalósításának megkezdéséhez szükséges lépések: Pályázati anyagok elkészítése, pályázati források elnyerése, műszaki tervek elkészítése, közbeszerzés lefolytatása.</w:t>
            </w:r>
          </w:p>
          <w:p w14:paraId="5EBDA4CE" w14:textId="69B9A339" w:rsidR="00A8341E" w:rsidRDefault="00A8341E" w:rsidP="009C6CD0">
            <w:pPr>
              <w:pStyle w:val="Listaszerbekezds"/>
              <w:numPr>
                <w:ilvl w:val="0"/>
                <w:numId w:val="21"/>
              </w:numPr>
            </w:pPr>
            <w:r w:rsidRPr="00A8341E">
              <w:t xml:space="preserve">PV napelemek telepítése </w:t>
            </w:r>
            <w:r w:rsidR="00BF3E81" w:rsidRPr="00F71544">
              <w:rPr>
                <w:b/>
                <w:bCs/>
              </w:rPr>
              <w:t>1</w:t>
            </w:r>
            <w:r w:rsidR="00F71544" w:rsidRPr="00F71544">
              <w:rPr>
                <w:b/>
                <w:bCs/>
              </w:rPr>
              <w:t>5 önkormányzati tulajdonú</w:t>
            </w:r>
            <w:r w:rsidRPr="00F71544">
              <w:rPr>
                <w:b/>
                <w:bCs/>
              </w:rPr>
              <w:t xml:space="preserve"> lakóépület</w:t>
            </w:r>
            <w:r w:rsidRPr="00A8341E">
              <w:t xml:space="preserve"> tetőjére</w:t>
            </w:r>
          </w:p>
          <w:p w14:paraId="7E9EBA2F" w14:textId="77777777" w:rsidR="00A8341E" w:rsidRDefault="00A8341E" w:rsidP="009C6CD0">
            <w:pPr>
              <w:pStyle w:val="Listaszerbekezds"/>
              <w:numPr>
                <w:ilvl w:val="0"/>
                <w:numId w:val="20"/>
              </w:numPr>
            </w:pPr>
            <w:r w:rsidRPr="00A8341E">
              <w:t>A projektelem állapota: Koncepcionális kidolgozottság</w:t>
            </w:r>
          </w:p>
          <w:p w14:paraId="21017633" w14:textId="70AF0017" w:rsidR="00A8341E" w:rsidRDefault="00A8341E" w:rsidP="00EA145C">
            <w:pPr>
              <w:pStyle w:val="Listaszerbekezds"/>
              <w:numPr>
                <w:ilvl w:val="0"/>
                <w:numId w:val="20"/>
              </w:numPr>
            </w:pPr>
            <w:r w:rsidRPr="00A8341E">
              <w:t xml:space="preserve">A projektelem fizikai megvalósításának megkezdéséhez szükséges lépések: </w:t>
            </w:r>
            <w:r w:rsidR="00177A41">
              <w:t>P</w:t>
            </w:r>
            <w:r w:rsidRPr="00A8341E">
              <w:t>ályázati anyagok elkészítése, pályázati források elnyerése, igénybejelentés, csatlakozási dokumentáció elkészítése, időjárásfüggő kiserőművekre vonatkozó állami szabályozás módosítása (vagy politikai engedély), energiaközösségek állami szabályozásának részletes kidolgozása (vagy többlépcsős megvalósítás ), műszaki tervek és esetleges szakvélemények elkészítése, a szükséges engedélyek beszerzése, energiaközösségek/együttműködő fogyasztói közösségek alakítása, közbeszerzés</w:t>
            </w:r>
            <w:r>
              <w:t xml:space="preserve"> </w:t>
            </w:r>
            <w:r w:rsidRPr="00A8341E">
              <w:t>lefolytatása.</w:t>
            </w:r>
          </w:p>
          <w:p w14:paraId="556D41DA" w14:textId="20E05C4E" w:rsidR="00F71544" w:rsidRDefault="00F71544" w:rsidP="00F71544">
            <w:r>
              <w:t>________________________________________________________________________________</w:t>
            </w:r>
          </w:p>
          <w:p w14:paraId="48039B50" w14:textId="5123D886" w:rsidR="00EA145C" w:rsidRPr="00A8341E" w:rsidRDefault="00F71544" w:rsidP="00EA145C">
            <w:pPr>
              <w:pStyle w:val="Listaszerbekezds"/>
              <w:numPr>
                <w:ilvl w:val="0"/>
                <w:numId w:val="21"/>
              </w:numPr>
            </w:pPr>
            <w:r w:rsidRPr="00F71544">
              <w:rPr>
                <w:b/>
                <w:bCs/>
              </w:rPr>
              <w:t>120 magántulajdonú</w:t>
            </w:r>
            <w:r w:rsidR="00EA145C" w:rsidRPr="00F71544">
              <w:rPr>
                <w:b/>
                <w:bCs/>
              </w:rPr>
              <w:t xml:space="preserve"> lakóépület</w:t>
            </w:r>
            <w:r w:rsidR="00EA145C" w:rsidRPr="00A8341E">
              <w:t xml:space="preserve"> energiahatékonysági célú komplex </w:t>
            </w:r>
            <w:r w:rsidR="00EA145C">
              <w:t>hőtechnikai</w:t>
            </w:r>
            <w:r w:rsidR="00EA145C" w:rsidRPr="00A8341E">
              <w:t xml:space="preserve"> felújítása</w:t>
            </w:r>
          </w:p>
          <w:p w14:paraId="4D6A2C1F" w14:textId="77777777" w:rsidR="00EA145C" w:rsidRPr="00A8341E" w:rsidRDefault="00EA145C" w:rsidP="00EA145C">
            <w:pPr>
              <w:pStyle w:val="Listaszerbekezds"/>
              <w:numPr>
                <w:ilvl w:val="0"/>
                <w:numId w:val="20"/>
              </w:numPr>
            </w:pPr>
            <w:r w:rsidRPr="00A8341E">
              <w:t>A projektelem állapota: Koncepcionális kidolgozottság</w:t>
            </w:r>
          </w:p>
          <w:p w14:paraId="23DCFBE4" w14:textId="3E6CF0CB" w:rsidR="000A511D" w:rsidRDefault="00EA145C" w:rsidP="00EA145C">
            <w:pPr>
              <w:pStyle w:val="Listaszerbekezds"/>
              <w:numPr>
                <w:ilvl w:val="0"/>
                <w:numId w:val="20"/>
              </w:numPr>
            </w:pPr>
            <w:r w:rsidRPr="00A8341E">
              <w:lastRenderedPageBreak/>
              <w:t xml:space="preserve">A projektelem fizikai megvalósításának megkezdéséhez szükséges lépések: </w:t>
            </w:r>
            <w:r w:rsidR="00177A41" w:rsidRPr="00177A41">
              <w:t>Lakóközösségi döntés megszületése,</w:t>
            </w:r>
            <w:r w:rsidR="00177A41">
              <w:t xml:space="preserve"> p</w:t>
            </w:r>
            <w:r w:rsidRPr="00A8341E">
              <w:t>ályázati anyagok elkészítése, pályázati források elnyerése, műszaki tervek elkészítése, közbeszerzés lefolytatása.</w:t>
            </w:r>
          </w:p>
          <w:p w14:paraId="00DE9597" w14:textId="66229C6C" w:rsidR="00EA145C" w:rsidRPr="00A54977" w:rsidRDefault="00EA145C" w:rsidP="00EA145C">
            <w:pPr>
              <w:pStyle w:val="Listaszerbekezds"/>
              <w:numPr>
                <w:ilvl w:val="0"/>
                <w:numId w:val="21"/>
              </w:numPr>
            </w:pPr>
            <w:r w:rsidRPr="00A54977">
              <w:t xml:space="preserve">Hőszivattyúk beüzemelése gázenergia fűtési ellátás helyett </w:t>
            </w:r>
            <w:r w:rsidR="00361135">
              <w:rPr>
                <w:b/>
              </w:rPr>
              <w:t>120</w:t>
            </w:r>
            <w:r w:rsidR="00F71544" w:rsidRPr="00F71544">
              <w:rPr>
                <w:b/>
                <w:bCs/>
              </w:rPr>
              <w:t xml:space="preserve"> magántulajdonú lakóépület</w:t>
            </w:r>
            <w:r w:rsidR="00F71544">
              <w:t>ben</w:t>
            </w:r>
          </w:p>
          <w:p w14:paraId="761D6E49" w14:textId="77777777" w:rsidR="00EA145C" w:rsidRPr="00A8341E" w:rsidRDefault="00EA145C" w:rsidP="00EA145C">
            <w:pPr>
              <w:pStyle w:val="Listaszerbekezds"/>
              <w:numPr>
                <w:ilvl w:val="0"/>
                <w:numId w:val="20"/>
              </w:numPr>
            </w:pPr>
            <w:r w:rsidRPr="00A8341E">
              <w:t>A projektelem állapota: Koncepcionális kidolgozottság</w:t>
            </w:r>
          </w:p>
          <w:p w14:paraId="0020AECD" w14:textId="1C8789CD" w:rsidR="00EA145C" w:rsidRPr="00EA145C" w:rsidRDefault="00EA145C" w:rsidP="00EA145C">
            <w:pPr>
              <w:pStyle w:val="Listaszerbekezds"/>
              <w:numPr>
                <w:ilvl w:val="0"/>
                <w:numId w:val="20"/>
              </w:numPr>
            </w:pPr>
            <w:r w:rsidRPr="00A8341E">
              <w:t xml:space="preserve">A projektelem fizikai megvalósításának megkezdéséhez szükséges lépések: </w:t>
            </w:r>
            <w:r w:rsidR="00177A41" w:rsidRPr="00177A41">
              <w:t>Lakóközösségi döntés megszületése</w:t>
            </w:r>
            <w:r w:rsidR="00177A41">
              <w:t>, p</w:t>
            </w:r>
            <w:r w:rsidRPr="00A8341E">
              <w:t>ályázati anyagok elkészítése, pályázati források elnyerése, műszaki tervek elkészítése, közbeszerzés lefolytatása.</w:t>
            </w:r>
          </w:p>
          <w:p w14:paraId="6FB83011" w14:textId="5475DF0C" w:rsidR="00BF3E81" w:rsidRDefault="00BF3E81" w:rsidP="00BF3E81">
            <w:pPr>
              <w:pStyle w:val="Listaszerbekezds"/>
              <w:numPr>
                <w:ilvl w:val="0"/>
                <w:numId w:val="21"/>
              </w:numPr>
            </w:pPr>
            <w:r w:rsidRPr="00A8341E">
              <w:t xml:space="preserve">PV napelemek telepítése </w:t>
            </w:r>
            <w:r w:rsidR="00F71544" w:rsidRPr="00F71544">
              <w:rPr>
                <w:b/>
                <w:bCs/>
              </w:rPr>
              <w:t>120 magántulajdonú lakóépület</w:t>
            </w:r>
            <w:r w:rsidRPr="00A8341E">
              <w:t xml:space="preserve"> lakóépület tetőjére</w:t>
            </w:r>
          </w:p>
          <w:p w14:paraId="0818FF01" w14:textId="77777777" w:rsidR="00BF3E81" w:rsidRDefault="00BF3E81" w:rsidP="00BF3E81">
            <w:pPr>
              <w:pStyle w:val="Listaszerbekezds"/>
              <w:numPr>
                <w:ilvl w:val="0"/>
                <w:numId w:val="20"/>
              </w:numPr>
            </w:pPr>
            <w:r w:rsidRPr="00A8341E">
              <w:t>A projektelem állapota: Koncepcionális kidolgozottság</w:t>
            </w:r>
          </w:p>
          <w:p w14:paraId="5BA22593" w14:textId="4E314374" w:rsidR="00BF3E81" w:rsidRPr="00EA145C" w:rsidRDefault="00BF3E81" w:rsidP="00EA145C">
            <w:pPr>
              <w:pStyle w:val="Listaszerbekezds"/>
              <w:numPr>
                <w:ilvl w:val="0"/>
                <w:numId w:val="20"/>
              </w:numPr>
            </w:pPr>
            <w:r w:rsidRPr="00A8341E">
              <w:t>A projektelem fizikai megvalósításának megkezdéséhez szükséges lépések: Lakóközösségi döntés megszületése, pályázati anyagok elkészítése, pályázati források elnyerése, igénybejelentés, csatlakozási dokumentáció elkészítése, időjárásfüggő kiserőművekre vonatkozó állami szabályozás módosítása (vagy politikai engedély), energiaközösségek állami szabályozásának részletes kidolgozása (vagy többlépcsős megvalósítás ), műszaki tervek és esetleges szakvélemények elkészítése, a szükséges engedélyek beszerzése, energiaközösségek/együttműködő fogyasztói közösségek alakítása, közbeszerzés</w:t>
            </w:r>
            <w:r>
              <w:t xml:space="preserve"> </w:t>
            </w:r>
            <w:r w:rsidRPr="00A8341E">
              <w:t>lefolytatása.</w:t>
            </w:r>
          </w:p>
        </w:tc>
      </w:tr>
    </w:tbl>
    <w:p w14:paraId="71B75612" w14:textId="2832F995" w:rsidR="000A511D" w:rsidRDefault="000A511D" w:rsidP="000A511D">
      <w:r>
        <w:lastRenderedPageBreak/>
        <w:br w:type="page"/>
      </w:r>
    </w:p>
    <w:p w14:paraId="0D54E501" w14:textId="77777777" w:rsidR="002B3FB3" w:rsidRDefault="002B3FB3">
      <w:pPr>
        <w:jc w:val="left"/>
        <w:sectPr w:rsidR="002B3FB3" w:rsidSect="001C71F4">
          <w:headerReference w:type="first" r:id="rId26"/>
          <w:pgSz w:w="11906" w:h="16838"/>
          <w:pgMar w:top="1417" w:right="1417" w:bottom="1417" w:left="1417" w:header="708" w:footer="708" w:gutter="0"/>
          <w:cols w:space="708"/>
          <w:titlePg/>
          <w:docGrid w:linePitch="360"/>
        </w:sectPr>
      </w:pPr>
    </w:p>
    <w:p w14:paraId="52807984" w14:textId="25C2A34F" w:rsidR="002B3FB3" w:rsidRDefault="002B3FB3">
      <w:pPr>
        <w:jc w:val="left"/>
      </w:pPr>
    </w:p>
    <w:p w14:paraId="36FFC5D2" w14:textId="06C7809A" w:rsidR="002B3FB3" w:rsidRPr="003C0979" w:rsidRDefault="002B3FB3" w:rsidP="003C0979">
      <w:pPr>
        <w:rPr>
          <w:b/>
          <w:bCs/>
        </w:rPr>
      </w:pPr>
      <w:r w:rsidRPr="003C0979">
        <w:rPr>
          <w:b/>
          <w:bCs/>
        </w:rPr>
        <w:t>B Táblázat – 5.2 Munkaterv</w:t>
      </w:r>
      <w:r w:rsidR="001E69E5" w:rsidRPr="003C0979">
        <w:rPr>
          <w:rStyle w:val="Lbjegyzet-hivatkozs"/>
          <w:b/>
          <w:bCs/>
        </w:rPr>
        <w:footnoteReference w:id="54"/>
      </w:r>
    </w:p>
    <w:tbl>
      <w:tblPr>
        <w:tblStyle w:val="Rcsostblzat"/>
        <w:tblW w:w="0" w:type="auto"/>
        <w:tblLook w:val="04A0" w:firstRow="1" w:lastRow="0" w:firstColumn="1" w:lastColumn="0" w:noHBand="0" w:noVBand="1"/>
      </w:tblPr>
      <w:tblGrid>
        <w:gridCol w:w="368"/>
        <w:gridCol w:w="3204"/>
        <w:gridCol w:w="3673"/>
        <w:gridCol w:w="1413"/>
        <w:gridCol w:w="1361"/>
        <w:gridCol w:w="2315"/>
        <w:gridCol w:w="1658"/>
      </w:tblGrid>
      <w:tr w:rsidR="002B3FB3" w:rsidRPr="00AD3319" w14:paraId="0DF6CC7A" w14:textId="77777777" w:rsidTr="000E58FA">
        <w:tc>
          <w:tcPr>
            <w:tcW w:w="368" w:type="dxa"/>
            <w:shd w:val="clear" w:color="auto" w:fill="BDD6EE" w:themeFill="accent5" w:themeFillTint="66"/>
            <w:vAlign w:val="center"/>
          </w:tcPr>
          <w:p w14:paraId="2FB7E682" w14:textId="4C437925" w:rsidR="002B3FB3" w:rsidRPr="00AD3319" w:rsidRDefault="002B3FB3" w:rsidP="002B3FB3">
            <w:pPr>
              <w:jc w:val="center"/>
              <w:rPr>
                <w:b/>
                <w:bCs/>
                <w:sz w:val="20"/>
                <w:szCs w:val="20"/>
              </w:rPr>
            </w:pPr>
            <w:r w:rsidRPr="00AD3319">
              <w:rPr>
                <w:b/>
                <w:bCs/>
                <w:sz w:val="20"/>
                <w:szCs w:val="20"/>
              </w:rPr>
              <w:t>#</w:t>
            </w:r>
          </w:p>
        </w:tc>
        <w:tc>
          <w:tcPr>
            <w:tcW w:w="3204" w:type="dxa"/>
            <w:shd w:val="clear" w:color="auto" w:fill="BDD6EE" w:themeFill="accent5" w:themeFillTint="66"/>
            <w:vAlign w:val="center"/>
          </w:tcPr>
          <w:p w14:paraId="3D12E6BD" w14:textId="070F8280" w:rsidR="002B3FB3" w:rsidRPr="00AD3319" w:rsidRDefault="002B3FB3" w:rsidP="002B3FB3">
            <w:pPr>
              <w:jc w:val="center"/>
              <w:rPr>
                <w:b/>
                <w:bCs/>
                <w:sz w:val="20"/>
                <w:szCs w:val="20"/>
              </w:rPr>
            </w:pPr>
            <w:r w:rsidRPr="00AD3319">
              <w:rPr>
                <w:b/>
                <w:bCs/>
                <w:sz w:val="20"/>
                <w:szCs w:val="20"/>
              </w:rPr>
              <w:t>Beruházási lépés</w:t>
            </w:r>
          </w:p>
        </w:tc>
        <w:tc>
          <w:tcPr>
            <w:tcW w:w="3673" w:type="dxa"/>
            <w:shd w:val="clear" w:color="auto" w:fill="BDD6EE" w:themeFill="accent5" w:themeFillTint="66"/>
            <w:vAlign w:val="center"/>
          </w:tcPr>
          <w:p w14:paraId="192AAE83" w14:textId="790E1F6B" w:rsidR="002B3FB3" w:rsidRPr="00AD3319" w:rsidRDefault="002B3FB3" w:rsidP="00E13C39">
            <w:pPr>
              <w:jc w:val="center"/>
              <w:rPr>
                <w:b/>
                <w:bCs/>
                <w:sz w:val="20"/>
                <w:szCs w:val="20"/>
              </w:rPr>
            </w:pPr>
            <w:r w:rsidRPr="00AD3319">
              <w:rPr>
                <w:b/>
                <w:bCs/>
                <w:sz w:val="20"/>
                <w:szCs w:val="20"/>
              </w:rPr>
              <w:t>A beruházási lépés ismertetése</w:t>
            </w:r>
          </w:p>
        </w:tc>
        <w:tc>
          <w:tcPr>
            <w:tcW w:w="1413" w:type="dxa"/>
            <w:shd w:val="clear" w:color="auto" w:fill="BDD6EE" w:themeFill="accent5" w:themeFillTint="66"/>
            <w:vAlign w:val="center"/>
          </w:tcPr>
          <w:p w14:paraId="1575A6DE" w14:textId="2DD8518B" w:rsidR="002B3FB3" w:rsidRPr="000E58FA" w:rsidRDefault="002B3FB3" w:rsidP="000E58FA">
            <w:pPr>
              <w:jc w:val="center"/>
              <w:rPr>
                <w:b/>
                <w:bCs/>
                <w:sz w:val="20"/>
                <w:szCs w:val="20"/>
              </w:rPr>
            </w:pPr>
            <w:r w:rsidRPr="000E58FA">
              <w:rPr>
                <w:b/>
                <w:bCs/>
                <w:sz w:val="20"/>
                <w:szCs w:val="20"/>
              </w:rPr>
              <w:t>A kezdés várható ideje</w:t>
            </w:r>
          </w:p>
        </w:tc>
        <w:tc>
          <w:tcPr>
            <w:tcW w:w="1361" w:type="dxa"/>
            <w:shd w:val="clear" w:color="auto" w:fill="BDD6EE" w:themeFill="accent5" w:themeFillTint="66"/>
            <w:vAlign w:val="center"/>
          </w:tcPr>
          <w:p w14:paraId="5D8F4CDE" w14:textId="5EBD1D22" w:rsidR="002B3FB3" w:rsidRPr="000E58FA" w:rsidRDefault="002B3FB3" w:rsidP="000E58FA">
            <w:pPr>
              <w:jc w:val="center"/>
              <w:rPr>
                <w:b/>
                <w:bCs/>
                <w:sz w:val="20"/>
                <w:szCs w:val="20"/>
              </w:rPr>
            </w:pPr>
            <w:r w:rsidRPr="000E58FA">
              <w:rPr>
                <w:b/>
                <w:bCs/>
                <w:sz w:val="20"/>
                <w:szCs w:val="20"/>
              </w:rPr>
              <w:t>A befejezés várható ideje</w:t>
            </w:r>
          </w:p>
        </w:tc>
        <w:tc>
          <w:tcPr>
            <w:tcW w:w="2315" w:type="dxa"/>
            <w:shd w:val="clear" w:color="auto" w:fill="BDD6EE" w:themeFill="accent5" w:themeFillTint="66"/>
            <w:vAlign w:val="center"/>
          </w:tcPr>
          <w:p w14:paraId="5D84BFA8" w14:textId="181380D0" w:rsidR="002B3FB3" w:rsidRPr="00AD3319" w:rsidRDefault="002B3FB3" w:rsidP="002B3FB3">
            <w:pPr>
              <w:jc w:val="center"/>
              <w:rPr>
                <w:b/>
                <w:bCs/>
                <w:sz w:val="20"/>
                <w:szCs w:val="20"/>
              </w:rPr>
            </w:pPr>
            <w:r w:rsidRPr="00AD3319">
              <w:rPr>
                <w:b/>
                <w:bCs/>
                <w:sz w:val="20"/>
                <w:szCs w:val="20"/>
              </w:rPr>
              <w:t>Fő eredmények</w:t>
            </w:r>
          </w:p>
        </w:tc>
        <w:tc>
          <w:tcPr>
            <w:tcW w:w="1658" w:type="dxa"/>
            <w:shd w:val="clear" w:color="auto" w:fill="BDD6EE" w:themeFill="accent5" w:themeFillTint="66"/>
            <w:vAlign w:val="center"/>
          </w:tcPr>
          <w:p w14:paraId="48B97629" w14:textId="538B6AC4" w:rsidR="002B3FB3" w:rsidRPr="00AD3319" w:rsidRDefault="002B3FB3" w:rsidP="002B3FB3">
            <w:pPr>
              <w:jc w:val="center"/>
              <w:rPr>
                <w:b/>
                <w:bCs/>
                <w:sz w:val="20"/>
                <w:szCs w:val="20"/>
              </w:rPr>
            </w:pPr>
            <w:r w:rsidRPr="00AD3319">
              <w:rPr>
                <w:b/>
                <w:bCs/>
                <w:sz w:val="20"/>
                <w:szCs w:val="20"/>
              </w:rPr>
              <w:t>Felelős</w:t>
            </w:r>
          </w:p>
        </w:tc>
      </w:tr>
      <w:tr w:rsidR="00842AC4" w:rsidRPr="00AD3319" w14:paraId="651A53D7" w14:textId="77777777" w:rsidTr="00391711">
        <w:tc>
          <w:tcPr>
            <w:tcW w:w="368" w:type="dxa"/>
            <w:vMerge w:val="restart"/>
            <w:shd w:val="clear" w:color="auto" w:fill="BDD6EE" w:themeFill="accent5" w:themeFillTint="66"/>
            <w:vAlign w:val="center"/>
          </w:tcPr>
          <w:p w14:paraId="500F2608" w14:textId="7CDB91E1" w:rsidR="00842AC4" w:rsidRPr="00AD3319" w:rsidRDefault="00842AC4" w:rsidP="0025236D">
            <w:pPr>
              <w:rPr>
                <w:sz w:val="20"/>
                <w:szCs w:val="20"/>
              </w:rPr>
            </w:pPr>
            <w:r w:rsidRPr="00AD3319">
              <w:rPr>
                <w:sz w:val="20"/>
                <w:szCs w:val="20"/>
              </w:rPr>
              <w:t>1.</w:t>
            </w:r>
          </w:p>
        </w:tc>
        <w:tc>
          <w:tcPr>
            <w:tcW w:w="3204" w:type="dxa"/>
            <w:vMerge w:val="restart"/>
            <w:vAlign w:val="center"/>
          </w:tcPr>
          <w:p w14:paraId="7032E635" w14:textId="266223B1" w:rsidR="00842AC4" w:rsidRPr="00AD3319" w:rsidRDefault="00F71544" w:rsidP="00E13C39">
            <w:pPr>
              <w:jc w:val="left"/>
              <w:rPr>
                <w:sz w:val="20"/>
                <w:szCs w:val="20"/>
              </w:rPr>
            </w:pPr>
            <w:r>
              <w:rPr>
                <w:sz w:val="20"/>
                <w:szCs w:val="20"/>
              </w:rPr>
              <w:t>29</w:t>
            </w:r>
            <w:r w:rsidR="00F30716">
              <w:rPr>
                <w:sz w:val="20"/>
                <w:szCs w:val="20"/>
              </w:rPr>
              <w:t xml:space="preserve"> önkormányzati tulajdonú</w:t>
            </w:r>
            <w:r w:rsidR="00842AC4" w:rsidRPr="00AD3319">
              <w:rPr>
                <w:sz w:val="20"/>
                <w:szCs w:val="20"/>
              </w:rPr>
              <w:t xml:space="preserve"> lakóépület energiahatékonysági célú komplex hőtechnikai felújítása</w:t>
            </w:r>
          </w:p>
        </w:tc>
        <w:tc>
          <w:tcPr>
            <w:tcW w:w="3673" w:type="dxa"/>
          </w:tcPr>
          <w:p w14:paraId="1584511C" w14:textId="77777777" w:rsidR="00842AC4" w:rsidRPr="00AD3319" w:rsidRDefault="00842AC4" w:rsidP="00E13C39">
            <w:pPr>
              <w:jc w:val="left"/>
              <w:rPr>
                <w:b/>
                <w:bCs/>
                <w:sz w:val="20"/>
                <w:szCs w:val="20"/>
                <w:lang w:val="hu-HU"/>
              </w:rPr>
            </w:pPr>
            <w:r w:rsidRPr="00AD3319">
              <w:rPr>
                <w:b/>
                <w:bCs/>
                <w:sz w:val="20"/>
                <w:szCs w:val="20"/>
                <w:lang w:val="hu-HU"/>
              </w:rPr>
              <w:t>Pályázat előkészítése, beküldése és elbírálása</w:t>
            </w:r>
          </w:p>
          <w:p w14:paraId="6BB66F45" w14:textId="33893E76" w:rsidR="00842AC4" w:rsidRPr="00AD3319" w:rsidRDefault="00842AC4" w:rsidP="00E13C39">
            <w:pPr>
              <w:jc w:val="left"/>
              <w:rPr>
                <w:sz w:val="20"/>
                <w:szCs w:val="20"/>
              </w:rPr>
            </w:pPr>
            <w:r w:rsidRPr="00AD3319">
              <w:rPr>
                <w:sz w:val="20"/>
                <w:szCs w:val="20"/>
                <w:lang w:val="hu-HU"/>
              </w:rPr>
              <w:t>Lakóközösségi döntés a komplex felújításról. Pályázati konstrukciókra támogatási kérelem előkészítése. A pályázat kereteinek megismertetése az érintettekkel, a pályázati anyag összeállításához szükséges információk beszerzése az érintettektől, a projekttel kapcsolatos észrevételeik, szükségleteik beépítése a pályázati anyagba. A pályázati dokumentáció benyújtása. A támogatási kérelem bírálati eredményeinek megismerése.</w:t>
            </w:r>
          </w:p>
        </w:tc>
        <w:tc>
          <w:tcPr>
            <w:tcW w:w="1413" w:type="dxa"/>
            <w:vAlign w:val="center"/>
          </w:tcPr>
          <w:p w14:paraId="50D7992F" w14:textId="6B48E1C7" w:rsidR="00842AC4" w:rsidRPr="000E58FA" w:rsidRDefault="001003BD" w:rsidP="000E58FA">
            <w:pPr>
              <w:jc w:val="center"/>
              <w:rPr>
                <w:sz w:val="20"/>
                <w:szCs w:val="20"/>
              </w:rPr>
            </w:pPr>
            <w:r w:rsidRPr="000E58FA">
              <w:rPr>
                <w:sz w:val="20"/>
                <w:szCs w:val="20"/>
              </w:rPr>
              <w:t>2024.01.01.</w:t>
            </w:r>
          </w:p>
        </w:tc>
        <w:tc>
          <w:tcPr>
            <w:tcW w:w="1361" w:type="dxa"/>
            <w:vAlign w:val="center"/>
          </w:tcPr>
          <w:p w14:paraId="7A1C884C" w14:textId="5B7F96C3" w:rsidR="00842AC4" w:rsidRPr="000E58FA" w:rsidRDefault="001003BD" w:rsidP="000E58FA">
            <w:pPr>
              <w:jc w:val="center"/>
              <w:rPr>
                <w:sz w:val="20"/>
                <w:szCs w:val="20"/>
              </w:rPr>
            </w:pPr>
            <w:r w:rsidRPr="000E58FA">
              <w:rPr>
                <w:sz w:val="20"/>
                <w:szCs w:val="20"/>
              </w:rPr>
              <w:t>2024.10.01.</w:t>
            </w:r>
          </w:p>
        </w:tc>
        <w:tc>
          <w:tcPr>
            <w:tcW w:w="2315" w:type="dxa"/>
            <w:vMerge w:val="restart"/>
            <w:vAlign w:val="center"/>
          </w:tcPr>
          <w:p w14:paraId="58DBE8A5" w14:textId="5DDBD21B" w:rsidR="00842AC4" w:rsidRDefault="00DC7397" w:rsidP="00BE2A0D">
            <w:pPr>
              <w:jc w:val="left"/>
              <w:rPr>
                <w:sz w:val="20"/>
                <w:szCs w:val="20"/>
              </w:rPr>
            </w:pPr>
            <w:r w:rsidRPr="00DC7397">
              <w:rPr>
                <w:sz w:val="20"/>
                <w:szCs w:val="20"/>
              </w:rPr>
              <w:t xml:space="preserve">A kijelölt </w:t>
            </w:r>
            <w:r w:rsidR="00F71544">
              <w:rPr>
                <w:sz w:val="20"/>
                <w:szCs w:val="20"/>
              </w:rPr>
              <w:t>29</w:t>
            </w:r>
            <w:r w:rsidRPr="00DC7397">
              <w:rPr>
                <w:sz w:val="20"/>
                <w:szCs w:val="20"/>
              </w:rPr>
              <w:t xml:space="preserve"> lakóépület </w:t>
            </w:r>
            <w:r>
              <w:rPr>
                <w:sz w:val="20"/>
                <w:szCs w:val="20"/>
              </w:rPr>
              <w:t>hőtechnikai</w:t>
            </w:r>
            <w:r w:rsidRPr="00DC7397">
              <w:rPr>
                <w:sz w:val="20"/>
                <w:szCs w:val="20"/>
              </w:rPr>
              <w:t xml:space="preserve"> felújításának megvalósulása.</w:t>
            </w:r>
          </w:p>
          <w:p w14:paraId="198C19A6" w14:textId="07294B49" w:rsidR="00DC7397" w:rsidRPr="00DC7397" w:rsidRDefault="00DC7397" w:rsidP="00BE2A0D">
            <w:pPr>
              <w:jc w:val="left"/>
              <w:rPr>
                <w:sz w:val="20"/>
                <w:szCs w:val="20"/>
              </w:rPr>
            </w:pPr>
            <w:r w:rsidRPr="00DC7397">
              <w:rPr>
                <w:sz w:val="20"/>
                <w:szCs w:val="20"/>
              </w:rPr>
              <w:t>Összes éves fűtési hőigény csökkenés, ƩΔQ</w:t>
            </w:r>
            <w:r w:rsidRPr="00DC7397">
              <w:rPr>
                <w:sz w:val="20"/>
                <w:szCs w:val="20"/>
                <w:vertAlign w:val="subscript"/>
              </w:rPr>
              <w:t>F</w:t>
            </w:r>
            <w:r>
              <w:rPr>
                <w:sz w:val="20"/>
                <w:szCs w:val="20"/>
              </w:rPr>
              <w:t>:</w:t>
            </w:r>
            <w:r w:rsidR="00BE2A0D">
              <w:rPr>
                <w:sz w:val="20"/>
                <w:szCs w:val="20"/>
              </w:rPr>
              <w:t xml:space="preserve"> </w:t>
            </w:r>
            <w:r w:rsidR="00F71544">
              <w:rPr>
                <w:sz w:val="20"/>
                <w:szCs w:val="20"/>
              </w:rPr>
              <w:t>3.843</w:t>
            </w:r>
            <w:r w:rsidRPr="00DC7397">
              <w:rPr>
                <w:sz w:val="20"/>
                <w:szCs w:val="20"/>
              </w:rPr>
              <w:t xml:space="preserve"> MWh/év</w:t>
            </w:r>
          </w:p>
          <w:p w14:paraId="33A5BEDA" w14:textId="79F64AD2" w:rsidR="00DC7397" w:rsidRPr="00AD3319" w:rsidRDefault="00DC7397" w:rsidP="00BE2A0D">
            <w:pPr>
              <w:jc w:val="left"/>
              <w:rPr>
                <w:sz w:val="20"/>
                <w:szCs w:val="20"/>
              </w:rPr>
            </w:pPr>
            <w:r w:rsidRPr="00DC7397">
              <w:rPr>
                <w:sz w:val="20"/>
                <w:szCs w:val="20"/>
              </w:rPr>
              <w:t>Összes éves kibocsátás csökkenés: 1.</w:t>
            </w:r>
            <w:r w:rsidR="00F71544">
              <w:rPr>
                <w:sz w:val="20"/>
                <w:szCs w:val="20"/>
              </w:rPr>
              <w:t>014</w:t>
            </w:r>
            <w:r w:rsidRPr="00DC7397">
              <w:rPr>
                <w:sz w:val="20"/>
                <w:szCs w:val="20"/>
              </w:rPr>
              <w:t xml:space="preserve"> tonna CO</w:t>
            </w:r>
            <w:r w:rsidRPr="00DC7397">
              <w:rPr>
                <w:sz w:val="20"/>
                <w:szCs w:val="20"/>
                <w:vertAlign w:val="subscript"/>
              </w:rPr>
              <w:t>2ekvivalens</w:t>
            </w:r>
            <w:r w:rsidRPr="00DC7397">
              <w:rPr>
                <w:sz w:val="20"/>
                <w:szCs w:val="20"/>
              </w:rPr>
              <w:t>/év</w:t>
            </w:r>
          </w:p>
        </w:tc>
        <w:tc>
          <w:tcPr>
            <w:tcW w:w="1658" w:type="dxa"/>
            <w:vMerge w:val="restart"/>
            <w:vAlign w:val="center"/>
          </w:tcPr>
          <w:p w14:paraId="789772C1" w14:textId="01B93892" w:rsidR="00842AC4" w:rsidRPr="00AD3319" w:rsidRDefault="00842AC4" w:rsidP="00842AC4">
            <w:pPr>
              <w:jc w:val="center"/>
              <w:rPr>
                <w:sz w:val="20"/>
                <w:szCs w:val="20"/>
              </w:rPr>
            </w:pPr>
            <w:r w:rsidRPr="00842AC4">
              <w:rPr>
                <w:sz w:val="20"/>
                <w:szCs w:val="20"/>
              </w:rPr>
              <w:t>Budapest Főváros VII. kerület Erzsébetváros Önkormányzata</w:t>
            </w:r>
          </w:p>
        </w:tc>
      </w:tr>
      <w:tr w:rsidR="00842AC4" w:rsidRPr="00AD3319" w14:paraId="065EF768" w14:textId="77777777" w:rsidTr="00391711">
        <w:tc>
          <w:tcPr>
            <w:tcW w:w="368" w:type="dxa"/>
            <w:vMerge/>
            <w:shd w:val="clear" w:color="auto" w:fill="BDD6EE" w:themeFill="accent5" w:themeFillTint="66"/>
            <w:vAlign w:val="center"/>
          </w:tcPr>
          <w:p w14:paraId="3E0F5784" w14:textId="77777777" w:rsidR="00842AC4" w:rsidRPr="00AD3319" w:rsidRDefault="00842AC4" w:rsidP="0025236D">
            <w:pPr>
              <w:rPr>
                <w:sz w:val="20"/>
                <w:szCs w:val="20"/>
              </w:rPr>
            </w:pPr>
          </w:p>
        </w:tc>
        <w:tc>
          <w:tcPr>
            <w:tcW w:w="3204" w:type="dxa"/>
            <w:vMerge/>
            <w:vAlign w:val="center"/>
          </w:tcPr>
          <w:p w14:paraId="6D9D38D2" w14:textId="77777777" w:rsidR="00842AC4" w:rsidRPr="00AD3319" w:rsidRDefault="00842AC4" w:rsidP="00E13C39">
            <w:pPr>
              <w:jc w:val="left"/>
              <w:rPr>
                <w:sz w:val="20"/>
                <w:szCs w:val="20"/>
              </w:rPr>
            </w:pPr>
          </w:p>
        </w:tc>
        <w:tc>
          <w:tcPr>
            <w:tcW w:w="3673" w:type="dxa"/>
          </w:tcPr>
          <w:p w14:paraId="790B188A" w14:textId="77777777" w:rsidR="00842AC4" w:rsidRPr="00AD3319" w:rsidRDefault="00842AC4" w:rsidP="00E13C39">
            <w:pPr>
              <w:jc w:val="left"/>
              <w:rPr>
                <w:b/>
                <w:bCs/>
                <w:sz w:val="20"/>
                <w:szCs w:val="20"/>
                <w:lang w:val="hu-HU"/>
              </w:rPr>
            </w:pPr>
            <w:r w:rsidRPr="00AD3319">
              <w:rPr>
                <w:b/>
                <w:bCs/>
                <w:sz w:val="20"/>
                <w:szCs w:val="20"/>
                <w:lang w:val="hu-HU"/>
              </w:rPr>
              <w:t>Beszerzés lebonyolítása a műszaki tervezésre</w:t>
            </w:r>
          </w:p>
          <w:p w14:paraId="4399B046" w14:textId="39B95541" w:rsidR="00842AC4" w:rsidRPr="00AD3319" w:rsidRDefault="00842AC4" w:rsidP="00E13C39">
            <w:pPr>
              <w:jc w:val="left"/>
              <w:rPr>
                <w:sz w:val="20"/>
                <w:szCs w:val="20"/>
              </w:rPr>
            </w:pPr>
            <w:r w:rsidRPr="00AD3319">
              <w:rPr>
                <w:sz w:val="20"/>
                <w:szCs w:val="20"/>
                <w:lang w:val="hu-HU"/>
              </w:rPr>
              <w:t>A sikeres pályázati anyag alapján beszerzés lebonyolítása a műszaki tervezésre.</w:t>
            </w:r>
          </w:p>
        </w:tc>
        <w:tc>
          <w:tcPr>
            <w:tcW w:w="1413" w:type="dxa"/>
            <w:vAlign w:val="center"/>
          </w:tcPr>
          <w:p w14:paraId="7A0C3B21" w14:textId="276CECDA" w:rsidR="00842AC4" w:rsidRPr="000E58FA" w:rsidRDefault="001003BD" w:rsidP="000E58FA">
            <w:pPr>
              <w:jc w:val="center"/>
              <w:rPr>
                <w:sz w:val="20"/>
                <w:szCs w:val="20"/>
              </w:rPr>
            </w:pPr>
            <w:r w:rsidRPr="000E58FA">
              <w:rPr>
                <w:sz w:val="20"/>
                <w:szCs w:val="20"/>
              </w:rPr>
              <w:t>2024.10.01.</w:t>
            </w:r>
          </w:p>
        </w:tc>
        <w:tc>
          <w:tcPr>
            <w:tcW w:w="1361" w:type="dxa"/>
            <w:vAlign w:val="center"/>
          </w:tcPr>
          <w:p w14:paraId="424548B0" w14:textId="76D62DB0" w:rsidR="00842AC4" w:rsidRPr="000E58FA" w:rsidRDefault="001003BD" w:rsidP="000E58FA">
            <w:pPr>
              <w:jc w:val="center"/>
              <w:rPr>
                <w:sz w:val="20"/>
                <w:szCs w:val="20"/>
              </w:rPr>
            </w:pPr>
            <w:r w:rsidRPr="000E58FA">
              <w:rPr>
                <w:sz w:val="20"/>
                <w:szCs w:val="20"/>
              </w:rPr>
              <w:t>2024.12.01.</w:t>
            </w:r>
          </w:p>
        </w:tc>
        <w:tc>
          <w:tcPr>
            <w:tcW w:w="2315" w:type="dxa"/>
            <w:vMerge/>
          </w:tcPr>
          <w:p w14:paraId="770270C2" w14:textId="77777777" w:rsidR="00842AC4" w:rsidRPr="00AD3319" w:rsidRDefault="00842AC4" w:rsidP="00E13C39">
            <w:pPr>
              <w:jc w:val="left"/>
              <w:rPr>
                <w:sz w:val="20"/>
                <w:szCs w:val="20"/>
              </w:rPr>
            </w:pPr>
          </w:p>
        </w:tc>
        <w:tc>
          <w:tcPr>
            <w:tcW w:w="1658" w:type="dxa"/>
            <w:vMerge/>
          </w:tcPr>
          <w:p w14:paraId="33ACC71A" w14:textId="77777777" w:rsidR="00842AC4" w:rsidRPr="00AD3319" w:rsidRDefault="00842AC4" w:rsidP="00E13C39">
            <w:pPr>
              <w:jc w:val="left"/>
              <w:rPr>
                <w:sz w:val="20"/>
                <w:szCs w:val="20"/>
              </w:rPr>
            </w:pPr>
          </w:p>
        </w:tc>
      </w:tr>
      <w:tr w:rsidR="00842AC4" w:rsidRPr="00AD3319" w14:paraId="0F6C9F49" w14:textId="77777777" w:rsidTr="00391711">
        <w:tc>
          <w:tcPr>
            <w:tcW w:w="368" w:type="dxa"/>
            <w:vMerge/>
            <w:shd w:val="clear" w:color="auto" w:fill="BDD6EE" w:themeFill="accent5" w:themeFillTint="66"/>
            <w:vAlign w:val="center"/>
          </w:tcPr>
          <w:p w14:paraId="044604C9" w14:textId="77777777" w:rsidR="00842AC4" w:rsidRPr="00AD3319" w:rsidRDefault="00842AC4" w:rsidP="0025236D">
            <w:pPr>
              <w:rPr>
                <w:sz w:val="20"/>
                <w:szCs w:val="20"/>
              </w:rPr>
            </w:pPr>
          </w:p>
        </w:tc>
        <w:tc>
          <w:tcPr>
            <w:tcW w:w="3204" w:type="dxa"/>
            <w:vMerge/>
            <w:vAlign w:val="center"/>
          </w:tcPr>
          <w:p w14:paraId="0D3248BF" w14:textId="77777777" w:rsidR="00842AC4" w:rsidRPr="00AD3319" w:rsidRDefault="00842AC4" w:rsidP="00E13C39">
            <w:pPr>
              <w:jc w:val="left"/>
              <w:rPr>
                <w:sz w:val="20"/>
                <w:szCs w:val="20"/>
              </w:rPr>
            </w:pPr>
          </w:p>
        </w:tc>
        <w:tc>
          <w:tcPr>
            <w:tcW w:w="3673" w:type="dxa"/>
          </w:tcPr>
          <w:p w14:paraId="1608607A" w14:textId="77777777" w:rsidR="00842AC4" w:rsidRPr="00AD3319" w:rsidRDefault="00842AC4" w:rsidP="00E13C39">
            <w:pPr>
              <w:jc w:val="left"/>
              <w:rPr>
                <w:b/>
                <w:bCs/>
                <w:sz w:val="20"/>
                <w:szCs w:val="20"/>
                <w:lang w:val="hu-HU"/>
              </w:rPr>
            </w:pPr>
            <w:r w:rsidRPr="00AD3319">
              <w:rPr>
                <w:b/>
                <w:bCs/>
                <w:sz w:val="20"/>
                <w:szCs w:val="20"/>
                <w:lang w:val="hu-HU"/>
              </w:rPr>
              <w:t>Műszaki tervezés</w:t>
            </w:r>
          </w:p>
          <w:p w14:paraId="5D1D83ED" w14:textId="5A69F532" w:rsidR="00842AC4" w:rsidRPr="00AD3319" w:rsidRDefault="00842AC4" w:rsidP="00E13C39">
            <w:pPr>
              <w:jc w:val="left"/>
              <w:rPr>
                <w:sz w:val="20"/>
                <w:szCs w:val="20"/>
              </w:rPr>
            </w:pPr>
            <w:r w:rsidRPr="00AD3319">
              <w:rPr>
                <w:sz w:val="20"/>
                <w:szCs w:val="20"/>
                <w:lang w:val="hu-HU"/>
              </w:rPr>
              <w:t xml:space="preserve">A beszerzés nyertesének megbízása a műszaki tervek elkészítésére. A műszaki tervezés koncepciójának egyeztetése az </w:t>
            </w:r>
            <w:r w:rsidRPr="00AD3319">
              <w:rPr>
                <w:sz w:val="20"/>
                <w:szCs w:val="20"/>
                <w:lang w:val="hu-HU"/>
              </w:rPr>
              <w:lastRenderedPageBreak/>
              <w:t>érintettekkel, majd a műszaki tervezés véglegesítése.</w:t>
            </w:r>
          </w:p>
        </w:tc>
        <w:tc>
          <w:tcPr>
            <w:tcW w:w="1413" w:type="dxa"/>
            <w:vAlign w:val="center"/>
          </w:tcPr>
          <w:p w14:paraId="505B124F" w14:textId="265F4479" w:rsidR="00842AC4" w:rsidRPr="000E58FA" w:rsidRDefault="001003BD" w:rsidP="000E58FA">
            <w:pPr>
              <w:jc w:val="center"/>
              <w:rPr>
                <w:sz w:val="20"/>
                <w:szCs w:val="20"/>
              </w:rPr>
            </w:pPr>
            <w:r w:rsidRPr="000E58FA">
              <w:rPr>
                <w:sz w:val="20"/>
                <w:szCs w:val="20"/>
              </w:rPr>
              <w:lastRenderedPageBreak/>
              <w:t>2024.12.01.</w:t>
            </w:r>
          </w:p>
        </w:tc>
        <w:tc>
          <w:tcPr>
            <w:tcW w:w="1361" w:type="dxa"/>
            <w:vAlign w:val="center"/>
          </w:tcPr>
          <w:p w14:paraId="50DA3A2A" w14:textId="2F4BE046" w:rsidR="00842AC4" w:rsidRPr="000E58FA" w:rsidRDefault="001003BD" w:rsidP="000E58FA">
            <w:pPr>
              <w:jc w:val="center"/>
              <w:rPr>
                <w:sz w:val="20"/>
                <w:szCs w:val="20"/>
              </w:rPr>
            </w:pPr>
            <w:r w:rsidRPr="000E58FA">
              <w:rPr>
                <w:sz w:val="20"/>
                <w:szCs w:val="20"/>
              </w:rPr>
              <w:t>2025.05.01.</w:t>
            </w:r>
          </w:p>
        </w:tc>
        <w:tc>
          <w:tcPr>
            <w:tcW w:w="2315" w:type="dxa"/>
            <w:vMerge/>
          </w:tcPr>
          <w:p w14:paraId="5EF63273" w14:textId="77777777" w:rsidR="00842AC4" w:rsidRPr="00AD3319" w:rsidRDefault="00842AC4" w:rsidP="00E13C39">
            <w:pPr>
              <w:jc w:val="left"/>
              <w:rPr>
                <w:sz w:val="20"/>
                <w:szCs w:val="20"/>
              </w:rPr>
            </w:pPr>
          </w:p>
        </w:tc>
        <w:tc>
          <w:tcPr>
            <w:tcW w:w="1658" w:type="dxa"/>
            <w:vMerge/>
          </w:tcPr>
          <w:p w14:paraId="25FA53C6" w14:textId="77777777" w:rsidR="00842AC4" w:rsidRPr="00AD3319" w:rsidRDefault="00842AC4" w:rsidP="00E13C39">
            <w:pPr>
              <w:jc w:val="left"/>
              <w:rPr>
                <w:sz w:val="20"/>
                <w:szCs w:val="20"/>
              </w:rPr>
            </w:pPr>
          </w:p>
        </w:tc>
      </w:tr>
      <w:tr w:rsidR="00842AC4" w:rsidRPr="00AD3319" w14:paraId="1D57F095" w14:textId="77777777" w:rsidTr="00391711">
        <w:tc>
          <w:tcPr>
            <w:tcW w:w="368" w:type="dxa"/>
            <w:vMerge/>
            <w:shd w:val="clear" w:color="auto" w:fill="BDD6EE" w:themeFill="accent5" w:themeFillTint="66"/>
            <w:vAlign w:val="center"/>
          </w:tcPr>
          <w:p w14:paraId="55276A84" w14:textId="77777777" w:rsidR="00842AC4" w:rsidRPr="00AD3319" w:rsidRDefault="00842AC4" w:rsidP="0025236D">
            <w:pPr>
              <w:rPr>
                <w:sz w:val="20"/>
                <w:szCs w:val="20"/>
              </w:rPr>
            </w:pPr>
          </w:p>
        </w:tc>
        <w:tc>
          <w:tcPr>
            <w:tcW w:w="3204" w:type="dxa"/>
            <w:vMerge/>
            <w:vAlign w:val="center"/>
          </w:tcPr>
          <w:p w14:paraId="642E303A" w14:textId="77777777" w:rsidR="00842AC4" w:rsidRPr="00AD3319" w:rsidRDefault="00842AC4" w:rsidP="00E13C39">
            <w:pPr>
              <w:jc w:val="left"/>
              <w:rPr>
                <w:sz w:val="20"/>
                <w:szCs w:val="20"/>
              </w:rPr>
            </w:pPr>
          </w:p>
        </w:tc>
        <w:tc>
          <w:tcPr>
            <w:tcW w:w="3673" w:type="dxa"/>
          </w:tcPr>
          <w:p w14:paraId="2DF066F1" w14:textId="77777777" w:rsidR="00842AC4" w:rsidRPr="00AD3319" w:rsidRDefault="00842AC4" w:rsidP="00E13C39">
            <w:pPr>
              <w:jc w:val="left"/>
              <w:rPr>
                <w:b/>
                <w:bCs/>
                <w:sz w:val="20"/>
                <w:szCs w:val="20"/>
                <w:lang w:val="hu-HU"/>
              </w:rPr>
            </w:pPr>
            <w:r w:rsidRPr="00AD3319">
              <w:rPr>
                <w:b/>
                <w:bCs/>
                <w:sz w:val="20"/>
                <w:szCs w:val="20"/>
                <w:lang w:val="hu-HU"/>
              </w:rPr>
              <w:t>Közbeszerzés lebonyolítása a kivitelezéssel és az eszközbeszerzéssel kapcsolatosan</w:t>
            </w:r>
          </w:p>
          <w:p w14:paraId="5AFD1EF3" w14:textId="7AA9F4FA" w:rsidR="00842AC4" w:rsidRPr="00AD3319" w:rsidRDefault="00842AC4" w:rsidP="00E13C39">
            <w:pPr>
              <w:jc w:val="left"/>
              <w:rPr>
                <w:sz w:val="20"/>
                <w:szCs w:val="20"/>
              </w:rPr>
            </w:pPr>
            <w:r w:rsidRPr="00AD3319">
              <w:rPr>
                <w:sz w:val="20"/>
                <w:szCs w:val="20"/>
                <w:lang w:val="hu-HU"/>
              </w:rPr>
              <w:t>A műszaki tervezés alapján közbeszerzés lebonyolítása a kivitelezésre és a szükséges eszközök beszerzésére.</w:t>
            </w:r>
          </w:p>
        </w:tc>
        <w:tc>
          <w:tcPr>
            <w:tcW w:w="1413" w:type="dxa"/>
            <w:vAlign w:val="center"/>
          </w:tcPr>
          <w:p w14:paraId="3B99301C" w14:textId="2415380B" w:rsidR="00842AC4" w:rsidRPr="000E58FA" w:rsidRDefault="001003BD" w:rsidP="000E58FA">
            <w:pPr>
              <w:jc w:val="center"/>
              <w:rPr>
                <w:sz w:val="20"/>
                <w:szCs w:val="20"/>
              </w:rPr>
            </w:pPr>
            <w:r w:rsidRPr="000E58FA">
              <w:rPr>
                <w:sz w:val="20"/>
                <w:szCs w:val="20"/>
              </w:rPr>
              <w:t>2025.05.01.</w:t>
            </w:r>
          </w:p>
        </w:tc>
        <w:tc>
          <w:tcPr>
            <w:tcW w:w="1361" w:type="dxa"/>
            <w:vAlign w:val="center"/>
          </w:tcPr>
          <w:p w14:paraId="7ED78838" w14:textId="44649C9C" w:rsidR="00842AC4" w:rsidRPr="000E58FA" w:rsidRDefault="001003BD" w:rsidP="000E58FA">
            <w:pPr>
              <w:jc w:val="center"/>
              <w:rPr>
                <w:sz w:val="20"/>
                <w:szCs w:val="20"/>
              </w:rPr>
            </w:pPr>
            <w:r w:rsidRPr="000E58FA">
              <w:rPr>
                <w:sz w:val="20"/>
                <w:szCs w:val="20"/>
              </w:rPr>
              <w:t>2026.02.01.</w:t>
            </w:r>
          </w:p>
        </w:tc>
        <w:tc>
          <w:tcPr>
            <w:tcW w:w="2315" w:type="dxa"/>
            <w:vMerge/>
          </w:tcPr>
          <w:p w14:paraId="2D91DBAF" w14:textId="77777777" w:rsidR="00842AC4" w:rsidRPr="00AD3319" w:rsidRDefault="00842AC4" w:rsidP="00E13C39">
            <w:pPr>
              <w:jc w:val="left"/>
              <w:rPr>
                <w:sz w:val="20"/>
                <w:szCs w:val="20"/>
              </w:rPr>
            </w:pPr>
          </w:p>
        </w:tc>
        <w:tc>
          <w:tcPr>
            <w:tcW w:w="1658" w:type="dxa"/>
            <w:vMerge/>
          </w:tcPr>
          <w:p w14:paraId="4FA58E7B" w14:textId="77777777" w:rsidR="00842AC4" w:rsidRPr="00AD3319" w:rsidRDefault="00842AC4" w:rsidP="00E13C39">
            <w:pPr>
              <w:jc w:val="left"/>
              <w:rPr>
                <w:sz w:val="20"/>
                <w:szCs w:val="20"/>
              </w:rPr>
            </w:pPr>
          </w:p>
        </w:tc>
      </w:tr>
      <w:tr w:rsidR="00842AC4" w:rsidRPr="00AD3319" w14:paraId="0C1EDBB8" w14:textId="77777777" w:rsidTr="00391711">
        <w:tc>
          <w:tcPr>
            <w:tcW w:w="368" w:type="dxa"/>
            <w:vMerge/>
            <w:shd w:val="clear" w:color="auto" w:fill="BDD6EE" w:themeFill="accent5" w:themeFillTint="66"/>
            <w:vAlign w:val="center"/>
          </w:tcPr>
          <w:p w14:paraId="51B54D2F" w14:textId="77777777" w:rsidR="00842AC4" w:rsidRPr="00AD3319" w:rsidRDefault="00842AC4" w:rsidP="0025236D">
            <w:pPr>
              <w:rPr>
                <w:sz w:val="20"/>
                <w:szCs w:val="20"/>
              </w:rPr>
            </w:pPr>
          </w:p>
        </w:tc>
        <w:tc>
          <w:tcPr>
            <w:tcW w:w="3204" w:type="dxa"/>
            <w:vMerge/>
            <w:vAlign w:val="center"/>
          </w:tcPr>
          <w:p w14:paraId="335EE1BC" w14:textId="77777777" w:rsidR="00842AC4" w:rsidRPr="00AD3319" w:rsidRDefault="00842AC4" w:rsidP="00E13C39">
            <w:pPr>
              <w:jc w:val="left"/>
              <w:rPr>
                <w:sz w:val="20"/>
                <w:szCs w:val="20"/>
              </w:rPr>
            </w:pPr>
          </w:p>
        </w:tc>
        <w:tc>
          <w:tcPr>
            <w:tcW w:w="3673" w:type="dxa"/>
          </w:tcPr>
          <w:p w14:paraId="65281B52" w14:textId="77777777" w:rsidR="00842AC4" w:rsidRPr="00AD3319" w:rsidRDefault="00842AC4" w:rsidP="00E13C39">
            <w:pPr>
              <w:jc w:val="left"/>
              <w:rPr>
                <w:b/>
                <w:bCs/>
                <w:sz w:val="20"/>
                <w:szCs w:val="20"/>
                <w:lang w:val="hu-HU"/>
              </w:rPr>
            </w:pPr>
            <w:r w:rsidRPr="00AD3319">
              <w:rPr>
                <w:b/>
                <w:bCs/>
                <w:sz w:val="20"/>
                <w:szCs w:val="20"/>
                <w:lang w:val="hu-HU"/>
              </w:rPr>
              <w:t>A kivitelezési munkák megvalósítása és üzembe helyezés</w:t>
            </w:r>
          </w:p>
          <w:p w14:paraId="5A06C515" w14:textId="4EAD0669" w:rsidR="00842AC4" w:rsidRPr="00AD3319" w:rsidRDefault="00842AC4" w:rsidP="00E13C39">
            <w:pPr>
              <w:jc w:val="left"/>
              <w:rPr>
                <w:sz w:val="20"/>
                <w:szCs w:val="20"/>
              </w:rPr>
            </w:pPr>
            <w:r w:rsidRPr="00AD3319">
              <w:rPr>
                <w:sz w:val="20"/>
                <w:szCs w:val="20"/>
                <w:lang w:val="hu-HU"/>
              </w:rPr>
              <w:t>Az érdekeltekkel egyeztetve a kivitelezési munkák lebonyolítása, a szükséges engedélyek beszerzése, a műszaki ellenőrzés lebonyolítása és a berendezések üzembehelyezése.</w:t>
            </w:r>
          </w:p>
        </w:tc>
        <w:tc>
          <w:tcPr>
            <w:tcW w:w="1413" w:type="dxa"/>
            <w:vAlign w:val="center"/>
          </w:tcPr>
          <w:p w14:paraId="50C3A406" w14:textId="0DFACC0E" w:rsidR="00842AC4" w:rsidRPr="000E58FA" w:rsidRDefault="001003BD" w:rsidP="000E58FA">
            <w:pPr>
              <w:jc w:val="center"/>
              <w:rPr>
                <w:sz w:val="20"/>
                <w:szCs w:val="20"/>
              </w:rPr>
            </w:pPr>
            <w:r w:rsidRPr="000E58FA">
              <w:rPr>
                <w:sz w:val="20"/>
                <w:szCs w:val="20"/>
              </w:rPr>
              <w:t>2026.02.01.</w:t>
            </w:r>
          </w:p>
        </w:tc>
        <w:tc>
          <w:tcPr>
            <w:tcW w:w="1361" w:type="dxa"/>
            <w:vAlign w:val="center"/>
          </w:tcPr>
          <w:p w14:paraId="7C785B82" w14:textId="079EA554" w:rsidR="00842AC4" w:rsidRPr="000E58FA" w:rsidRDefault="001003BD" w:rsidP="000E58FA">
            <w:pPr>
              <w:jc w:val="center"/>
              <w:rPr>
                <w:sz w:val="20"/>
                <w:szCs w:val="20"/>
              </w:rPr>
            </w:pPr>
            <w:r w:rsidRPr="000E58FA">
              <w:rPr>
                <w:sz w:val="20"/>
                <w:szCs w:val="20"/>
              </w:rPr>
              <w:t>2027.10.01.</w:t>
            </w:r>
          </w:p>
        </w:tc>
        <w:tc>
          <w:tcPr>
            <w:tcW w:w="2315" w:type="dxa"/>
            <w:vMerge/>
          </w:tcPr>
          <w:p w14:paraId="305B888F" w14:textId="77777777" w:rsidR="00842AC4" w:rsidRPr="00AD3319" w:rsidRDefault="00842AC4" w:rsidP="00E13C39">
            <w:pPr>
              <w:jc w:val="left"/>
              <w:rPr>
                <w:sz w:val="20"/>
                <w:szCs w:val="20"/>
              </w:rPr>
            </w:pPr>
          </w:p>
        </w:tc>
        <w:tc>
          <w:tcPr>
            <w:tcW w:w="1658" w:type="dxa"/>
            <w:vMerge/>
          </w:tcPr>
          <w:p w14:paraId="42929304" w14:textId="77777777" w:rsidR="00842AC4" w:rsidRPr="00AD3319" w:rsidRDefault="00842AC4" w:rsidP="00E13C39">
            <w:pPr>
              <w:jc w:val="left"/>
              <w:rPr>
                <w:sz w:val="20"/>
                <w:szCs w:val="20"/>
              </w:rPr>
            </w:pPr>
          </w:p>
        </w:tc>
      </w:tr>
      <w:tr w:rsidR="000E58FA" w:rsidRPr="00AD3319" w14:paraId="5D9963C0" w14:textId="77777777" w:rsidTr="00391711">
        <w:tc>
          <w:tcPr>
            <w:tcW w:w="368" w:type="dxa"/>
            <w:vMerge w:val="restart"/>
            <w:shd w:val="clear" w:color="auto" w:fill="BDD6EE" w:themeFill="accent5" w:themeFillTint="66"/>
            <w:vAlign w:val="center"/>
          </w:tcPr>
          <w:p w14:paraId="16DFDE77" w14:textId="3D2F243C" w:rsidR="000E58FA" w:rsidRPr="00AD3319" w:rsidRDefault="000E58FA" w:rsidP="001003BD">
            <w:pPr>
              <w:rPr>
                <w:sz w:val="20"/>
                <w:szCs w:val="20"/>
              </w:rPr>
            </w:pPr>
            <w:r w:rsidRPr="00AD3319">
              <w:rPr>
                <w:sz w:val="20"/>
                <w:szCs w:val="20"/>
              </w:rPr>
              <w:t>2.</w:t>
            </w:r>
          </w:p>
        </w:tc>
        <w:tc>
          <w:tcPr>
            <w:tcW w:w="3204" w:type="dxa"/>
            <w:vMerge w:val="restart"/>
            <w:vAlign w:val="center"/>
          </w:tcPr>
          <w:p w14:paraId="25662CAF" w14:textId="690160C0" w:rsidR="000E58FA" w:rsidRPr="00AD3319" w:rsidRDefault="000E58FA" w:rsidP="001003BD">
            <w:pPr>
              <w:jc w:val="left"/>
              <w:rPr>
                <w:sz w:val="20"/>
                <w:szCs w:val="20"/>
              </w:rPr>
            </w:pPr>
            <w:r w:rsidRPr="00AD3319">
              <w:rPr>
                <w:sz w:val="20"/>
                <w:szCs w:val="20"/>
              </w:rPr>
              <w:t xml:space="preserve">Hőszivattyúk beüzemelése gázenergia fűtési ellátás helyett </w:t>
            </w:r>
            <w:r w:rsidR="00F30716">
              <w:rPr>
                <w:sz w:val="20"/>
                <w:szCs w:val="20"/>
              </w:rPr>
              <w:t>29</w:t>
            </w:r>
            <w:r w:rsidRPr="00AD3319">
              <w:rPr>
                <w:sz w:val="20"/>
                <w:szCs w:val="20"/>
              </w:rPr>
              <w:t xml:space="preserve"> </w:t>
            </w:r>
            <w:r w:rsidR="00F30716" w:rsidRPr="00F30716">
              <w:rPr>
                <w:sz w:val="20"/>
                <w:szCs w:val="20"/>
              </w:rPr>
              <w:t xml:space="preserve">önkormányzati tulajdonú </w:t>
            </w:r>
            <w:r w:rsidRPr="00AD3319">
              <w:rPr>
                <w:sz w:val="20"/>
                <w:szCs w:val="20"/>
              </w:rPr>
              <w:t>lakóépületben</w:t>
            </w:r>
          </w:p>
        </w:tc>
        <w:tc>
          <w:tcPr>
            <w:tcW w:w="3673" w:type="dxa"/>
          </w:tcPr>
          <w:p w14:paraId="7E31CBD8" w14:textId="77777777" w:rsidR="000E58FA" w:rsidRPr="00AD3319" w:rsidRDefault="000E58FA" w:rsidP="001003BD">
            <w:pPr>
              <w:jc w:val="left"/>
              <w:rPr>
                <w:b/>
                <w:bCs/>
                <w:sz w:val="20"/>
                <w:szCs w:val="20"/>
                <w:lang w:val="hu-HU"/>
              </w:rPr>
            </w:pPr>
            <w:r w:rsidRPr="00AD3319">
              <w:rPr>
                <w:b/>
                <w:bCs/>
                <w:sz w:val="20"/>
                <w:szCs w:val="20"/>
                <w:lang w:val="hu-HU"/>
              </w:rPr>
              <w:t>Pályázat előkészítése, beküldése és elbírálása</w:t>
            </w:r>
          </w:p>
          <w:p w14:paraId="5BCD0AEB" w14:textId="0CD138D5" w:rsidR="000E58FA" w:rsidRPr="00AD3319" w:rsidRDefault="000E58FA" w:rsidP="001003BD">
            <w:pPr>
              <w:jc w:val="left"/>
              <w:rPr>
                <w:sz w:val="20"/>
                <w:szCs w:val="20"/>
              </w:rPr>
            </w:pPr>
            <w:r w:rsidRPr="00AD3319">
              <w:rPr>
                <w:sz w:val="20"/>
                <w:szCs w:val="20"/>
                <w:lang w:val="hu-HU"/>
              </w:rPr>
              <w:t>Lakóközösségi döntés a hőszivattyúk telepítéséről. Pályázati konstrukciókra támogatási kérelem előkészítése. A pályázat kereteinek megismertetése az érintettekkel, a pályázati anyag összeállításához szükséges információk beszerzése az érintettektől, a projekttel kapcsolatos észrevételeik, szükségleteik beépítése a pályázati anyagba. A pályázati dokumentáció benyújtása. A támogatási kérelem bírálati eredményeinek megismerése.</w:t>
            </w:r>
          </w:p>
        </w:tc>
        <w:tc>
          <w:tcPr>
            <w:tcW w:w="1413" w:type="dxa"/>
            <w:vAlign w:val="center"/>
          </w:tcPr>
          <w:p w14:paraId="6428AEF0" w14:textId="1AE11E8C" w:rsidR="000E58FA" w:rsidRPr="000E58FA" w:rsidRDefault="000E58FA" w:rsidP="000E58FA">
            <w:pPr>
              <w:jc w:val="center"/>
              <w:rPr>
                <w:sz w:val="20"/>
                <w:szCs w:val="20"/>
              </w:rPr>
            </w:pPr>
            <w:r w:rsidRPr="000E58FA">
              <w:rPr>
                <w:sz w:val="20"/>
                <w:szCs w:val="20"/>
              </w:rPr>
              <w:t>2024.01.01.</w:t>
            </w:r>
          </w:p>
        </w:tc>
        <w:tc>
          <w:tcPr>
            <w:tcW w:w="1361" w:type="dxa"/>
            <w:vAlign w:val="center"/>
          </w:tcPr>
          <w:p w14:paraId="07CC17AA" w14:textId="495DB348" w:rsidR="000E58FA" w:rsidRPr="000E58FA" w:rsidRDefault="000E58FA" w:rsidP="000E58FA">
            <w:pPr>
              <w:jc w:val="center"/>
              <w:rPr>
                <w:sz w:val="20"/>
                <w:szCs w:val="20"/>
              </w:rPr>
            </w:pPr>
            <w:r w:rsidRPr="000E58FA">
              <w:rPr>
                <w:sz w:val="20"/>
                <w:szCs w:val="20"/>
              </w:rPr>
              <w:t>2024.10.01.</w:t>
            </w:r>
          </w:p>
        </w:tc>
        <w:tc>
          <w:tcPr>
            <w:tcW w:w="2315" w:type="dxa"/>
            <w:vMerge w:val="restart"/>
            <w:vAlign w:val="center"/>
          </w:tcPr>
          <w:p w14:paraId="36008CC1" w14:textId="77777777" w:rsidR="000E58FA" w:rsidRPr="00BE2A0D" w:rsidRDefault="00BE2A0D" w:rsidP="00BE2A0D">
            <w:pPr>
              <w:jc w:val="left"/>
              <w:rPr>
                <w:sz w:val="20"/>
                <w:szCs w:val="20"/>
              </w:rPr>
            </w:pPr>
            <w:r w:rsidRPr="00BE2A0D">
              <w:rPr>
                <w:sz w:val="20"/>
                <w:szCs w:val="20"/>
              </w:rPr>
              <w:t>Fűtéskorszerűsítés megvalósítása levegő bázisú (hőforrású) hőszivattyúk (HP) alkalmazásával.</w:t>
            </w:r>
          </w:p>
          <w:p w14:paraId="1E3CA954" w14:textId="77777777" w:rsidR="00BE2A0D" w:rsidRPr="00BE2A0D" w:rsidRDefault="00BE2A0D" w:rsidP="00BE2A0D">
            <w:pPr>
              <w:jc w:val="left"/>
              <w:rPr>
                <w:b/>
                <w:bCs/>
                <w:sz w:val="20"/>
                <w:szCs w:val="20"/>
              </w:rPr>
            </w:pPr>
            <w:r w:rsidRPr="00BE2A0D">
              <w:rPr>
                <w:b/>
                <w:bCs/>
                <w:sz w:val="20"/>
                <w:szCs w:val="20"/>
              </w:rPr>
              <w:t>A verzió:</w:t>
            </w:r>
          </w:p>
          <w:p w14:paraId="1838C76C" w14:textId="3F8A35DE" w:rsidR="00BE2A0D" w:rsidRPr="00BE2A0D" w:rsidRDefault="00BE2A0D" w:rsidP="00BE2A0D">
            <w:pPr>
              <w:jc w:val="left"/>
              <w:rPr>
                <w:sz w:val="20"/>
                <w:szCs w:val="20"/>
              </w:rPr>
            </w:pPr>
            <w:r w:rsidRPr="00BE2A0D">
              <w:rPr>
                <w:sz w:val="20"/>
                <w:szCs w:val="20"/>
              </w:rPr>
              <w:t xml:space="preserve">Összes, fűtési hőigény a beavatkozás előtt: </w:t>
            </w:r>
            <w:r w:rsidR="00F30716">
              <w:rPr>
                <w:sz w:val="20"/>
                <w:szCs w:val="20"/>
              </w:rPr>
              <w:t>2.233</w:t>
            </w:r>
            <w:r w:rsidRPr="00BE2A0D">
              <w:rPr>
                <w:sz w:val="20"/>
                <w:szCs w:val="20"/>
              </w:rPr>
              <w:t xml:space="preserve"> MWh/év</w:t>
            </w:r>
          </w:p>
          <w:p w14:paraId="55472DC9" w14:textId="6385E755" w:rsidR="00BE2A0D" w:rsidRPr="00BE2A0D" w:rsidRDefault="00BE2A0D" w:rsidP="00BE2A0D">
            <w:pPr>
              <w:jc w:val="left"/>
              <w:rPr>
                <w:sz w:val="20"/>
                <w:szCs w:val="20"/>
              </w:rPr>
            </w:pPr>
            <w:r w:rsidRPr="00BE2A0D">
              <w:rPr>
                <w:sz w:val="20"/>
                <w:szCs w:val="20"/>
              </w:rPr>
              <w:t xml:space="preserve">Összes hajtási villamos energia: </w:t>
            </w:r>
            <w:r w:rsidR="00F30716">
              <w:rPr>
                <w:sz w:val="20"/>
                <w:szCs w:val="20"/>
              </w:rPr>
              <w:t>714</w:t>
            </w:r>
            <w:r w:rsidRPr="00BE2A0D">
              <w:rPr>
                <w:sz w:val="20"/>
                <w:szCs w:val="20"/>
              </w:rPr>
              <w:t xml:space="preserve"> MWh/év</w:t>
            </w:r>
          </w:p>
          <w:p w14:paraId="26B450A9" w14:textId="714D210F" w:rsidR="00BE2A0D" w:rsidRPr="00BE2A0D" w:rsidRDefault="00BE2A0D" w:rsidP="00BE2A0D">
            <w:pPr>
              <w:jc w:val="left"/>
              <w:rPr>
                <w:sz w:val="20"/>
                <w:szCs w:val="20"/>
              </w:rPr>
            </w:pPr>
            <w:r w:rsidRPr="00BE2A0D">
              <w:rPr>
                <w:sz w:val="20"/>
                <w:szCs w:val="20"/>
              </w:rPr>
              <w:lastRenderedPageBreak/>
              <w:t xml:space="preserve">Összes megújuló energia: </w:t>
            </w:r>
            <w:r w:rsidR="00F30716">
              <w:rPr>
                <w:sz w:val="20"/>
                <w:szCs w:val="20"/>
              </w:rPr>
              <w:t>1.520</w:t>
            </w:r>
            <w:r w:rsidRPr="00BE2A0D">
              <w:rPr>
                <w:sz w:val="20"/>
                <w:szCs w:val="20"/>
              </w:rPr>
              <w:t xml:space="preserve"> MWh/év</w:t>
            </w:r>
          </w:p>
          <w:p w14:paraId="5D750A21" w14:textId="52C96025" w:rsidR="00BE2A0D" w:rsidRPr="00BE2A0D" w:rsidRDefault="00BE2A0D" w:rsidP="00BE2A0D">
            <w:pPr>
              <w:jc w:val="left"/>
              <w:rPr>
                <w:sz w:val="20"/>
                <w:szCs w:val="20"/>
              </w:rPr>
            </w:pPr>
            <w:r w:rsidRPr="00BE2A0D">
              <w:rPr>
                <w:sz w:val="20"/>
                <w:szCs w:val="20"/>
              </w:rPr>
              <w:t xml:space="preserve">Összes éves kibocsátás csökkenés: </w:t>
            </w:r>
            <w:r w:rsidR="00F30716">
              <w:rPr>
                <w:sz w:val="20"/>
                <w:szCs w:val="20"/>
              </w:rPr>
              <w:t>32</w:t>
            </w:r>
            <w:r w:rsidRPr="00BE2A0D">
              <w:rPr>
                <w:sz w:val="20"/>
                <w:szCs w:val="20"/>
              </w:rPr>
              <w:t>6 tonna CO</w:t>
            </w:r>
            <w:r w:rsidRPr="00BE2A0D">
              <w:rPr>
                <w:sz w:val="20"/>
                <w:szCs w:val="20"/>
                <w:vertAlign w:val="subscript"/>
              </w:rPr>
              <w:t>2ekvivalens</w:t>
            </w:r>
            <w:r w:rsidRPr="00BE2A0D">
              <w:rPr>
                <w:sz w:val="20"/>
                <w:szCs w:val="20"/>
              </w:rPr>
              <w:t>/év</w:t>
            </w:r>
          </w:p>
          <w:p w14:paraId="6E126E59" w14:textId="77777777" w:rsidR="00BE2A0D" w:rsidRPr="00BE2A0D" w:rsidRDefault="00BE2A0D" w:rsidP="00BE2A0D">
            <w:pPr>
              <w:jc w:val="left"/>
              <w:rPr>
                <w:b/>
                <w:bCs/>
                <w:sz w:val="20"/>
                <w:szCs w:val="20"/>
              </w:rPr>
            </w:pPr>
            <w:r w:rsidRPr="00BE2A0D">
              <w:rPr>
                <w:b/>
                <w:bCs/>
                <w:sz w:val="20"/>
                <w:szCs w:val="20"/>
              </w:rPr>
              <w:t>B verzió:</w:t>
            </w:r>
          </w:p>
          <w:p w14:paraId="54204EC8" w14:textId="43BA2A01" w:rsidR="00BE2A0D" w:rsidRPr="00BE2A0D" w:rsidRDefault="00BE2A0D" w:rsidP="00BE2A0D">
            <w:pPr>
              <w:jc w:val="left"/>
              <w:rPr>
                <w:sz w:val="20"/>
                <w:szCs w:val="20"/>
              </w:rPr>
            </w:pPr>
            <w:r w:rsidRPr="00BE2A0D">
              <w:rPr>
                <w:sz w:val="20"/>
                <w:szCs w:val="20"/>
              </w:rPr>
              <w:t xml:space="preserve">Összes, fűtési hőigény a beavatkozás előtt: </w:t>
            </w:r>
            <w:r w:rsidR="00F30716">
              <w:rPr>
                <w:sz w:val="20"/>
                <w:szCs w:val="20"/>
              </w:rPr>
              <w:t>2.233</w:t>
            </w:r>
            <w:r w:rsidRPr="00BE2A0D">
              <w:rPr>
                <w:sz w:val="20"/>
                <w:szCs w:val="20"/>
              </w:rPr>
              <w:t xml:space="preserve"> MWh/év</w:t>
            </w:r>
          </w:p>
          <w:p w14:paraId="767B31A2" w14:textId="6404384E" w:rsidR="00BE2A0D" w:rsidRPr="00BE2A0D" w:rsidRDefault="00BE2A0D" w:rsidP="00BE2A0D">
            <w:pPr>
              <w:jc w:val="left"/>
              <w:rPr>
                <w:sz w:val="20"/>
                <w:szCs w:val="20"/>
              </w:rPr>
            </w:pPr>
            <w:r w:rsidRPr="00BE2A0D">
              <w:rPr>
                <w:sz w:val="20"/>
                <w:szCs w:val="20"/>
              </w:rPr>
              <w:t xml:space="preserve">Összes hajtási villamos energia: </w:t>
            </w:r>
            <w:r w:rsidR="00F30716">
              <w:rPr>
                <w:sz w:val="20"/>
                <w:szCs w:val="20"/>
              </w:rPr>
              <w:t>651</w:t>
            </w:r>
            <w:r w:rsidRPr="00BE2A0D">
              <w:rPr>
                <w:sz w:val="20"/>
                <w:szCs w:val="20"/>
              </w:rPr>
              <w:t xml:space="preserve"> MWh/év</w:t>
            </w:r>
          </w:p>
          <w:p w14:paraId="6F2C1207" w14:textId="717C9542" w:rsidR="00BE2A0D" w:rsidRPr="00BE2A0D" w:rsidRDefault="00BE2A0D" w:rsidP="00BE2A0D">
            <w:pPr>
              <w:jc w:val="left"/>
              <w:rPr>
                <w:sz w:val="20"/>
                <w:szCs w:val="20"/>
              </w:rPr>
            </w:pPr>
            <w:r w:rsidRPr="00BE2A0D">
              <w:rPr>
                <w:sz w:val="20"/>
                <w:szCs w:val="20"/>
              </w:rPr>
              <w:t xml:space="preserve">Összes megújuló energia: </w:t>
            </w:r>
            <w:r w:rsidR="00F30716">
              <w:rPr>
                <w:sz w:val="20"/>
                <w:szCs w:val="20"/>
              </w:rPr>
              <w:t>1.582</w:t>
            </w:r>
            <w:r w:rsidRPr="00BE2A0D">
              <w:rPr>
                <w:sz w:val="20"/>
                <w:szCs w:val="20"/>
              </w:rPr>
              <w:t xml:space="preserve"> MWh/év</w:t>
            </w:r>
          </w:p>
          <w:p w14:paraId="468A3133" w14:textId="3D67EFF5" w:rsidR="00BE2A0D" w:rsidRPr="00BE2A0D" w:rsidRDefault="00BE2A0D" w:rsidP="00BE2A0D">
            <w:pPr>
              <w:jc w:val="left"/>
              <w:rPr>
                <w:sz w:val="20"/>
                <w:szCs w:val="20"/>
              </w:rPr>
            </w:pPr>
            <w:r w:rsidRPr="00BE2A0D">
              <w:rPr>
                <w:sz w:val="20"/>
                <w:szCs w:val="20"/>
              </w:rPr>
              <w:t xml:space="preserve">Összes éves kibocsátás csökkenés: </w:t>
            </w:r>
            <w:r w:rsidR="008B24A1">
              <w:rPr>
                <w:sz w:val="20"/>
                <w:szCs w:val="20"/>
              </w:rPr>
              <w:t>349</w:t>
            </w:r>
            <w:r w:rsidRPr="00BE2A0D">
              <w:rPr>
                <w:sz w:val="20"/>
                <w:szCs w:val="20"/>
              </w:rPr>
              <w:t xml:space="preserve"> tonna CO</w:t>
            </w:r>
            <w:r w:rsidRPr="00BE2A0D">
              <w:rPr>
                <w:sz w:val="20"/>
                <w:szCs w:val="20"/>
                <w:vertAlign w:val="subscript"/>
              </w:rPr>
              <w:t>2ekvivalens</w:t>
            </w:r>
            <w:r w:rsidRPr="00BE2A0D">
              <w:rPr>
                <w:sz w:val="20"/>
                <w:szCs w:val="20"/>
              </w:rPr>
              <w:t>/év</w:t>
            </w:r>
          </w:p>
          <w:p w14:paraId="3E8E5CFA" w14:textId="77777777" w:rsidR="00BE2A0D" w:rsidRPr="00BE2A0D" w:rsidRDefault="00BE2A0D" w:rsidP="00BE2A0D">
            <w:pPr>
              <w:jc w:val="left"/>
              <w:rPr>
                <w:b/>
                <w:bCs/>
                <w:sz w:val="20"/>
                <w:szCs w:val="20"/>
              </w:rPr>
            </w:pPr>
            <w:r w:rsidRPr="00BE2A0D">
              <w:rPr>
                <w:b/>
                <w:bCs/>
                <w:sz w:val="20"/>
                <w:szCs w:val="20"/>
              </w:rPr>
              <w:t>C verzió:</w:t>
            </w:r>
          </w:p>
          <w:p w14:paraId="7691A86D" w14:textId="5221A5DC" w:rsidR="00BE2A0D" w:rsidRPr="00BE2A0D" w:rsidRDefault="00BE2A0D" w:rsidP="00BE2A0D">
            <w:pPr>
              <w:jc w:val="left"/>
              <w:rPr>
                <w:sz w:val="20"/>
                <w:szCs w:val="20"/>
              </w:rPr>
            </w:pPr>
            <w:r w:rsidRPr="00BE2A0D">
              <w:rPr>
                <w:sz w:val="20"/>
                <w:szCs w:val="20"/>
              </w:rPr>
              <w:t xml:space="preserve">Összes, fűtési hőigény a beavatkozás előtt: </w:t>
            </w:r>
            <w:r w:rsidR="008B24A1">
              <w:rPr>
                <w:sz w:val="20"/>
                <w:szCs w:val="20"/>
              </w:rPr>
              <w:t>2.233</w:t>
            </w:r>
            <w:r w:rsidR="008B24A1" w:rsidRPr="00BE2A0D">
              <w:rPr>
                <w:sz w:val="20"/>
                <w:szCs w:val="20"/>
              </w:rPr>
              <w:t xml:space="preserve"> </w:t>
            </w:r>
            <w:r w:rsidRPr="00BE2A0D">
              <w:rPr>
                <w:sz w:val="20"/>
                <w:szCs w:val="20"/>
              </w:rPr>
              <w:t>MWh/év</w:t>
            </w:r>
          </w:p>
          <w:p w14:paraId="4CF753FC" w14:textId="620E2354" w:rsidR="00BE2A0D" w:rsidRPr="00BE2A0D" w:rsidRDefault="00BE2A0D" w:rsidP="00BE2A0D">
            <w:pPr>
              <w:jc w:val="left"/>
              <w:rPr>
                <w:sz w:val="20"/>
                <w:szCs w:val="20"/>
              </w:rPr>
            </w:pPr>
            <w:r w:rsidRPr="00BE2A0D">
              <w:rPr>
                <w:sz w:val="20"/>
                <w:szCs w:val="20"/>
              </w:rPr>
              <w:t xml:space="preserve">Összes hajtási villamos energia: </w:t>
            </w:r>
            <w:r w:rsidR="008B24A1">
              <w:rPr>
                <w:sz w:val="20"/>
                <w:szCs w:val="20"/>
              </w:rPr>
              <w:t>651</w:t>
            </w:r>
            <w:r w:rsidRPr="00BE2A0D">
              <w:rPr>
                <w:sz w:val="20"/>
                <w:szCs w:val="20"/>
              </w:rPr>
              <w:t xml:space="preserve"> MWh/év</w:t>
            </w:r>
          </w:p>
          <w:p w14:paraId="475DC416" w14:textId="79330B79" w:rsidR="00BE2A0D" w:rsidRPr="00BE2A0D" w:rsidRDefault="00BE2A0D" w:rsidP="00BE2A0D">
            <w:pPr>
              <w:jc w:val="left"/>
              <w:rPr>
                <w:sz w:val="20"/>
                <w:szCs w:val="20"/>
              </w:rPr>
            </w:pPr>
            <w:r w:rsidRPr="00BE2A0D">
              <w:rPr>
                <w:sz w:val="20"/>
                <w:szCs w:val="20"/>
              </w:rPr>
              <w:t xml:space="preserve">Összes megújuló energia: </w:t>
            </w:r>
            <w:r w:rsidR="008B24A1">
              <w:rPr>
                <w:sz w:val="20"/>
                <w:szCs w:val="20"/>
              </w:rPr>
              <w:t>1.582</w:t>
            </w:r>
            <w:r w:rsidR="008B24A1" w:rsidRPr="00BE2A0D">
              <w:rPr>
                <w:sz w:val="20"/>
                <w:szCs w:val="20"/>
              </w:rPr>
              <w:t xml:space="preserve"> </w:t>
            </w:r>
            <w:r w:rsidRPr="00BE2A0D">
              <w:rPr>
                <w:sz w:val="20"/>
                <w:szCs w:val="20"/>
              </w:rPr>
              <w:t>MWh/év</w:t>
            </w:r>
          </w:p>
          <w:p w14:paraId="3BB48C81" w14:textId="1D6F9328" w:rsidR="00BE2A0D" w:rsidRPr="00BE2A0D" w:rsidRDefault="00BE2A0D" w:rsidP="00BE2A0D">
            <w:pPr>
              <w:jc w:val="left"/>
              <w:rPr>
                <w:sz w:val="20"/>
                <w:szCs w:val="20"/>
              </w:rPr>
            </w:pPr>
            <w:r w:rsidRPr="00BE2A0D">
              <w:rPr>
                <w:sz w:val="20"/>
                <w:szCs w:val="20"/>
              </w:rPr>
              <w:t xml:space="preserve">Összes éves kibocsátás csökkenés: </w:t>
            </w:r>
            <w:r w:rsidR="008B24A1">
              <w:rPr>
                <w:sz w:val="20"/>
                <w:szCs w:val="20"/>
              </w:rPr>
              <w:t>349</w:t>
            </w:r>
            <w:r w:rsidRPr="00BE2A0D">
              <w:rPr>
                <w:sz w:val="20"/>
                <w:szCs w:val="20"/>
              </w:rPr>
              <w:t xml:space="preserve"> tonna CO</w:t>
            </w:r>
            <w:r w:rsidRPr="00BE2A0D">
              <w:rPr>
                <w:sz w:val="20"/>
                <w:szCs w:val="20"/>
                <w:vertAlign w:val="subscript"/>
              </w:rPr>
              <w:t>2ekvivalens</w:t>
            </w:r>
            <w:r w:rsidRPr="00BE2A0D">
              <w:rPr>
                <w:sz w:val="20"/>
                <w:szCs w:val="20"/>
              </w:rPr>
              <w:t>/év</w:t>
            </w:r>
          </w:p>
        </w:tc>
        <w:tc>
          <w:tcPr>
            <w:tcW w:w="1658" w:type="dxa"/>
            <w:vMerge w:val="restart"/>
            <w:vAlign w:val="center"/>
          </w:tcPr>
          <w:p w14:paraId="187F101A" w14:textId="79EEAFCE" w:rsidR="000E58FA" w:rsidRPr="00842AC4" w:rsidRDefault="000E58FA" w:rsidP="001003BD">
            <w:pPr>
              <w:jc w:val="center"/>
              <w:rPr>
                <w:sz w:val="20"/>
                <w:szCs w:val="20"/>
              </w:rPr>
            </w:pPr>
            <w:r w:rsidRPr="00842AC4">
              <w:rPr>
                <w:sz w:val="20"/>
                <w:szCs w:val="20"/>
              </w:rPr>
              <w:lastRenderedPageBreak/>
              <w:t>Budapest Főváros VII. kerület Erzsébetváros Önkormányzata</w:t>
            </w:r>
          </w:p>
        </w:tc>
      </w:tr>
      <w:tr w:rsidR="000E58FA" w:rsidRPr="00AD3319" w14:paraId="390EF0CC" w14:textId="77777777" w:rsidTr="00391711">
        <w:tc>
          <w:tcPr>
            <w:tcW w:w="368" w:type="dxa"/>
            <w:vMerge/>
            <w:shd w:val="clear" w:color="auto" w:fill="BDD6EE" w:themeFill="accent5" w:themeFillTint="66"/>
            <w:vAlign w:val="center"/>
          </w:tcPr>
          <w:p w14:paraId="6094A054" w14:textId="77777777" w:rsidR="000E58FA" w:rsidRPr="00AD3319" w:rsidRDefault="000E58FA" w:rsidP="001003BD">
            <w:pPr>
              <w:rPr>
                <w:sz w:val="20"/>
                <w:szCs w:val="20"/>
              </w:rPr>
            </w:pPr>
          </w:p>
        </w:tc>
        <w:tc>
          <w:tcPr>
            <w:tcW w:w="3204" w:type="dxa"/>
            <w:vMerge/>
            <w:vAlign w:val="center"/>
          </w:tcPr>
          <w:p w14:paraId="40D79FB7" w14:textId="77777777" w:rsidR="000E58FA" w:rsidRPr="00AD3319" w:rsidRDefault="000E58FA" w:rsidP="001003BD">
            <w:pPr>
              <w:jc w:val="left"/>
              <w:rPr>
                <w:sz w:val="20"/>
                <w:szCs w:val="20"/>
              </w:rPr>
            </w:pPr>
          </w:p>
        </w:tc>
        <w:tc>
          <w:tcPr>
            <w:tcW w:w="3673" w:type="dxa"/>
          </w:tcPr>
          <w:p w14:paraId="03734279" w14:textId="77777777" w:rsidR="000E58FA" w:rsidRPr="00AD3319" w:rsidRDefault="000E58FA" w:rsidP="001003BD">
            <w:pPr>
              <w:jc w:val="left"/>
              <w:rPr>
                <w:b/>
                <w:bCs/>
                <w:sz w:val="20"/>
                <w:szCs w:val="20"/>
                <w:lang w:val="hu-HU"/>
              </w:rPr>
            </w:pPr>
            <w:r w:rsidRPr="00AD3319">
              <w:rPr>
                <w:b/>
                <w:bCs/>
                <w:sz w:val="20"/>
                <w:szCs w:val="20"/>
                <w:lang w:val="hu-HU"/>
              </w:rPr>
              <w:t xml:space="preserve">Beszerzés lebonyolítása a műszaki tervezésre </w:t>
            </w:r>
          </w:p>
          <w:p w14:paraId="2B170A38" w14:textId="77C9DBA5" w:rsidR="000E58FA" w:rsidRPr="00AD3319" w:rsidRDefault="000E58FA" w:rsidP="001003BD">
            <w:pPr>
              <w:jc w:val="left"/>
              <w:rPr>
                <w:sz w:val="20"/>
                <w:szCs w:val="20"/>
              </w:rPr>
            </w:pPr>
            <w:r w:rsidRPr="00AD3319">
              <w:rPr>
                <w:sz w:val="20"/>
                <w:szCs w:val="20"/>
                <w:lang w:val="hu-HU"/>
              </w:rPr>
              <w:t>A sikeres pályázati anyag alapján beszerzés lebonyolítása a műszaki tervezésre.</w:t>
            </w:r>
          </w:p>
        </w:tc>
        <w:tc>
          <w:tcPr>
            <w:tcW w:w="1413" w:type="dxa"/>
            <w:vAlign w:val="center"/>
          </w:tcPr>
          <w:p w14:paraId="2DEFDEE9" w14:textId="2AB3A381" w:rsidR="000E58FA" w:rsidRPr="000E58FA" w:rsidRDefault="000E58FA" w:rsidP="000E58FA">
            <w:pPr>
              <w:jc w:val="center"/>
              <w:rPr>
                <w:sz w:val="20"/>
                <w:szCs w:val="20"/>
              </w:rPr>
            </w:pPr>
            <w:r w:rsidRPr="000E58FA">
              <w:rPr>
                <w:sz w:val="20"/>
                <w:szCs w:val="20"/>
              </w:rPr>
              <w:t>2024.10.01.</w:t>
            </w:r>
          </w:p>
        </w:tc>
        <w:tc>
          <w:tcPr>
            <w:tcW w:w="1361" w:type="dxa"/>
            <w:vAlign w:val="center"/>
          </w:tcPr>
          <w:p w14:paraId="66475EF1" w14:textId="4894573E" w:rsidR="000E58FA" w:rsidRPr="000E58FA" w:rsidRDefault="000E58FA" w:rsidP="000E58FA">
            <w:pPr>
              <w:jc w:val="center"/>
              <w:rPr>
                <w:sz w:val="20"/>
                <w:szCs w:val="20"/>
              </w:rPr>
            </w:pPr>
            <w:r w:rsidRPr="000E58FA">
              <w:rPr>
                <w:sz w:val="20"/>
                <w:szCs w:val="20"/>
              </w:rPr>
              <w:t>2024.12.01.</w:t>
            </w:r>
          </w:p>
        </w:tc>
        <w:tc>
          <w:tcPr>
            <w:tcW w:w="2315" w:type="dxa"/>
            <w:vMerge/>
          </w:tcPr>
          <w:p w14:paraId="5B123CA2" w14:textId="77777777" w:rsidR="000E58FA" w:rsidRPr="00AD3319" w:rsidRDefault="000E58FA" w:rsidP="001003BD">
            <w:pPr>
              <w:jc w:val="left"/>
              <w:rPr>
                <w:sz w:val="20"/>
                <w:szCs w:val="20"/>
              </w:rPr>
            </w:pPr>
          </w:p>
        </w:tc>
        <w:tc>
          <w:tcPr>
            <w:tcW w:w="1658" w:type="dxa"/>
            <w:vMerge/>
          </w:tcPr>
          <w:p w14:paraId="65AD0112" w14:textId="77777777" w:rsidR="000E58FA" w:rsidRPr="00AD3319" w:rsidRDefault="000E58FA" w:rsidP="001003BD">
            <w:pPr>
              <w:jc w:val="left"/>
              <w:rPr>
                <w:sz w:val="20"/>
                <w:szCs w:val="20"/>
              </w:rPr>
            </w:pPr>
          </w:p>
        </w:tc>
      </w:tr>
      <w:tr w:rsidR="000E58FA" w:rsidRPr="00AD3319" w14:paraId="43C80DEA" w14:textId="77777777" w:rsidTr="00391711">
        <w:tc>
          <w:tcPr>
            <w:tcW w:w="368" w:type="dxa"/>
            <w:vMerge/>
            <w:shd w:val="clear" w:color="auto" w:fill="BDD6EE" w:themeFill="accent5" w:themeFillTint="66"/>
          </w:tcPr>
          <w:p w14:paraId="7E4AF66A" w14:textId="77777777" w:rsidR="000E58FA" w:rsidRPr="00AD3319" w:rsidRDefault="000E58FA" w:rsidP="001003BD">
            <w:pPr>
              <w:rPr>
                <w:sz w:val="20"/>
                <w:szCs w:val="20"/>
              </w:rPr>
            </w:pPr>
          </w:p>
        </w:tc>
        <w:tc>
          <w:tcPr>
            <w:tcW w:w="3204" w:type="dxa"/>
            <w:vMerge/>
          </w:tcPr>
          <w:p w14:paraId="1CDC48F4" w14:textId="77777777" w:rsidR="000E58FA" w:rsidRPr="00AD3319" w:rsidRDefault="000E58FA" w:rsidP="001003BD">
            <w:pPr>
              <w:jc w:val="left"/>
              <w:rPr>
                <w:sz w:val="20"/>
                <w:szCs w:val="20"/>
              </w:rPr>
            </w:pPr>
          </w:p>
        </w:tc>
        <w:tc>
          <w:tcPr>
            <w:tcW w:w="3673" w:type="dxa"/>
          </w:tcPr>
          <w:p w14:paraId="15FC31EB" w14:textId="77777777" w:rsidR="000E58FA" w:rsidRPr="00AD3319" w:rsidRDefault="000E58FA" w:rsidP="001003BD">
            <w:pPr>
              <w:jc w:val="left"/>
              <w:rPr>
                <w:b/>
                <w:bCs/>
                <w:sz w:val="20"/>
                <w:szCs w:val="20"/>
                <w:lang w:val="hu-HU"/>
              </w:rPr>
            </w:pPr>
            <w:r w:rsidRPr="00AD3319">
              <w:rPr>
                <w:b/>
                <w:bCs/>
                <w:sz w:val="20"/>
                <w:szCs w:val="20"/>
                <w:lang w:val="hu-HU"/>
              </w:rPr>
              <w:t>Műszaki tervezés</w:t>
            </w:r>
          </w:p>
          <w:p w14:paraId="49E789A3" w14:textId="0713CA48" w:rsidR="000E58FA" w:rsidRPr="00AD3319" w:rsidRDefault="000E58FA" w:rsidP="001003BD">
            <w:pPr>
              <w:jc w:val="left"/>
              <w:rPr>
                <w:sz w:val="20"/>
                <w:szCs w:val="20"/>
              </w:rPr>
            </w:pPr>
            <w:r w:rsidRPr="00AD3319">
              <w:rPr>
                <w:sz w:val="20"/>
                <w:szCs w:val="20"/>
                <w:lang w:val="hu-HU"/>
              </w:rPr>
              <w:t>A közbeszerzés nyertesének megbízása a műszaki tervek elkészítésére. A műszaki tervezés koncepciójának egyeztetése az érintettekkel, majd a műszaki tervezés véglegesítése.</w:t>
            </w:r>
          </w:p>
        </w:tc>
        <w:tc>
          <w:tcPr>
            <w:tcW w:w="1413" w:type="dxa"/>
            <w:vAlign w:val="center"/>
          </w:tcPr>
          <w:p w14:paraId="5298199D" w14:textId="23A4764E" w:rsidR="000E58FA" w:rsidRPr="000E58FA" w:rsidRDefault="000E58FA" w:rsidP="000E58FA">
            <w:pPr>
              <w:jc w:val="center"/>
              <w:rPr>
                <w:sz w:val="20"/>
                <w:szCs w:val="20"/>
              </w:rPr>
            </w:pPr>
            <w:r w:rsidRPr="000E58FA">
              <w:rPr>
                <w:sz w:val="20"/>
                <w:szCs w:val="20"/>
              </w:rPr>
              <w:t>2024.12.01.</w:t>
            </w:r>
          </w:p>
        </w:tc>
        <w:tc>
          <w:tcPr>
            <w:tcW w:w="1361" w:type="dxa"/>
            <w:vAlign w:val="center"/>
          </w:tcPr>
          <w:p w14:paraId="301B8F5A" w14:textId="2A6D23C2" w:rsidR="000E58FA" w:rsidRPr="000E58FA" w:rsidRDefault="000E58FA" w:rsidP="000E58FA">
            <w:pPr>
              <w:jc w:val="center"/>
              <w:rPr>
                <w:sz w:val="20"/>
                <w:szCs w:val="20"/>
              </w:rPr>
            </w:pPr>
            <w:r w:rsidRPr="000E58FA">
              <w:rPr>
                <w:sz w:val="20"/>
                <w:szCs w:val="20"/>
              </w:rPr>
              <w:t>2025.03.01.</w:t>
            </w:r>
          </w:p>
        </w:tc>
        <w:tc>
          <w:tcPr>
            <w:tcW w:w="2315" w:type="dxa"/>
            <w:vMerge/>
          </w:tcPr>
          <w:p w14:paraId="2C573814" w14:textId="77777777" w:rsidR="000E58FA" w:rsidRPr="00AD3319" w:rsidRDefault="000E58FA" w:rsidP="001003BD">
            <w:pPr>
              <w:jc w:val="left"/>
              <w:rPr>
                <w:sz w:val="20"/>
                <w:szCs w:val="20"/>
              </w:rPr>
            </w:pPr>
          </w:p>
        </w:tc>
        <w:tc>
          <w:tcPr>
            <w:tcW w:w="1658" w:type="dxa"/>
            <w:vMerge/>
          </w:tcPr>
          <w:p w14:paraId="290F1C93" w14:textId="77777777" w:rsidR="000E58FA" w:rsidRPr="00AD3319" w:rsidRDefault="000E58FA" w:rsidP="001003BD">
            <w:pPr>
              <w:jc w:val="left"/>
              <w:rPr>
                <w:sz w:val="20"/>
                <w:szCs w:val="20"/>
              </w:rPr>
            </w:pPr>
          </w:p>
        </w:tc>
      </w:tr>
      <w:tr w:rsidR="000E58FA" w:rsidRPr="00AD3319" w14:paraId="46F7BDAC" w14:textId="77777777" w:rsidTr="00391711">
        <w:tc>
          <w:tcPr>
            <w:tcW w:w="368" w:type="dxa"/>
            <w:vMerge/>
            <w:shd w:val="clear" w:color="auto" w:fill="BDD6EE" w:themeFill="accent5" w:themeFillTint="66"/>
          </w:tcPr>
          <w:p w14:paraId="62A6027C" w14:textId="77777777" w:rsidR="000E58FA" w:rsidRPr="00AD3319" w:rsidRDefault="000E58FA" w:rsidP="001003BD">
            <w:pPr>
              <w:jc w:val="left"/>
              <w:rPr>
                <w:sz w:val="20"/>
                <w:szCs w:val="20"/>
              </w:rPr>
            </w:pPr>
          </w:p>
        </w:tc>
        <w:tc>
          <w:tcPr>
            <w:tcW w:w="3204" w:type="dxa"/>
            <w:vMerge/>
          </w:tcPr>
          <w:p w14:paraId="15BA2C69" w14:textId="77777777" w:rsidR="000E58FA" w:rsidRPr="00AD3319" w:rsidRDefault="000E58FA" w:rsidP="001003BD">
            <w:pPr>
              <w:jc w:val="left"/>
              <w:rPr>
                <w:sz w:val="20"/>
                <w:szCs w:val="20"/>
              </w:rPr>
            </w:pPr>
          </w:p>
        </w:tc>
        <w:tc>
          <w:tcPr>
            <w:tcW w:w="3673" w:type="dxa"/>
          </w:tcPr>
          <w:p w14:paraId="1D43F1B1" w14:textId="77777777" w:rsidR="000E58FA" w:rsidRPr="00AD3319" w:rsidRDefault="000E58FA" w:rsidP="001003BD">
            <w:pPr>
              <w:jc w:val="left"/>
              <w:rPr>
                <w:b/>
                <w:bCs/>
                <w:sz w:val="20"/>
                <w:szCs w:val="20"/>
                <w:lang w:val="hu-HU"/>
              </w:rPr>
            </w:pPr>
            <w:r w:rsidRPr="00AD3319">
              <w:rPr>
                <w:b/>
                <w:bCs/>
                <w:sz w:val="20"/>
                <w:szCs w:val="20"/>
                <w:lang w:val="hu-HU"/>
              </w:rPr>
              <w:t>Közbeszerzés lebonyolítása a kivitelezéssel és az eszközbeszerzéssel kapcsolatosan</w:t>
            </w:r>
          </w:p>
          <w:p w14:paraId="2246780F" w14:textId="529BDC5B" w:rsidR="000E58FA" w:rsidRPr="00AD3319" w:rsidRDefault="000E58FA" w:rsidP="001003BD">
            <w:pPr>
              <w:jc w:val="left"/>
              <w:rPr>
                <w:sz w:val="20"/>
                <w:szCs w:val="20"/>
              </w:rPr>
            </w:pPr>
            <w:r w:rsidRPr="00AD3319">
              <w:rPr>
                <w:sz w:val="20"/>
                <w:szCs w:val="20"/>
                <w:lang w:val="hu-HU"/>
              </w:rPr>
              <w:t>A sikeres pályázati anyag alapján közbeszerzés lebonyolítása a kivitelezésre és a hőszivattyúk beszerzésére.</w:t>
            </w:r>
          </w:p>
        </w:tc>
        <w:tc>
          <w:tcPr>
            <w:tcW w:w="1413" w:type="dxa"/>
            <w:vAlign w:val="center"/>
          </w:tcPr>
          <w:p w14:paraId="0478AEF8" w14:textId="2B0D069D" w:rsidR="000E58FA" w:rsidRPr="000E58FA" w:rsidRDefault="000E58FA" w:rsidP="000E58FA">
            <w:pPr>
              <w:jc w:val="center"/>
              <w:rPr>
                <w:sz w:val="20"/>
                <w:szCs w:val="20"/>
              </w:rPr>
            </w:pPr>
            <w:r w:rsidRPr="000E58FA">
              <w:rPr>
                <w:sz w:val="20"/>
                <w:szCs w:val="20"/>
              </w:rPr>
              <w:t>2025.03.01.</w:t>
            </w:r>
          </w:p>
        </w:tc>
        <w:tc>
          <w:tcPr>
            <w:tcW w:w="1361" w:type="dxa"/>
            <w:vAlign w:val="center"/>
          </w:tcPr>
          <w:p w14:paraId="24DD1991" w14:textId="6F574F4F" w:rsidR="000E58FA" w:rsidRPr="000E58FA" w:rsidRDefault="000E58FA" w:rsidP="000E58FA">
            <w:pPr>
              <w:jc w:val="center"/>
              <w:rPr>
                <w:sz w:val="20"/>
                <w:szCs w:val="20"/>
              </w:rPr>
            </w:pPr>
            <w:r w:rsidRPr="000E58FA">
              <w:rPr>
                <w:sz w:val="20"/>
                <w:szCs w:val="20"/>
              </w:rPr>
              <w:t>2026.01.01.</w:t>
            </w:r>
          </w:p>
        </w:tc>
        <w:tc>
          <w:tcPr>
            <w:tcW w:w="2315" w:type="dxa"/>
            <w:vMerge/>
          </w:tcPr>
          <w:p w14:paraId="512A8F5D" w14:textId="77777777" w:rsidR="000E58FA" w:rsidRPr="00AD3319" w:rsidRDefault="000E58FA" w:rsidP="001003BD">
            <w:pPr>
              <w:jc w:val="left"/>
              <w:rPr>
                <w:sz w:val="20"/>
                <w:szCs w:val="20"/>
              </w:rPr>
            </w:pPr>
          </w:p>
        </w:tc>
        <w:tc>
          <w:tcPr>
            <w:tcW w:w="1658" w:type="dxa"/>
            <w:vMerge/>
          </w:tcPr>
          <w:p w14:paraId="68CACBC2" w14:textId="77777777" w:rsidR="000E58FA" w:rsidRPr="00AD3319" w:rsidRDefault="000E58FA" w:rsidP="001003BD">
            <w:pPr>
              <w:jc w:val="left"/>
              <w:rPr>
                <w:sz w:val="20"/>
                <w:szCs w:val="20"/>
              </w:rPr>
            </w:pPr>
          </w:p>
        </w:tc>
      </w:tr>
      <w:tr w:rsidR="000E58FA" w:rsidRPr="00AD3319" w14:paraId="19828521" w14:textId="77777777" w:rsidTr="00391711">
        <w:tc>
          <w:tcPr>
            <w:tcW w:w="368" w:type="dxa"/>
            <w:vMerge/>
            <w:shd w:val="clear" w:color="auto" w:fill="BDD6EE" w:themeFill="accent5" w:themeFillTint="66"/>
          </w:tcPr>
          <w:p w14:paraId="6E6C3559" w14:textId="77777777" w:rsidR="000E58FA" w:rsidRPr="00AD3319" w:rsidRDefault="000E58FA" w:rsidP="001003BD">
            <w:pPr>
              <w:jc w:val="left"/>
              <w:rPr>
                <w:sz w:val="20"/>
                <w:szCs w:val="20"/>
              </w:rPr>
            </w:pPr>
          </w:p>
        </w:tc>
        <w:tc>
          <w:tcPr>
            <w:tcW w:w="3204" w:type="dxa"/>
            <w:vMerge/>
          </w:tcPr>
          <w:p w14:paraId="484794C3" w14:textId="77777777" w:rsidR="000E58FA" w:rsidRPr="00AD3319" w:rsidRDefault="000E58FA" w:rsidP="001003BD">
            <w:pPr>
              <w:jc w:val="left"/>
              <w:rPr>
                <w:sz w:val="20"/>
                <w:szCs w:val="20"/>
              </w:rPr>
            </w:pPr>
          </w:p>
        </w:tc>
        <w:tc>
          <w:tcPr>
            <w:tcW w:w="3673" w:type="dxa"/>
          </w:tcPr>
          <w:p w14:paraId="3F3A1389" w14:textId="77777777" w:rsidR="000E58FA" w:rsidRPr="00AD3319" w:rsidRDefault="000E58FA" w:rsidP="001003BD">
            <w:pPr>
              <w:jc w:val="left"/>
              <w:rPr>
                <w:b/>
                <w:bCs/>
                <w:sz w:val="20"/>
                <w:szCs w:val="20"/>
                <w:lang w:val="hu-HU"/>
              </w:rPr>
            </w:pPr>
            <w:r w:rsidRPr="00AD3319">
              <w:rPr>
                <w:b/>
                <w:bCs/>
                <w:sz w:val="20"/>
                <w:szCs w:val="20"/>
                <w:lang w:val="hu-HU"/>
              </w:rPr>
              <w:t>A kivitelezési munkák megvalósítása és a hőszivattyúk üzembe helyezése</w:t>
            </w:r>
          </w:p>
          <w:p w14:paraId="7D22D95F" w14:textId="320C52BA" w:rsidR="000E58FA" w:rsidRPr="00AD3319" w:rsidRDefault="000E58FA" w:rsidP="001003BD">
            <w:pPr>
              <w:jc w:val="left"/>
              <w:rPr>
                <w:b/>
                <w:bCs/>
                <w:sz w:val="20"/>
                <w:szCs w:val="20"/>
              </w:rPr>
            </w:pPr>
            <w:r w:rsidRPr="00AD3319">
              <w:rPr>
                <w:sz w:val="20"/>
                <w:szCs w:val="20"/>
                <w:lang w:val="hu-HU"/>
              </w:rPr>
              <w:t>Az érdekeltekkel egyeztetve a kivitelezési munkák lebonyolítása, a hőszivattyúk telepítése, a műszaki ellenőrzés lebonyolítása és a hőszivattyús rendszerek beüzemelése.</w:t>
            </w:r>
          </w:p>
        </w:tc>
        <w:tc>
          <w:tcPr>
            <w:tcW w:w="1413" w:type="dxa"/>
            <w:vAlign w:val="center"/>
          </w:tcPr>
          <w:p w14:paraId="3CFA1E3A" w14:textId="4C80ECC2" w:rsidR="000E58FA" w:rsidRPr="000E58FA" w:rsidRDefault="000E58FA" w:rsidP="000E58FA">
            <w:pPr>
              <w:jc w:val="center"/>
              <w:rPr>
                <w:sz w:val="20"/>
                <w:szCs w:val="20"/>
              </w:rPr>
            </w:pPr>
            <w:r w:rsidRPr="000E58FA">
              <w:rPr>
                <w:sz w:val="20"/>
                <w:szCs w:val="20"/>
              </w:rPr>
              <w:t>2026.01.01.</w:t>
            </w:r>
          </w:p>
        </w:tc>
        <w:tc>
          <w:tcPr>
            <w:tcW w:w="1361" w:type="dxa"/>
            <w:vAlign w:val="center"/>
          </w:tcPr>
          <w:p w14:paraId="626675B4" w14:textId="2956ACD2" w:rsidR="000E58FA" w:rsidRPr="000E58FA" w:rsidRDefault="000E58FA" w:rsidP="000E58FA">
            <w:pPr>
              <w:jc w:val="center"/>
              <w:rPr>
                <w:sz w:val="20"/>
                <w:szCs w:val="20"/>
              </w:rPr>
            </w:pPr>
            <w:r w:rsidRPr="000E58FA">
              <w:rPr>
                <w:sz w:val="20"/>
                <w:szCs w:val="20"/>
              </w:rPr>
              <w:t>2027.10.01.</w:t>
            </w:r>
          </w:p>
        </w:tc>
        <w:tc>
          <w:tcPr>
            <w:tcW w:w="2315" w:type="dxa"/>
            <w:vMerge/>
          </w:tcPr>
          <w:p w14:paraId="0FBE640B" w14:textId="77777777" w:rsidR="000E58FA" w:rsidRPr="00AD3319" w:rsidRDefault="000E58FA" w:rsidP="001003BD">
            <w:pPr>
              <w:jc w:val="left"/>
              <w:rPr>
                <w:sz w:val="20"/>
                <w:szCs w:val="20"/>
              </w:rPr>
            </w:pPr>
          </w:p>
        </w:tc>
        <w:tc>
          <w:tcPr>
            <w:tcW w:w="1658" w:type="dxa"/>
            <w:vMerge/>
          </w:tcPr>
          <w:p w14:paraId="1610B1D2" w14:textId="77777777" w:rsidR="000E58FA" w:rsidRPr="00AD3319" w:rsidRDefault="000E58FA" w:rsidP="001003BD">
            <w:pPr>
              <w:jc w:val="left"/>
              <w:rPr>
                <w:sz w:val="20"/>
                <w:szCs w:val="20"/>
              </w:rPr>
            </w:pPr>
          </w:p>
        </w:tc>
      </w:tr>
      <w:tr w:rsidR="000E58FA" w:rsidRPr="00AD3319" w14:paraId="1A913FD5" w14:textId="77777777" w:rsidTr="00391711">
        <w:tc>
          <w:tcPr>
            <w:tcW w:w="368" w:type="dxa"/>
            <w:vMerge w:val="restart"/>
            <w:shd w:val="clear" w:color="auto" w:fill="BDD6EE" w:themeFill="accent5" w:themeFillTint="66"/>
            <w:vAlign w:val="center"/>
          </w:tcPr>
          <w:p w14:paraId="00F5CCC5" w14:textId="0BD38091" w:rsidR="000E58FA" w:rsidRPr="00AD3319" w:rsidRDefault="000E58FA" w:rsidP="000E58FA">
            <w:pPr>
              <w:jc w:val="left"/>
              <w:rPr>
                <w:sz w:val="20"/>
                <w:szCs w:val="20"/>
              </w:rPr>
            </w:pPr>
            <w:r>
              <w:rPr>
                <w:sz w:val="20"/>
                <w:szCs w:val="20"/>
              </w:rPr>
              <w:t>3.</w:t>
            </w:r>
          </w:p>
        </w:tc>
        <w:tc>
          <w:tcPr>
            <w:tcW w:w="3204" w:type="dxa"/>
            <w:vMerge w:val="restart"/>
            <w:vAlign w:val="center"/>
          </w:tcPr>
          <w:p w14:paraId="70BD5A49" w14:textId="4CFEC310" w:rsidR="000E58FA" w:rsidRPr="00AD3319" w:rsidRDefault="000E58FA" w:rsidP="000E58FA">
            <w:pPr>
              <w:jc w:val="left"/>
              <w:rPr>
                <w:sz w:val="20"/>
                <w:szCs w:val="20"/>
              </w:rPr>
            </w:pPr>
            <w:r w:rsidRPr="00AD3319">
              <w:rPr>
                <w:sz w:val="20"/>
                <w:szCs w:val="20"/>
              </w:rPr>
              <w:t>PV napelemek telepítése 1</w:t>
            </w:r>
            <w:r w:rsidR="00F15673">
              <w:rPr>
                <w:sz w:val="20"/>
                <w:szCs w:val="20"/>
              </w:rPr>
              <w:t xml:space="preserve">5 önkormányzati tulajdonú </w:t>
            </w:r>
            <w:r w:rsidRPr="00AD3319">
              <w:rPr>
                <w:sz w:val="20"/>
                <w:szCs w:val="20"/>
              </w:rPr>
              <w:t>lakóépület tetőjére</w:t>
            </w:r>
          </w:p>
        </w:tc>
        <w:tc>
          <w:tcPr>
            <w:tcW w:w="3673" w:type="dxa"/>
          </w:tcPr>
          <w:p w14:paraId="7DB24917" w14:textId="77777777" w:rsidR="000E58FA" w:rsidRPr="00AD3319" w:rsidRDefault="000E58FA" w:rsidP="000E58FA">
            <w:pPr>
              <w:jc w:val="left"/>
              <w:rPr>
                <w:b/>
                <w:bCs/>
                <w:sz w:val="20"/>
                <w:szCs w:val="20"/>
                <w:lang w:val="hu-HU"/>
              </w:rPr>
            </w:pPr>
            <w:r w:rsidRPr="00AD3319">
              <w:rPr>
                <w:b/>
                <w:bCs/>
                <w:sz w:val="20"/>
                <w:szCs w:val="20"/>
                <w:lang w:val="hu-HU"/>
              </w:rPr>
              <w:t>Pályázat előkészítése, beküldése és elbírálása</w:t>
            </w:r>
          </w:p>
          <w:p w14:paraId="2B3D8F9E" w14:textId="6851950E" w:rsidR="000E58FA" w:rsidRPr="00AD3319" w:rsidRDefault="000E58FA" w:rsidP="000E58FA">
            <w:pPr>
              <w:jc w:val="left"/>
              <w:rPr>
                <w:b/>
                <w:bCs/>
                <w:sz w:val="20"/>
                <w:szCs w:val="20"/>
              </w:rPr>
            </w:pPr>
            <w:r>
              <w:rPr>
                <w:sz w:val="20"/>
                <w:szCs w:val="20"/>
                <w:lang w:val="hu-HU"/>
              </w:rPr>
              <w:lastRenderedPageBreak/>
              <w:t>P</w:t>
            </w:r>
            <w:r w:rsidRPr="00AD3319">
              <w:rPr>
                <w:sz w:val="20"/>
                <w:szCs w:val="20"/>
                <w:lang w:val="hu-HU"/>
              </w:rPr>
              <w:t>ályázati konstrukciókra támogatási kérelem előkészítése. A pályázat kereteinek megismertetése az érintettekkel, a pályázati anyag összeállításához szükséges információk beszerzése az érintettektől, a projekttel kapcsolatos észrevételeik, szükségleteik beépítése a pályázati anyagba. A pályázati dokumentáció benyújtása. A támogatási kérelem bírálati eredményeinek megismerése.</w:t>
            </w:r>
          </w:p>
        </w:tc>
        <w:tc>
          <w:tcPr>
            <w:tcW w:w="1413" w:type="dxa"/>
            <w:vAlign w:val="center"/>
          </w:tcPr>
          <w:p w14:paraId="73BB7165" w14:textId="3E3B2896" w:rsidR="000E58FA" w:rsidRPr="000E58FA" w:rsidRDefault="000E58FA" w:rsidP="000E58FA">
            <w:pPr>
              <w:jc w:val="center"/>
              <w:rPr>
                <w:sz w:val="20"/>
                <w:szCs w:val="20"/>
              </w:rPr>
            </w:pPr>
            <w:r w:rsidRPr="000E58FA">
              <w:rPr>
                <w:sz w:val="20"/>
                <w:szCs w:val="20"/>
                <w:lang w:val="hu-HU"/>
              </w:rPr>
              <w:lastRenderedPageBreak/>
              <w:t>2024.01.01.</w:t>
            </w:r>
          </w:p>
        </w:tc>
        <w:tc>
          <w:tcPr>
            <w:tcW w:w="1361" w:type="dxa"/>
            <w:vAlign w:val="center"/>
          </w:tcPr>
          <w:p w14:paraId="78FA1717" w14:textId="153C47BF" w:rsidR="000E58FA" w:rsidRPr="000E58FA" w:rsidRDefault="000E58FA" w:rsidP="000E58FA">
            <w:pPr>
              <w:jc w:val="center"/>
              <w:rPr>
                <w:sz w:val="20"/>
                <w:szCs w:val="20"/>
              </w:rPr>
            </w:pPr>
            <w:r w:rsidRPr="000E58FA">
              <w:rPr>
                <w:sz w:val="20"/>
                <w:szCs w:val="20"/>
                <w:lang w:val="hu-HU"/>
              </w:rPr>
              <w:t>2024.10.01.</w:t>
            </w:r>
          </w:p>
        </w:tc>
        <w:tc>
          <w:tcPr>
            <w:tcW w:w="2315" w:type="dxa"/>
            <w:vMerge w:val="restart"/>
            <w:vAlign w:val="center"/>
          </w:tcPr>
          <w:p w14:paraId="6F80D66C" w14:textId="395B5E1A" w:rsidR="000E58FA" w:rsidRDefault="001E69E5" w:rsidP="001E69E5">
            <w:pPr>
              <w:jc w:val="left"/>
              <w:rPr>
                <w:sz w:val="20"/>
                <w:szCs w:val="20"/>
              </w:rPr>
            </w:pPr>
            <w:r w:rsidRPr="001E69E5">
              <w:rPr>
                <w:sz w:val="20"/>
                <w:szCs w:val="20"/>
              </w:rPr>
              <w:t xml:space="preserve">A </w:t>
            </w:r>
            <w:r>
              <w:rPr>
                <w:sz w:val="20"/>
                <w:szCs w:val="20"/>
              </w:rPr>
              <w:t>1</w:t>
            </w:r>
            <w:r w:rsidR="00F15673">
              <w:rPr>
                <w:sz w:val="20"/>
                <w:szCs w:val="20"/>
              </w:rPr>
              <w:t>5</w:t>
            </w:r>
            <w:r>
              <w:rPr>
                <w:sz w:val="20"/>
                <w:szCs w:val="20"/>
              </w:rPr>
              <w:t xml:space="preserve"> </w:t>
            </w:r>
            <w:r w:rsidRPr="001E69E5">
              <w:rPr>
                <w:sz w:val="20"/>
                <w:szCs w:val="20"/>
              </w:rPr>
              <w:t>kijelölt lakóépület tetején 1-1 napelemes rendszer kialakítása</w:t>
            </w:r>
            <w:r>
              <w:rPr>
                <w:sz w:val="20"/>
                <w:szCs w:val="20"/>
              </w:rPr>
              <w:t>.</w:t>
            </w:r>
          </w:p>
          <w:p w14:paraId="6D213A31" w14:textId="5C4E32C5" w:rsidR="00DC7397" w:rsidRPr="00DC7397" w:rsidRDefault="00DC7397" w:rsidP="00DC7397">
            <w:pPr>
              <w:jc w:val="left"/>
              <w:rPr>
                <w:sz w:val="20"/>
                <w:szCs w:val="20"/>
              </w:rPr>
            </w:pPr>
            <w:r w:rsidRPr="00DC7397">
              <w:rPr>
                <w:sz w:val="20"/>
                <w:szCs w:val="20"/>
              </w:rPr>
              <w:t>Összes éves megtermelt megújuló villamos energia:</w:t>
            </w:r>
            <w:r>
              <w:rPr>
                <w:sz w:val="20"/>
                <w:szCs w:val="20"/>
              </w:rPr>
              <w:t xml:space="preserve"> </w:t>
            </w:r>
            <w:r w:rsidR="00F15673">
              <w:rPr>
                <w:sz w:val="20"/>
                <w:szCs w:val="20"/>
              </w:rPr>
              <w:t>426,3</w:t>
            </w:r>
            <w:r w:rsidRPr="00DC7397">
              <w:rPr>
                <w:sz w:val="20"/>
                <w:szCs w:val="20"/>
              </w:rPr>
              <w:t xml:space="preserve"> MWh/év</w:t>
            </w:r>
          </w:p>
          <w:p w14:paraId="2D54C0AC" w14:textId="55777118" w:rsidR="00DC7397" w:rsidRPr="00AD3319" w:rsidRDefault="00DC7397" w:rsidP="00DC7397">
            <w:pPr>
              <w:jc w:val="left"/>
              <w:rPr>
                <w:sz w:val="20"/>
                <w:szCs w:val="20"/>
              </w:rPr>
            </w:pPr>
            <w:r w:rsidRPr="00DC7397">
              <w:rPr>
                <w:sz w:val="20"/>
                <w:szCs w:val="20"/>
              </w:rPr>
              <w:t>Összes éves kibocsátás csökkenés:</w:t>
            </w:r>
            <w:r>
              <w:t xml:space="preserve"> </w:t>
            </w:r>
            <w:r w:rsidRPr="00DC7397">
              <w:rPr>
                <w:sz w:val="20"/>
                <w:szCs w:val="20"/>
              </w:rPr>
              <w:t>1</w:t>
            </w:r>
            <w:r w:rsidR="00F15673">
              <w:rPr>
                <w:sz w:val="20"/>
                <w:szCs w:val="20"/>
              </w:rPr>
              <w:t>56,6</w:t>
            </w:r>
            <w:r w:rsidRPr="00DC7397">
              <w:rPr>
                <w:sz w:val="20"/>
                <w:szCs w:val="20"/>
              </w:rPr>
              <w:t xml:space="preserve"> tonna CO</w:t>
            </w:r>
            <w:r w:rsidRPr="00DC7397">
              <w:rPr>
                <w:sz w:val="20"/>
                <w:szCs w:val="20"/>
                <w:vertAlign w:val="subscript"/>
              </w:rPr>
              <w:t>2ekvivalens</w:t>
            </w:r>
            <w:r w:rsidRPr="00DC7397">
              <w:rPr>
                <w:sz w:val="20"/>
                <w:szCs w:val="20"/>
              </w:rPr>
              <w:t>/év</w:t>
            </w:r>
          </w:p>
        </w:tc>
        <w:tc>
          <w:tcPr>
            <w:tcW w:w="1658" w:type="dxa"/>
            <w:vMerge w:val="restart"/>
            <w:vAlign w:val="center"/>
          </w:tcPr>
          <w:p w14:paraId="27704EF1" w14:textId="6E38D447" w:rsidR="000E58FA" w:rsidRPr="00AD3319" w:rsidRDefault="000E58FA" w:rsidP="000E58FA">
            <w:pPr>
              <w:jc w:val="center"/>
              <w:rPr>
                <w:sz w:val="20"/>
                <w:szCs w:val="20"/>
              </w:rPr>
            </w:pPr>
            <w:r w:rsidRPr="00842AC4">
              <w:rPr>
                <w:sz w:val="20"/>
                <w:szCs w:val="20"/>
              </w:rPr>
              <w:t xml:space="preserve">Budapest Főváros VII. </w:t>
            </w:r>
            <w:r w:rsidRPr="00842AC4">
              <w:rPr>
                <w:sz w:val="20"/>
                <w:szCs w:val="20"/>
              </w:rPr>
              <w:lastRenderedPageBreak/>
              <w:t>kerület Erzsébetváros Önkormányzata</w:t>
            </w:r>
          </w:p>
        </w:tc>
      </w:tr>
      <w:tr w:rsidR="000E58FA" w:rsidRPr="00AD3319" w14:paraId="77346FEF" w14:textId="77777777" w:rsidTr="00391711">
        <w:tc>
          <w:tcPr>
            <w:tcW w:w="368" w:type="dxa"/>
            <w:vMerge/>
            <w:shd w:val="clear" w:color="auto" w:fill="BDD6EE" w:themeFill="accent5" w:themeFillTint="66"/>
          </w:tcPr>
          <w:p w14:paraId="6D123751" w14:textId="77777777" w:rsidR="000E58FA" w:rsidRPr="00AD3319" w:rsidRDefault="000E58FA" w:rsidP="000E58FA">
            <w:pPr>
              <w:jc w:val="left"/>
              <w:rPr>
                <w:sz w:val="20"/>
                <w:szCs w:val="20"/>
              </w:rPr>
            </w:pPr>
          </w:p>
        </w:tc>
        <w:tc>
          <w:tcPr>
            <w:tcW w:w="3204" w:type="dxa"/>
            <w:vMerge/>
          </w:tcPr>
          <w:p w14:paraId="6EE11E7A" w14:textId="77777777" w:rsidR="000E58FA" w:rsidRPr="00AD3319" w:rsidRDefault="000E58FA" w:rsidP="000E58FA">
            <w:pPr>
              <w:jc w:val="left"/>
              <w:rPr>
                <w:sz w:val="20"/>
                <w:szCs w:val="20"/>
              </w:rPr>
            </w:pPr>
          </w:p>
        </w:tc>
        <w:tc>
          <w:tcPr>
            <w:tcW w:w="3673" w:type="dxa"/>
          </w:tcPr>
          <w:p w14:paraId="31B708D5" w14:textId="77777777" w:rsidR="000E58FA" w:rsidRPr="00AD3319" w:rsidRDefault="000E58FA" w:rsidP="000E58FA">
            <w:pPr>
              <w:jc w:val="left"/>
              <w:rPr>
                <w:b/>
                <w:bCs/>
                <w:sz w:val="20"/>
                <w:szCs w:val="20"/>
                <w:lang w:val="hu-HU"/>
              </w:rPr>
            </w:pPr>
            <w:r w:rsidRPr="00AD3319">
              <w:rPr>
                <w:b/>
                <w:bCs/>
                <w:sz w:val="20"/>
                <w:szCs w:val="20"/>
                <w:lang w:val="hu-HU"/>
              </w:rPr>
              <w:t>Igénybejelentés, csatlakozási dokumentáció elkészítése, műszaki tervezés, esetlegesen szükséges szakvélemények és engedélyek beszerzése</w:t>
            </w:r>
          </w:p>
          <w:p w14:paraId="4D5B187E" w14:textId="55DA983D" w:rsidR="000E58FA" w:rsidRPr="00AD3319" w:rsidRDefault="000E58FA" w:rsidP="000E58FA">
            <w:pPr>
              <w:jc w:val="left"/>
              <w:rPr>
                <w:b/>
                <w:bCs/>
                <w:sz w:val="20"/>
                <w:szCs w:val="20"/>
              </w:rPr>
            </w:pPr>
            <w:r w:rsidRPr="00AD3319">
              <w:rPr>
                <w:sz w:val="20"/>
                <w:szCs w:val="20"/>
                <w:lang w:val="hu-HU"/>
              </w:rPr>
              <w:t>A nyertes pályázat után igénybejelentés a hálózatüzemeltetőnél, a csatlakozási dokumentáció benyújtása az inverterre vonatkozóan, a szükséges műszaki tervezés megvalósítása, az esetlegesen előírt szakvélemények és engedélyek beszerzése.</w:t>
            </w:r>
          </w:p>
        </w:tc>
        <w:tc>
          <w:tcPr>
            <w:tcW w:w="1413" w:type="dxa"/>
            <w:vAlign w:val="center"/>
          </w:tcPr>
          <w:p w14:paraId="3AC78273" w14:textId="40CAFC94" w:rsidR="000E58FA" w:rsidRPr="000E58FA" w:rsidRDefault="000E58FA" w:rsidP="000E58FA">
            <w:pPr>
              <w:jc w:val="center"/>
              <w:rPr>
                <w:sz w:val="20"/>
                <w:szCs w:val="20"/>
              </w:rPr>
            </w:pPr>
            <w:r w:rsidRPr="000E58FA">
              <w:rPr>
                <w:sz w:val="20"/>
                <w:szCs w:val="20"/>
                <w:lang w:val="hu-HU"/>
              </w:rPr>
              <w:t>2024.10.01.</w:t>
            </w:r>
          </w:p>
        </w:tc>
        <w:tc>
          <w:tcPr>
            <w:tcW w:w="1361" w:type="dxa"/>
            <w:vAlign w:val="center"/>
          </w:tcPr>
          <w:p w14:paraId="12E4461B" w14:textId="092462E6" w:rsidR="000E58FA" w:rsidRPr="000E58FA" w:rsidRDefault="000E58FA" w:rsidP="000E58FA">
            <w:pPr>
              <w:jc w:val="center"/>
              <w:rPr>
                <w:sz w:val="20"/>
                <w:szCs w:val="20"/>
              </w:rPr>
            </w:pPr>
            <w:r w:rsidRPr="000E58FA">
              <w:rPr>
                <w:sz w:val="20"/>
                <w:szCs w:val="20"/>
                <w:lang w:val="hu-HU"/>
              </w:rPr>
              <w:t>2025.10.01.</w:t>
            </w:r>
          </w:p>
        </w:tc>
        <w:tc>
          <w:tcPr>
            <w:tcW w:w="2315" w:type="dxa"/>
            <w:vMerge/>
          </w:tcPr>
          <w:p w14:paraId="5A62227E" w14:textId="77777777" w:rsidR="000E58FA" w:rsidRPr="00AD3319" w:rsidRDefault="000E58FA" w:rsidP="000E58FA">
            <w:pPr>
              <w:jc w:val="left"/>
              <w:rPr>
                <w:sz w:val="20"/>
                <w:szCs w:val="20"/>
              </w:rPr>
            </w:pPr>
          </w:p>
        </w:tc>
        <w:tc>
          <w:tcPr>
            <w:tcW w:w="1658" w:type="dxa"/>
            <w:vMerge/>
          </w:tcPr>
          <w:p w14:paraId="01D22DD2" w14:textId="77777777" w:rsidR="000E58FA" w:rsidRPr="00AD3319" w:rsidRDefault="000E58FA" w:rsidP="000E58FA">
            <w:pPr>
              <w:jc w:val="left"/>
              <w:rPr>
                <w:sz w:val="20"/>
                <w:szCs w:val="20"/>
              </w:rPr>
            </w:pPr>
          </w:p>
        </w:tc>
      </w:tr>
      <w:tr w:rsidR="000E58FA" w:rsidRPr="00AD3319" w14:paraId="19E891AE" w14:textId="77777777" w:rsidTr="00391711">
        <w:tc>
          <w:tcPr>
            <w:tcW w:w="368" w:type="dxa"/>
            <w:vMerge/>
            <w:shd w:val="clear" w:color="auto" w:fill="BDD6EE" w:themeFill="accent5" w:themeFillTint="66"/>
          </w:tcPr>
          <w:p w14:paraId="26227109" w14:textId="77777777" w:rsidR="000E58FA" w:rsidRPr="00AD3319" w:rsidRDefault="000E58FA" w:rsidP="000E58FA">
            <w:pPr>
              <w:jc w:val="left"/>
              <w:rPr>
                <w:sz w:val="20"/>
                <w:szCs w:val="20"/>
              </w:rPr>
            </w:pPr>
          </w:p>
        </w:tc>
        <w:tc>
          <w:tcPr>
            <w:tcW w:w="3204" w:type="dxa"/>
            <w:vMerge/>
          </w:tcPr>
          <w:p w14:paraId="12572450" w14:textId="77777777" w:rsidR="000E58FA" w:rsidRPr="00AD3319" w:rsidRDefault="000E58FA" w:rsidP="000E58FA">
            <w:pPr>
              <w:jc w:val="left"/>
              <w:rPr>
                <w:sz w:val="20"/>
                <w:szCs w:val="20"/>
              </w:rPr>
            </w:pPr>
          </w:p>
        </w:tc>
        <w:tc>
          <w:tcPr>
            <w:tcW w:w="3673" w:type="dxa"/>
          </w:tcPr>
          <w:p w14:paraId="0A29793C" w14:textId="77777777" w:rsidR="000E58FA" w:rsidRPr="00AD3319" w:rsidRDefault="000E58FA" w:rsidP="000E58FA">
            <w:pPr>
              <w:jc w:val="left"/>
              <w:rPr>
                <w:b/>
                <w:bCs/>
                <w:sz w:val="20"/>
                <w:szCs w:val="20"/>
                <w:lang w:val="hu-HU"/>
              </w:rPr>
            </w:pPr>
            <w:r w:rsidRPr="00AD3319">
              <w:rPr>
                <w:b/>
                <w:bCs/>
                <w:sz w:val="20"/>
                <w:szCs w:val="20"/>
                <w:lang w:val="hu-HU"/>
              </w:rPr>
              <w:t>Közbeszerzés lebonyolítása a kivitelezéssel kapcsolatosan</w:t>
            </w:r>
          </w:p>
          <w:p w14:paraId="3418D3D3" w14:textId="741CAF09" w:rsidR="000E58FA" w:rsidRPr="00AD3319" w:rsidRDefault="000E58FA" w:rsidP="000E58FA">
            <w:pPr>
              <w:jc w:val="left"/>
              <w:rPr>
                <w:b/>
                <w:bCs/>
                <w:sz w:val="20"/>
                <w:szCs w:val="20"/>
              </w:rPr>
            </w:pPr>
            <w:r w:rsidRPr="00AD3319">
              <w:rPr>
                <w:sz w:val="20"/>
                <w:szCs w:val="20"/>
                <w:lang w:val="hu-HU"/>
              </w:rPr>
              <w:t>A sikeres pályázati anyag alapján közbeszerzés lebonyolítása a kivitelezésre.</w:t>
            </w:r>
          </w:p>
        </w:tc>
        <w:tc>
          <w:tcPr>
            <w:tcW w:w="1413" w:type="dxa"/>
            <w:vAlign w:val="center"/>
          </w:tcPr>
          <w:p w14:paraId="3783196C" w14:textId="2E1D4B1E" w:rsidR="000E58FA" w:rsidRPr="000E58FA" w:rsidRDefault="000E58FA" w:rsidP="000E58FA">
            <w:pPr>
              <w:jc w:val="center"/>
              <w:rPr>
                <w:sz w:val="20"/>
                <w:szCs w:val="20"/>
              </w:rPr>
            </w:pPr>
            <w:r w:rsidRPr="000E58FA">
              <w:rPr>
                <w:sz w:val="20"/>
                <w:szCs w:val="20"/>
                <w:lang w:val="hu-HU"/>
              </w:rPr>
              <w:t>2025.10.01.</w:t>
            </w:r>
          </w:p>
        </w:tc>
        <w:tc>
          <w:tcPr>
            <w:tcW w:w="1361" w:type="dxa"/>
            <w:vAlign w:val="center"/>
          </w:tcPr>
          <w:p w14:paraId="3B7320EC" w14:textId="6D5B5B0E" w:rsidR="000E58FA" w:rsidRPr="000E58FA" w:rsidRDefault="000E58FA" w:rsidP="000E58FA">
            <w:pPr>
              <w:jc w:val="center"/>
              <w:rPr>
                <w:sz w:val="20"/>
                <w:szCs w:val="20"/>
              </w:rPr>
            </w:pPr>
            <w:r w:rsidRPr="000E58FA">
              <w:rPr>
                <w:sz w:val="20"/>
                <w:szCs w:val="20"/>
                <w:lang w:val="hu-HU"/>
              </w:rPr>
              <w:t>2026.10.01.</w:t>
            </w:r>
          </w:p>
        </w:tc>
        <w:tc>
          <w:tcPr>
            <w:tcW w:w="2315" w:type="dxa"/>
            <w:vMerge/>
          </w:tcPr>
          <w:p w14:paraId="4AC2CBA9" w14:textId="77777777" w:rsidR="000E58FA" w:rsidRPr="00AD3319" w:rsidRDefault="000E58FA" w:rsidP="000E58FA">
            <w:pPr>
              <w:jc w:val="left"/>
              <w:rPr>
                <w:sz w:val="20"/>
                <w:szCs w:val="20"/>
              </w:rPr>
            </w:pPr>
          </w:p>
        </w:tc>
        <w:tc>
          <w:tcPr>
            <w:tcW w:w="1658" w:type="dxa"/>
            <w:vMerge/>
          </w:tcPr>
          <w:p w14:paraId="2E0BE8A3" w14:textId="77777777" w:rsidR="000E58FA" w:rsidRPr="00AD3319" w:rsidRDefault="000E58FA" w:rsidP="000E58FA">
            <w:pPr>
              <w:jc w:val="left"/>
              <w:rPr>
                <w:sz w:val="20"/>
                <w:szCs w:val="20"/>
              </w:rPr>
            </w:pPr>
          </w:p>
        </w:tc>
      </w:tr>
      <w:tr w:rsidR="000E58FA" w:rsidRPr="00AD3319" w14:paraId="160E77BA" w14:textId="77777777" w:rsidTr="00391711">
        <w:tc>
          <w:tcPr>
            <w:tcW w:w="368" w:type="dxa"/>
            <w:vMerge/>
            <w:shd w:val="clear" w:color="auto" w:fill="BDD6EE" w:themeFill="accent5" w:themeFillTint="66"/>
          </w:tcPr>
          <w:p w14:paraId="137BDBB0" w14:textId="77777777" w:rsidR="000E58FA" w:rsidRPr="00AD3319" w:rsidRDefault="000E58FA" w:rsidP="000E58FA">
            <w:pPr>
              <w:jc w:val="left"/>
              <w:rPr>
                <w:sz w:val="20"/>
                <w:szCs w:val="20"/>
              </w:rPr>
            </w:pPr>
          </w:p>
        </w:tc>
        <w:tc>
          <w:tcPr>
            <w:tcW w:w="3204" w:type="dxa"/>
            <w:vMerge/>
          </w:tcPr>
          <w:p w14:paraId="11A7BB38" w14:textId="77777777" w:rsidR="000E58FA" w:rsidRPr="00AD3319" w:rsidRDefault="000E58FA" w:rsidP="000E58FA">
            <w:pPr>
              <w:jc w:val="left"/>
              <w:rPr>
                <w:sz w:val="20"/>
                <w:szCs w:val="20"/>
              </w:rPr>
            </w:pPr>
          </w:p>
        </w:tc>
        <w:tc>
          <w:tcPr>
            <w:tcW w:w="3673" w:type="dxa"/>
          </w:tcPr>
          <w:p w14:paraId="4413D71D" w14:textId="77777777" w:rsidR="000E58FA" w:rsidRPr="00AD3319" w:rsidRDefault="000E58FA" w:rsidP="000E58FA">
            <w:pPr>
              <w:jc w:val="left"/>
              <w:rPr>
                <w:b/>
                <w:bCs/>
                <w:sz w:val="20"/>
                <w:szCs w:val="20"/>
                <w:lang w:val="hu-HU"/>
              </w:rPr>
            </w:pPr>
            <w:r w:rsidRPr="00AD3319">
              <w:rPr>
                <w:b/>
                <w:bCs/>
                <w:sz w:val="20"/>
                <w:szCs w:val="20"/>
                <w:lang w:val="hu-HU"/>
              </w:rPr>
              <w:t>A kivitelezési munkák megvalósítása</w:t>
            </w:r>
          </w:p>
          <w:p w14:paraId="6AC6035F" w14:textId="48304462" w:rsidR="000E58FA" w:rsidRPr="00AD3319" w:rsidRDefault="000E58FA" w:rsidP="000E58FA">
            <w:pPr>
              <w:jc w:val="left"/>
              <w:rPr>
                <w:b/>
                <w:bCs/>
                <w:sz w:val="20"/>
                <w:szCs w:val="20"/>
              </w:rPr>
            </w:pPr>
            <w:r w:rsidRPr="00AD3319">
              <w:rPr>
                <w:sz w:val="20"/>
                <w:szCs w:val="20"/>
                <w:lang w:val="hu-HU"/>
              </w:rPr>
              <w:t xml:space="preserve">Az érdekeltekkel egyeztetve a kivitelezési munkák lebonyolítása, a szükséges </w:t>
            </w:r>
            <w:r w:rsidRPr="00AD3319">
              <w:rPr>
                <w:sz w:val="20"/>
                <w:szCs w:val="20"/>
                <w:lang w:val="hu-HU"/>
              </w:rPr>
              <w:lastRenderedPageBreak/>
              <w:t>engedélyek beszerzése, a műszaki ellenőrzés lebonyolítása.</w:t>
            </w:r>
          </w:p>
        </w:tc>
        <w:tc>
          <w:tcPr>
            <w:tcW w:w="1413" w:type="dxa"/>
            <w:vAlign w:val="center"/>
          </w:tcPr>
          <w:p w14:paraId="497C3DE9" w14:textId="0B8DCCC9" w:rsidR="000E58FA" w:rsidRPr="000E58FA" w:rsidRDefault="000E58FA" w:rsidP="000E58FA">
            <w:pPr>
              <w:jc w:val="center"/>
              <w:rPr>
                <w:sz w:val="20"/>
                <w:szCs w:val="20"/>
              </w:rPr>
            </w:pPr>
            <w:r w:rsidRPr="000E58FA">
              <w:rPr>
                <w:sz w:val="20"/>
                <w:szCs w:val="20"/>
                <w:lang w:val="hu-HU"/>
              </w:rPr>
              <w:lastRenderedPageBreak/>
              <w:t>2026.10.01.</w:t>
            </w:r>
          </w:p>
        </w:tc>
        <w:tc>
          <w:tcPr>
            <w:tcW w:w="1361" w:type="dxa"/>
            <w:vAlign w:val="center"/>
          </w:tcPr>
          <w:p w14:paraId="3E5FEAC9" w14:textId="02500841" w:rsidR="000E58FA" w:rsidRPr="000E58FA" w:rsidRDefault="000E58FA" w:rsidP="000E58FA">
            <w:pPr>
              <w:jc w:val="center"/>
              <w:rPr>
                <w:sz w:val="20"/>
                <w:szCs w:val="20"/>
              </w:rPr>
            </w:pPr>
            <w:r w:rsidRPr="000E58FA">
              <w:rPr>
                <w:sz w:val="20"/>
                <w:szCs w:val="20"/>
                <w:lang w:val="hu-HU"/>
              </w:rPr>
              <w:t>2026.12.01.</w:t>
            </w:r>
          </w:p>
        </w:tc>
        <w:tc>
          <w:tcPr>
            <w:tcW w:w="2315" w:type="dxa"/>
            <w:vMerge/>
          </w:tcPr>
          <w:p w14:paraId="00BF0461" w14:textId="77777777" w:rsidR="000E58FA" w:rsidRPr="00AD3319" w:rsidRDefault="000E58FA" w:rsidP="000E58FA">
            <w:pPr>
              <w:jc w:val="left"/>
              <w:rPr>
                <w:sz w:val="20"/>
                <w:szCs w:val="20"/>
              </w:rPr>
            </w:pPr>
          </w:p>
        </w:tc>
        <w:tc>
          <w:tcPr>
            <w:tcW w:w="1658" w:type="dxa"/>
            <w:vMerge/>
          </w:tcPr>
          <w:p w14:paraId="3B17AB2C" w14:textId="77777777" w:rsidR="000E58FA" w:rsidRPr="00AD3319" w:rsidRDefault="000E58FA" w:rsidP="000E58FA">
            <w:pPr>
              <w:jc w:val="left"/>
              <w:rPr>
                <w:sz w:val="20"/>
                <w:szCs w:val="20"/>
              </w:rPr>
            </w:pPr>
          </w:p>
        </w:tc>
      </w:tr>
      <w:tr w:rsidR="000E58FA" w:rsidRPr="00AD3319" w14:paraId="19859BB7" w14:textId="77777777" w:rsidTr="00391711">
        <w:tc>
          <w:tcPr>
            <w:tcW w:w="368" w:type="dxa"/>
            <w:vMerge/>
            <w:shd w:val="clear" w:color="auto" w:fill="BDD6EE" w:themeFill="accent5" w:themeFillTint="66"/>
          </w:tcPr>
          <w:p w14:paraId="78EEF90A" w14:textId="77777777" w:rsidR="000E58FA" w:rsidRPr="00AD3319" w:rsidRDefault="000E58FA" w:rsidP="000E58FA">
            <w:pPr>
              <w:jc w:val="left"/>
              <w:rPr>
                <w:sz w:val="20"/>
                <w:szCs w:val="20"/>
              </w:rPr>
            </w:pPr>
          </w:p>
        </w:tc>
        <w:tc>
          <w:tcPr>
            <w:tcW w:w="3204" w:type="dxa"/>
            <w:vMerge/>
          </w:tcPr>
          <w:p w14:paraId="02D4E388" w14:textId="77777777" w:rsidR="000E58FA" w:rsidRPr="00AD3319" w:rsidRDefault="000E58FA" w:rsidP="000E58FA">
            <w:pPr>
              <w:jc w:val="left"/>
              <w:rPr>
                <w:sz w:val="20"/>
                <w:szCs w:val="20"/>
              </w:rPr>
            </w:pPr>
          </w:p>
        </w:tc>
        <w:tc>
          <w:tcPr>
            <w:tcW w:w="3673" w:type="dxa"/>
          </w:tcPr>
          <w:p w14:paraId="35B38A02" w14:textId="77777777" w:rsidR="000E58FA" w:rsidRPr="00AD3319" w:rsidRDefault="000E58FA" w:rsidP="000E58FA">
            <w:pPr>
              <w:jc w:val="left"/>
              <w:rPr>
                <w:b/>
                <w:bCs/>
                <w:sz w:val="20"/>
                <w:szCs w:val="20"/>
                <w:lang w:val="hu-HU"/>
              </w:rPr>
            </w:pPr>
            <w:r w:rsidRPr="00AD3319">
              <w:rPr>
                <w:b/>
                <w:bCs/>
                <w:sz w:val="20"/>
                <w:szCs w:val="20"/>
                <w:lang w:val="hu-HU"/>
              </w:rPr>
              <w:t>Üzembehelyezés</w:t>
            </w:r>
          </w:p>
          <w:p w14:paraId="3C29854A" w14:textId="43C22FFD" w:rsidR="000E58FA" w:rsidRPr="00AD3319" w:rsidRDefault="000E58FA" w:rsidP="000E58FA">
            <w:pPr>
              <w:jc w:val="left"/>
              <w:rPr>
                <w:b/>
                <w:bCs/>
                <w:sz w:val="20"/>
                <w:szCs w:val="20"/>
              </w:rPr>
            </w:pPr>
            <w:r w:rsidRPr="00AD3319">
              <w:rPr>
                <w:sz w:val="20"/>
                <w:szCs w:val="20"/>
                <w:lang w:val="hu-HU"/>
              </w:rPr>
              <w:t>A napelemes rendszerek üzembehelyezése.</w:t>
            </w:r>
          </w:p>
        </w:tc>
        <w:tc>
          <w:tcPr>
            <w:tcW w:w="1413" w:type="dxa"/>
            <w:vAlign w:val="center"/>
          </w:tcPr>
          <w:p w14:paraId="1FEB3A29" w14:textId="1B3CFE2C" w:rsidR="000E58FA" w:rsidRPr="000E58FA" w:rsidRDefault="000E58FA" w:rsidP="000E58FA">
            <w:pPr>
              <w:jc w:val="center"/>
              <w:rPr>
                <w:sz w:val="20"/>
                <w:szCs w:val="20"/>
              </w:rPr>
            </w:pPr>
            <w:r w:rsidRPr="000E58FA">
              <w:rPr>
                <w:sz w:val="20"/>
                <w:szCs w:val="20"/>
                <w:lang w:val="hu-HU"/>
              </w:rPr>
              <w:t>2026.12.01.</w:t>
            </w:r>
          </w:p>
        </w:tc>
        <w:tc>
          <w:tcPr>
            <w:tcW w:w="1361" w:type="dxa"/>
            <w:vAlign w:val="center"/>
          </w:tcPr>
          <w:p w14:paraId="1E22EBF2" w14:textId="3234ECEF" w:rsidR="000E58FA" w:rsidRPr="000E58FA" w:rsidRDefault="000E58FA" w:rsidP="000E58FA">
            <w:pPr>
              <w:jc w:val="center"/>
              <w:rPr>
                <w:sz w:val="20"/>
                <w:szCs w:val="20"/>
              </w:rPr>
            </w:pPr>
            <w:r w:rsidRPr="000E58FA">
              <w:rPr>
                <w:sz w:val="20"/>
                <w:szCs w:val="20"/>
              </w:rPr>
              <w:t>2027.01.01.</w:t>
            </w:r>
          </w:p>
        </w:tc>
        <w:tc>
          <w:tcPr>
            <w:tcW w:w="2315" w:type="dxa"/>
            <w:vMerge/>
          </w:tcPr>
          <w:p w14:paraId="3CC26D78" w14:textId="77777777" w:rsidR="000E58FA" w:rsidRPr="00AD3319" w:rsidRDefault="000E58FA" w:rsidP="000E58FA">
            <w:pPr>
              <w:jc w:val="left"/>
              <w:rPr>
                <w:sz w:val="20"/>
                <w:szCs w:val="20"/>
              </w:rPr>
            </w:pPr>
          </w:p>
        </w:tc>
        <w:tc>
          <w:tcPr>
            <w:tcW w:w="1658" w:type="dxa"/>
            <w:vMerge/>
          </w:tcPr>
          <w:p w14:paraId="09EE642C" w14:textId="77777777" w:rsidR="000E58FA" w:rsidRPr="00AD3319" w:rsidRDefault="000E58FA" w:rsidP="000E58FA">
            <w:pPr>
              <w:jc w:val="left"/>
              <w:rPr>
                <w:sz w:val="20"/>
                <w:szCs w:val="20"/>
              </w:rPr>
            </w:pPr>
          </w:p>
        </w:tc>
      </w:tr>
      <w:tr w:rsidR="000E58FA" w:rsidRPr="00AD3319" w14:paraId="508E9EBE" w14:textId="77777777" w:rsidTr="00391711">
        <w:tc>
          <w:tcPr>
            <w:tcW w:w="368" w:type="dxa"/>
            <w:shd w:val="clear" w:color="auto" w:fill="BDD6EE" w:themeFill="accent5" w:themeFillTint="66"/>
            <w:vAlign w:val="center"/>
          </w:tcPr>
          <w:p w14:paraId="54281AB5" w14:textId="7A589A49" w:rsidR="000E58FA" w:rsidRPr="00AD3319" w:rsidRDefault="000E58FA" w:rsidP="000E58FA">
            <w:pPr>
              <w:jc w:val="left"/>
              <w:rPr>
                <w:sz w:val="20"/>
                <w:szCs w:val="20"/>
              </w:rPr>
            </w:pPr>
            <w:r>
              <w:rPr>
                <w:sz w:val="20"/>
                <w:szCs w:val="20"/>
              </w:rPr>
              <w:t>4.</w:t>
            </w:r>
          </w:p>
        </w:tc>
        <w:tc>
          <w:tcPr>
            <w:tcW w:w="3204" w:type="dxa"/>
            <w:shd w:val="clear" w:color="auto" w:fill="E7E6E6" w:themeFill="background2"/>
            <w:vAlign w:val="center"/>
          </w:tcPr>
          <w:p w14:paraId="21956DD8" w14:textId="7B6B94A0" w:rsidR="000E58FA" w:rsidRPr="00AD3319" w:rsidRDefault="00391711" w:rsidP="000E58FA">
            <w:pPr>
              <w:jc w:val="left"/>
              <w:rPr>
                <w:sz w:val="20"/>
                <w:szCs w:val="20"/>
              </w:rPr>
            </w:pPr>
            <w:r>
              <w:rPr>
                <w:sz w:val="20"/>
                <w:szCs w:val="20"/>
              </w:rPr>
              <w:t>120 magántulajdonú</w:t>
            </w:r>
            <w:r w:rsidR="000E58FA" w:rsidRPr="00AD3319">
              <w:rPr>
                <w:sz w:val="20"/>
                <w:szCs w:val="20"/>
              </w:rPr>
              <w:t xml:space="preserve"> lakóépület energiahatékonysági célú komplex hőtechnikai felújítása</w:t>
            </w:r>
          </w:p>
        </w:tc>
        <w:tc>
          <w:tcPr>
            <w:tcW w:w="3673" w:type="dxa"/>
            <w:shd w:val="clear" w:color="auto" w:fill="E7E6E6" w:themeFill="background2"/>
            <w:vAlign w:val="center"/>
          </w:tcPr>
          <w:p w14:paraId="7CA3B402" w14:textId="536F67FE" w:rsidR="000E58FA" w:rsidRPr="00AD3319" w:rsidRDefault="000E58FA" w:rsidP="000E58FA">
            <w:pPr>
              <w:jc w:val="left"/>
              <w:rPr>
                <w:b/>
                <w:bCs/>
                <w:sz w:val="20"/>
                <w:szCs w:val="20"/>
              </w:rPr>
            </w:pPr>
            <w:r>
              <w:rPr>
                <w:b/>
                <w:bCs/>
                <w:sz w:val="20"/>
                <w:szCs w:val="20"/>
              </w:rPr>
              <w:t>A beruházás lépései megegyeznek a táblázat 1. pontjában ismertetettekkel</w:t>
            </w:r>
          </w:p>
        </w:tc>
        <w:tc>
          <w:tcPr>
            <w:tcW w:w="1413" w:type="dxa"/>
            <w:shd w:val="clear" w:color="auto" w:fill="E7E6E6" w:themeFill="background2"/>
            <w:vAlign w:val="center"/>
          </w:tcPr>
          <w:p w14:paraId="2F3DA7F0" w14:textId="080B81D9" w:rsidR="000E58FA" w:rsidRPr="000E58FA" w:rsidRDefault="000E58FA" w:rsidP="000E58FA">
            <w:pPr>
              <w:jc w:val="center"/>
              <w:rPr>
                <w:sz w:val="20"/>
                <w:szCs w:val="20"/>
              </w:rPr>
            </w:pPr>
            <w:r>
              <w:rPr>
                <w:sz w:val="20"/>
                <w:szCs w:val="20"/>
              </w:rPr>
              <w:t>2027</w:t>
            </w:r>
          </w:p>
        </w:tc>
        <w:tc>
          <w:tcPr>
            <w:tcW w:w="1361" w:type="dxa"/>
            <w:shd w:val="clear" w:color="auto" w:fill="E7E6E6" w:themeFill="background2"/>
            <w:vAlign w:val="center"/>
          </w:tcPr>
          <w:p w14:paraId="6B607BB9" w14:textId="3A7D14A6" w:rsidR="000E58FA" w:rsidRPr="000E58FA" w:rsidRDefault="000E58FA" w:rsidP="000E58FA">
            <w:pPr>
              <w:jc w:val="center"/>
              <w:rPr>
                <w:sz w:val="20"/>
                <w:szCs w:val="20"/>
              </w:rPr>
            </w:pPr>
            <w:r>
              <w:rPr>
                <w:sz w:val="20"/>
                <w:szCs w:val="20"/>
              </w:rPr>
              <w:t>203</w:t>
            </w:r>
            <w:r w:rsidR="00925027">
              <w:rPr>
                <w:sz w:val="20"/>
                <w:szCs w:val="20"/>
              </w:rPr>
              <w:t>3</w:t>
            </w:r>
          </w:p>
        </w:tc>
        <w:tc>
          <w:tcPr>
            <w:tcW w:w="2315" w:type="dxa"/>
            <w:shd w:val="clear" w:color="auto" w:fill="E7E6E6" w:themeFill="background2"/>
          </w:tcPr>
          <w:p w14:paraId="77FD9B3D" w14:textId="7778F9D0" w:rsidR="009C52DF" w:rsidRPr="009C52DF" w:rsidRDefault="009C52DF" w:rsidP="009C52DF">
            <w:pPr>
              <w:jc w:val="left"/>
              <w:rPr>
                <w:sz w:val="20"/>
                <w:szCs w:val="20"/>
              </w:rPr>
            </w:pPr>
            <w:r w:rsidRPr="009C52DF">
              <w:rPr>
                <w:sz w:val="20"/>
                <w:szCs w:val="20"/>
              </w:rPr>
              <w:t>Összes éves fűtési hőigény csökkenés, ƩΔQ</w:t>
            </w:r>
            <w:r w:rsidRPr="009C52DF">
              <w:rPr>
                <w:sz w:val="20"/>
                <w:szCs w:val="20"/>
                <w:vertAlign w:val="subscript"/>
              </w:rPr>
              <w:t>F</w:t>
            </w:r>
            <w:r w:rsidRPr="009C52DF">
              <w:rPr>
                <w:sz w:val="20"/>
                <w:szCs w:val="20"/>
              </w:rPr>
              <w:t xml:space="preserve">: </w:t>
            </w:r>
            <w:r w:rsidR="00391711">
              <w:rPr>
                <w:sz w:val="20"/>
                <w:szCs w:val="20"/>
              </w:rPr>
              <w:t>29.231</w:t>
            </w:r>
            <w:r w:rsidRPr="009C52DF">
              <w:rPr>
                <w:sz w:val="20"/>
                <w:szCs w:val="20"/>
              </w:rPr>
              <w:t xml:space="preserve"> MWh/év</w:t>
            </w:r>
          </w:p>
          <w:p w14:paraId="6F776ABB" w14:textId="582A62F4" w:rsidR="000E58FA" w:rsidRPr="00AD3319" w:rsidRDefault="009C52DF" w:rsidP="009C52DF">
            <w:pPr>
              <w:jc w:val="left"/>
              <w:rPr>
                <w:sz w:val="20"/>
                <w:szCs w:val="20"/>
              </w:rPr>
            </w:pPr>
            <w:r w:rsidRPr="009C52DF">
              <w:rPr>
                <w:sz w:val="20"/>
                <w:szCs w:val="20"/>
              </w:rPr>
              <w:t xml:space="preserve">Összes éves kibocsátás csökkenés: </w:t>
            </w:r>
            <w:r w:rsidR="00391711">
              <w:rPr>
                <w:sz w:val="20"/>
                <w:szCs w:val="20"/>
              </w:rPr>
              <w:t>7.670</w:t>
            </w:r>
            <w:r w:rsidRPr="009C52DF">
              <w:rPr>
                <w:sz w:val="20"/>
                <w:szCs w:val="20"/>
              </w:rPr>
              <w:t xml:space="preserve"> tonna CO</w:t>
            </w:r>
            <w:r w:rsidRPr="009C52DF">
              <w:rPr>
                <w:sz w:val="20"/>
                <w:szCs w:val="20"/>
                <w:vertAlign w:val="subscript"/>
              </w:rPr>
              <w:t>2ekvivalens</w:t>
            </w:r>
            <w:r w:rsidRPr="009C52DF">
              <w:rPr>
                <w:sz w:val="20"/>
                <w:szCs w:val="20"/>
              </w:rPr>
              <w:t>/év</w:t>
            </w:r>
          </w:p>
        </w:tc>
        <w:tc>
          <w:tcPr>
            <w:tcW w:w="1658" w:type="dxa"/>
            <w:shd w:val="clear" w:color="auto" w:fill="E7E6E6" w:themeFill="background2"/>
            <w:vAlign w:val="center"/>
          </w:tcPr>
          <w:p w14:paraId="534671F5" w14:textId="153489E1" w:rsidR="000E58FA" w:rsidRPr="00AD3319" w:rsidRDefault="000E58FA" w:rsidP="000E58FA">
            <w:pPr>
              <w:jc w:val="center"/>
              <w:rPr>
                <w:sz w:val="20"/>
                <w:szCs w:val="20"/>
              </w:rPr>
            </w:pPr>
            <w:r w:rsidRPr="00842AC4">
              <w:rPr>
                <w:sz w:val="20"/>
                <w:szCs w:val="20"/>
              </w:rPr>
              <w:t>Budapest Főváros VII. kerület Erzsébetváros Önkormányzata</w:t>
            </w:r>
          </w:p>
        </w:tc>
      </w:tr>
      <w:tr w:rsidR="000E58FA" w:rsidRPr="00AD3319" w14:paraId="3FAF682A" w14:textId="77777777" w:rsidTr="00391711">
        <w:tc>
          <w:tcPr>
            <w:tcW w:w="368" w:type="dxa"/>
            <w:shd w:val="clear" w:color="auto" w:fill="BDD6EE" w:themeFill="accent5" w:themeFillTint="66"/>
            <w:vAlign w:val="center"/>
          </w:tcPr>
          <w:p w14:paraId="2D0B57EC" w14:textId="4D5A1270" w:rsidR="000E58FA" w:rsidRDefault="000E58FA" w:rsidP="000E58FA">
            <w:pPr>
              <w:jc w:val="left"/>
              <w:rPr>
                <w:sz w:val="20"/>
                <w:szCs w:val="20"/>
              </w:rPr>
            </w:pPr>
            <w:r>
              <w:rPr>
                <w:sz w:val="20"/>
                <w:szCs w:val="20"/>
              </w:rPr>
              <w:t>5.</w:t>
            </w:r>
          </w:p>
        </w:tc>
        <w:tc>
          <w:tcPr>
            <w:tcW w:w="3204" w:type="dxa"/>
            <w:shd w:val="clear" w:color="auto" w:fill="E7E6E6" w:themeFill="background2"/>
            <w:vAlign w:val="center"/>
          </w:tcPr>
          <w:p w14:paraId="2738D26D" w14:textId="39C44C4C" w:rsidR="000E58FA" w:rsidRPr="00AD3319" w:rsidRDefault="000E58FA" w:rsidP="000E58FA">
            <w:pPr>
              <w:jc w:val="left"/>
              <w:rPr>
                <w:sz w:val="20"/>
                <w:szCs w:val="20"/>
              </w:rPr>
            </w:pPr>
            <w:r w:rsidRPr="00F33127">
              <w:rPr>
                <w:sz w:val="20"/>
                <w:szCs w:val="20"/>
              </w:rPr>
              <w:t xml:space="preserve">Hőszivattyúk beüzemelése gázenergia fűtési ellátás helyett </w:t>
            </w:r>
            <w:r w:rsidR="007D61C8">
              <w:rPr>
                <w:sz w:val="20"/>
                <w:szCs w:val="20"/>
              </w:rPr>
              <w:t>120</w:t>
            </w:r>
            <w:r w:rsidR="00391711">
              <w:rPr>
                <w:sz w:val="20"/>
                <w:szCs w:val="20"/>
              </w:rPr>
              <w:t xml:space="preserve"> magántulajdonú</w:t>
            </w:r>
            <w:r w:rsidRPr="00F33127">
              <w:rPr>
                <w:sz w:val="20"/>
                <w:szCs w:val="20"/>
              </w:rPr>
              <w:t xml:space="preserve"> lakóépületben</w:t>
            </w:r>
          </w:p>
        </w:tc>
        <w:tc>
          <w:tcPr>
            <w:tcW w:w="3673" w:type="dxa"/>
            <w:shd w:val="clear" w:color="auto" w:fill="E7E6E6" w:themeFill="background2"/>
            <w:vAlign w:val="center"/>
          </w:tcPr>
          <w:p w14:paraId="49ED6355" w14:textId="740BE77E" w:rsidR="000E58FA" w:rsidRDefault="000E58FA" w:rsidP="000E58FA">
            <w:pPr>
              <w:jc w:val="left"/>
              <w:rPr>
                <w:b/>
                <w:bCs/>
                <w:sz w:val="20"/>
                <w:szCs w:val="20"/>
              </w:rPr>
            </w:pPr>
            <w:r>
              <w:rPr>
                <w:b/>
                <w:bCs/>
                <w:sz w:val="20"/>
                <w:szCs w:val="20"/>
              </w:rPr>
              <w:t>A beruházás lépései megegyeznek a táblázat 2. pontjában ismertetettekkel</w:t>
            </w:r>
          </w:p>
        </w:tc>
        <w:tc>
          <w:tcPr>
            <w:tcW w:w="1413" w:type="dxa"/>
            <w:shd w:val="clear" w:color="auto" w:fill="E7E6E6" w:themeFill="background2"/>
            <w:vAlign w:val="center"/>
          </w:tcPr>
          <w:p w14:paraId="33089583" w14:textId="5B675950" w:rsidR="000E58FA" w:rsidRPr="000E58FA" w:rsidRDefault="000E58FA" w:rsidP="000E58FA">
            <w:pPr>
              <w:jc w:val="center"/>
              <w:rPr>
                <w:sz w:val="20"/>
                <w:szCs w:val="20"/>
              </w:rPr>
            </w:pPr>
            <w:r>
              <w:rPr>
                <w:sz w:val="20"/>
                <w:szCs w:val="20"/>
              </w:rPr>
              <w:t>2027</w:t>
            </w:r>
          </w:p>
        </w:tc>
        <w:tc>
          <w:tcPr>
            <w:tcW w:w="1361" w:type="dxa"/>
            <w:shd w:val="clear" w:color="auto" w:fill="E7E6E6" w:themeFill="background2"/>
            <w:vAlign w:val="center"/>
          </w:tcPr>
          <w:p w14:paraId="6B5C9010" w14:textId="6EC50815" w:rsidR="000E58FA" w:rsidRPr="000E58FA" w:rsidRDefault="000E58FA" w:rsidP="000E58FA">
            <w:pPr>
              <w:jc w:val="center"/>
              <w:rPr>
                <w:sz w:val="20"/>
                <w:szCs w:val="20"/>
              </w:rPr>
            </w:pPr>
            <w:r>
              <w:rPr>
                <w:sz w:val="20"/>
                <w:szCs w:val="20"/>
              </w:rPr>
              <w:t>203</w:t>
            </w:r>
            <w:r w:rsidR="00925027">
              <w:rPr>
                <w:sz w:val="20"/>
                <w:szCs w:val="20"/>
              </w:rPr>
              <w:t>3</w:t>
            </w:r>
          </w:p>
        </w:tc>
        <w:tc>
          <w:tcPr>
            <w:tcW w:w="2315" w:type="dxa"/>
            <w:shd w:val="clear" w:color="auto" w:fill="E7E6E6" w:themeFill="background2"/>
          </w:tcPr>
          <w:p w14:paraId="7BC87098" w14:textId="49E00A9E" w:rsidR="009C52DF" w:rsidRPr="009C52DF" w:rsidRDefault="009C52DF" w:rsidP="009C52DF">
            <w:pPr>
              <w:jc w:val="left"/>
              <w:rPr>
                <w:sz w:val="20"/>
                <w:szCs w:val="20"/>
              </w:rPr>
            </w:pPr>
            <w:r w:rsidRPr="009C52DF">
              <w:rPr>
                <w:sz w:val="20"/>
                <w:szCs w:val="20"/>
              </w:rPr>
              <w:t xml:space="preserve">Összes megújuló energia: </w:t>
            </w:r>
            <w:r w:rsidR="007D61C8">
              <w:rPr>
                <w:sz w:val="20"/>
                <w:szCs w:val="20"/>
              </w:rPr>
              <w:t>15.486</w:t>
            </w:r>
            <w:r w:rsidRPr="009C52DF">
              <w:rPr>
                <w:sz w:val="20"/>
                <w:szCs w:val="20"/>
              </w:rPr>
              <w:t xml:space="preserve"> MWh/év</w:t>
            </w:r>
          </w:p>
          <w:p w14:paraId="590FAEF8" w14:textId="503A777A" w:rsidR="000E58FA" w:rsidRPr="00AD3319" w:rsidRDefault="009C52DF" w:rsidP="009C52DF">
            <w:pPr>
              <w:jc w:val="left"/>
              <w:rPr>
                <w:sz w:val="20"/>
                <w:szCs w:val="20"/>
              </w:rPr>
            </w:pPr>
            <w:r w:rsidRPr="009C52DF">
              <w:rPr>
                <w:sz w:val="20"/>
                <w:szCs w:val="20"/>
              </w:rPr>
              <w:t xml:space="preserve">Összes éves kibocsátás csökkenés: </w:t>
            </w:r>
            <w:r w:rsidR="007D61C8">
              <w:rPr>
                <w:sz w:val="20"/>
                <w:szCs w:val="20"/>
              </w:rPr>
              <w:t>3.379</w:t>
            </w:r>
            <w:r w:rsidRPr="009C52DF">
              <w:rPr>
                <w:sz w:val="20"/>
                <w:szCs w:val="20"/>
              </w:rPr>
              <w:t xml:space="preserve"> tonna CO</w:t>
            </w:r>
            <w:r w:rsidRPr="009C52DF">
              <w:rPr>
                <w:sz w:val="20"/>
                <w:szCs w:val="20"/>
                <w:vertAlign w:val="subscript"/>
              </w:rPr>
              <w:t>2ekvivalens</w:t>
            </w:r>
            <w:r w:rsidRPr="009C52DF">
              <w:rPr>
                <w:sz w:val="20"/>
                <w:szCs w:val="20"/>
              </w:rPr>
              <w:t>/év</w:t>
            </w:r>
          </w:p>
        </w:tc>
        <w:tc>
          <w:tcPr>
            <w:tcW w:w="1658" w:type="dxa"/>
            <w:shd w:val="clear" w:color="auto" w:fill="E7E6E6" w:themeFill="background2"/>
            <w:vAlign w:val="center"/>
          </w:tcPr>
          <w:p w14:paraId="49B8555B" w14:textId="1B9A2760" w:rsidR="000E58FA" w:rsidRPr="00AD3319" w:rsidRDefault="000E58FA" w:rsidP="000E58FA">
            <w:pPr>
              <w:jc w:val="center"/>
              <w:rPr>
                <w:sz w:val="20"/>
                <w:szCs w:val="20"/>
              </w:rPr>
            </w:pPr>
            <w:r w:rsidRPr="00842AC4">
              <w:rPr>
                <w:sz w:val="20"/>
                <w:szCs w:val="20"/>
              </w:rPr>
              <w:t>Budapest Főváros VII. kerület Erzsébetváros Önkormányzata</w:t>
            </w:r>
          </w:p>
        </w:tc>
      </w:tr>
      <w:tr w:rsidR="000E58FA" w:rsidRPr="00AD3319" w14:paraId="6D248388" w14:textId="77777777" w:rsidTr="00391711">
        <w:tc>
          <w:tcPr>
            <w:tcW w:w="368" w:type="dxa"/>
            <w:shd w:val="clear" w:color="auto" w:fill="BDD6EE" w:themeFill="accent5" w:themeFillTint="66"/>
            <w:vAlign w:val="center"/>
          </w:tcPr>
          <w:p w14:paraId="69824644" w14:textId="02F8F3F8" w:rsidR="000E58FA" w:rsidRDefault="000E58FA" w:rsidP="000E58FA">
            <w:pPr>
              <w:jc w:val="left"/>
              <w:rPr>
                <w:sz w:val="20"/>
                <w:szCs w:val="20"/>
              </w:rPr>
            </w:pPr>
            <w:r>
              <w:rPr>
                <w:sz w:val="20"/>
                <w:szCs w:val="20"/>
              </w:rPr>
              <w:t>6.</w:t>
            </w:r>
          </w:p>
        </w:tc>
        <w:tc>
          <w:tcPr>
            <w:tcW w:w="3204" w:type="dxa"/>
            <w:shd w:val="clear" w:color="auto" w:fill="E7E6E6" w:themeFill="background2"/>
            <w:vAlign w:val="center"/>
          </w:tcPr>
          <w:p w14:paraId="45CE7B51" w14:textId="6FC5B136" w:rsidR="000E58FA" w:rsidRPr="00AD3319" w:rsidRDefault="000E58FA" w:rsidP="000E58FA">
            <w:pPr>
              <w:jc w:val="left"/>
              <w:rPr>
                <w:sz w:val="20"/>
                <w:szCs w:val="20"/>
              </w:rPr>
            </w:pPr>
            <w:r w:rsidRPr="00F33127">
              <w:rPr>
                <w:sz w:val="20"/>
                <w:szCs w:val="20"/>
              </w:rPr>
              <w:t xml:space="preserve">PV napelemek telepítése </w:t>
            </w:r>
            <w:r w:rsidR="00391711">
              <w:rPr>
                <w:sz w:val="20"/>
                <w:szCs w:val="20"/>
              </w:rPr>
              <w:t>120 magántulajdonú</w:t>
            </w:r>
            <w:r w:rsidRPr="00F33127">
              <w:rPr>
                <w:sz w:val="20"/>
                <w:szCs w:val="20"/>
              </w:rPr>
              <w:t xml:space="preserve"> lakóépület tetőjére</w:t>
            </w:r>
          </w:p>
        </w:tc>
        <w:tc>
          <w:tcPr>
            <w:tcW w:w="3673" w:type="dxa"/>
            <w:shd w:val="clear" w:color="auto" w:fill="E7E6E6" w:themeFill="background2"/>
            <w:vAlign w:val="center"/>
          </w:tcPr>
          <w:p w14:paraId="1D5D9963" w14:textId="6E644358" w:rsidR="000E58FA" w:rsidRDefault="000E58FA" w:rsidP="000E58FA">
            <w:pPr>
              <w:jc w:val="left"/>
              <w:rPr>
                <w:b/>
                <w:bCs/>
                <w:sz w:val="20"/>
                <w:szCs w:val="20"/>
              </w:rPr>
            </w:pPr>
            <w:r>
              <w:rPr>
                <w:b/>
                <w:bCs/>
                <w:sz w:val="20"/>
                <w:szCs w:val="20"/>
              </w:rPr>
              <w:t>A beruházás lépései megegyeznek a táblázat 3. pontjában ismertetettekkel</w:t>
            </w:r>
          </w:p>
        </w:tc>
        <w:tc>
          <w:tcPr>
            <w:tcW w:w="1413" w:type="dxa"/>
            <w:shd w:val="clear" w:color="auto" w:fill="E7E6E6" w:themeFill="background2"/>
            <w:vAlign w:val="center"/>
          </w:tcPr>
          <w:p w14:paraId="2AD21EF7" w14:textId="3ECED195" w:rsidR="000E58FA" w:rsidRPr="000E58FA" w:rsidRDefault="000E58FA" w:rsidP="000E58FA">
            <w:pPr>
              <w:jc w:val="center"/>
              <w:rPr>
                <w:sz w:val="20"/>
                <w:szCs w:val="20"/>
              </w:rPr>
            </w:pPr>
            <w:r>
              <w:rPr>
                <w:sz w:val="20"/>
                <w:szCs w:val="20"/>
              </w:rPr>
              <w:t>2027</w:t>
            </w:r>
          </w:p>
        </w:tc>
        <w:tc>
          <w:tcPr>
            <w:tcW w:w="1361" w:type="dxa"/>
            <w:shd w:val="clear" w:color="auto" w:fill="E7E6E6" w:themeFill="background2"/>
            <w:vAlign w:val="center"/>
          </w:tcPr>
          <w:p w14:paraId="59FAC5D1" w14:textId="413C421D" w:rsidR="000E58FA" w:rsidRPr="000E58FA" w:rsidRDefault="000E58FA" w:rsidP="000E58FA">
            <w:pPr>
              <w:jc w:val="center"/>
              <w:rPr>
                <w:sz w:val="20"/>
                <w:szCs w:val="20"/>
              </w:rPr>
            </w:pPr>
            <w:r>
              <w:rPr>
                <w:sz w:val="20"/>
                <w:szCs w:val="20"/>
              </w:rPr>
              <w:t>203</w:t>
            </w:r>
            <w:r w:rsidR="00925027">
              <w:rPr>
                <w:sz w:val="20"/>
                <w:szCs w:val="20"/>
              </w:rPr>
              <w:t>3</w:t>
            </w:r>
          </w:p>
        </w:tc>
        <w:tc>
          <w:tcPr>
            <w:tcW w:w="2315" w:type="dxa"/>
            <w:shd w:val="clear" w:color="auto" w:fill="E7E6E6" w:themeFill="background2"/>
          </w:tcPr>
          <w:p w14:paraId="6E719A3B" w14:textId="17A0C825" w:rsidR="009C52DF" w:rsidRPr="009C52DF" w:rsidRDefault="009C52DF" w:rsidP="009C52DF">
            <w:pPr>
              <w:jc w:val="left"/>
              <w:rPr>
                <w:sz w:val="20"/>
                <w:szCs w:val="20"/>
              </w:rPr>
            </w:pPr>
            <w:r w:rsidRPr="009C52DF">
              <w:rPr>
                <w:sz w:val="20"/>
                <w:szCs w:val="20"/>
              </w:rPr>
              <w:t xml:space="preserve">Összes éves megtermelt megújuló villamos energia: </w:t>
            </w:r>
            <w:r w:rsidR="00391711" w:rsidRPr="00391711">
              <w:rPr>
                <w:sz w:val="20"/>
                <w:szCs w:val="20"/>
              </w:rPr>
              <w:t>5</w:t>
            </w:r>
            <w:r w:rsidR="00391711">
              <w:rPr>
                <w:sz w:val="20"/>
                <w:szCs w:val="20"/>
              </w:rPr>
              <w:t>.</w:t>
            </w:r>
            <w:r w:rsidR="00391711" w:rsidRPr="00391711">
              <w:rPr>
                <w:sz w:val="20"/>
                <w:szCs w:val="20"/>
              </w:rPr>
              <w:t>712</w:t>
            </w:r>
            <w:r w:rsidR="00391711">
              <w:rPr>
                <w:sz w:val="20"/>
                <w:szCs w:val="20"/>
              </w:rPr>
              <w:t xml:space="preserve"> </w:t>
            </w:r>
            <w:r w:rsidRPr="009C52DF">
              <w:rPr>
                <w:sz w:val="20"/>
                <w:szCs w:val="20"/>
              </w:rPr>
              <w:t>MWh/év</w:t>
            </w:r>
          </w:p>
          <w:p w14:paraId="0483C5D6" w14:textId="53AEFF9A" w:rsidR="000E58FA" w:rsidRPr="00AD3319" w:rsidRDefault="009C52DF" w:rsidP="009C52DF">
            <w:pPr>
              <w:jc w:val="left"/>
              <w:rPr>
                <w:sz w:val="20"/>
                <w:szCs w:val="20"/>
              </w:rPr>
            </w:pPr>
            <w:r w:rsidRPr="009C52DF">
              <w:rPr>
                <w:sz w:val="20"/>
                <w:szCs w:val="20"/>
              </w:rPr>
              <w:t xml:space="preserve">Összes éves kibocsátás csökkenés: </w:t>
            </w:r>
            <w:r w:rsidR="00391711">
              <w:rPr>
                <w:sz w:val="20"/>
                <w:szCs w:val="20"/>
              </w:rPr>
              <w:t>2.112</w:t>
            </w:r>
            <w:r w:rsidRPr="009C52DF">
              <w:rPr>
                <w:sz w:val="20"/>
                <w:szCs w:val="20"/>
              </w:rPr>
              <w:t xml:space="preserve"> tonna CO</w:t>
            </w:r>
            <w:r w:rsidRPr="009C52DF">
              <w:rPr>
                <w:sz w:val="20"/>
                <w:szCs w:val="20"/>
                <w:vertAlign w:val="subscript"/>
              </w:rPr>
              <w:t>2ekvivalens</w:t>
            </w:r>
            <w:r w:rsidRPr="009C52DF">
              <w:rPr>
                <w:sz w:val="20"/>
                <w:szCs w:val="20"/>
              </w:rPr>
              <w:t>/év</w:t>
            </w:r>
          </w:p>
        </w:tc>
        <w:tc>
          <w:tcPr>
            <w:tcW w:w="1658" w:type="dxa"/>
            <w:shd w:val="clear" w:color="auto" w:fill="E7E6E6" w:themeFill="background2"/>
            <w:vAlign w:val="center"/>
          </w:tcPr>
          <w:p w14:paraId="4E494D3A" w14:textId="03E54EEB" w:rsidR="000E58FA" w:rsidRPr="00AD3319" w:rsidRDefault="000E58FA" w:rsidP="000E58FA">
            <w:pPr>
              <w:jc w:val="center"/>
              <w:rPr>
                <w:sz w:val="20"/>
                <w:szCs w:val="20"/>
              </w:rPr>
            </w:pPr>
            <w:r w:rsidRPr="00842AC4">
              <w:rPr>
                <w:sz w:val="20"/>
                <w:szCs w:val="20"/>
              </w:rPr>
              <w:t>Budapest Főváros VII. kerület Erzsébetváros Önkormányzata</w:t>
            </w:r>
          </w:p>
        </w:tc>
      </w:tr>
    </w:tbl>
    <w:p w14:paraId="0CE2176E" w14:textId="77777777" w:rsidR="002B3FB3" w:rsidRDefault="002B3FB3">
      <w:pPr>
        <w:jc w:val="left"/>
        <w:sectPr w:rsidR="002B3FB3" w:rsidSect="002B3FB3">
          <w:pgSz w:w="16838" w:h="11906" w:orient="landscape"/>
          <w:pgMar w:top="1418" w:right="1418" w:bottom="1418" w:left="1418" w:header="709" w:footer="709" w:gutter="0"/>
          <w:cols w:space="708"/>
          <w:titlePg/>
          <w:docGrid w:linePitch="360"/>
        </w:sectPr>
      </w:pPr>
    </w:p>
    <w:p w14:paraId="32EA9EBC" w14:textId="77777777" w:rsidR="009D28A4" w:rsidRDefault="009D28A4" w:rsidP="009D28A4">
      <w:pPr>
        <w:pStyle w:val="Cmsor1"/>
      </w:pPr>
      <w:bookmarkStart w:id="42" w:name="_Toc133510189"/>
      <w:r>
        <w:lastRenderedPageBreak/>
        <w:t>Mellékletek</w:t>
      </w:r>
      <w:bookmarkEnd w:id="42"/>
    </w:p>
    <w:tbl>
      <w:tblPr>
        <w:tblStyle w:val="Rcsostblzat"/>
        <w:tblW w:w="0" w:type="auto"/>
        <w:tblLook w:val="04A0" w:firstRow="1" w:lastRow="0" w:firstColumn="1" w:lastColumn="0" w:noHBand="0" w:noVBand="1"/>
      </w:tblPr>
      <w:tblGrid>
        <w:gridCol w:w="562"/>
        <w:gridCol w:w="8500"/>
      </w:tblGrid>
      <w:tr w:rsidR="009D28A4" w14:paraId="04918008" w14:textId="77777777" w:rsidTr="009D28A4">
        <w:tc>
          <w:tcPr>
            <w:tcW w:w="562" w:type="dxa"/>
            <w:shd w:val="clear" w:color="auto" w:fill="BDD6EE" w:themeFill="accent5" w:themeFillTint="66"/>
          </w:tcPr>
          <w:p w14:paraId="6EDEED62" w14:textId="716A0A25" w:rsidR="009D28A4" w:rsidRPr="009D28A4" w:rsidRDefault="009D28A4" w:rsidP="009D28A4">
            <w:pPr>
              <w:jc w:val="left"/>
              <w:rPr>
                <w:b/>
                <w:bCs/>
              </w:rPr>
            </w:pPr>
            <w:r w:rsidRPr="009D28A4">
              <w:rPr>
                <w:b/>
                <w:bCs/>
              </w:rPr>
              <w:t>1.3.</w:t>
            </w:r>
          </w:p>
        </w:tc>
        <w:tc>
          <w:tcPr>
            <w:tcW w:w="8500" w:type="dxa"/>
          </w:tcPr>
          <w:p w14:paraId="7945C488" w14:textId="2B4105C4" w:rsidR="009D28A4" w:rsidRPr="009D28A4" w:rsidRDefault="009D28A4" w:rsidP="009D28A4">
            <w:pPr>
              <w:jc w:val="left"/>
              <w:rPr>
                <w:b/>
                <w:bCs/>
              </w:rPr>
            </w:pPr>
            <w:r w:rsidRPr="009D28A4">
              <w:rPr>
                <w:b/>
                <w:bCs/>
              </w:rPr>
              <w:t>A beruházási projekt bemutatása</w:t>
            </w:r>
          </w:p>
        </w:tc>
      </w:tr>
      <w:tr w:rsidR="009D28A4" w14:paraId="05F0C64B" w14:textId="77777777" w:rsidTr="009D28A4">
        <w:tc>
          <w:tcPr>
            <w:tcW w:w="562" w:type="dxa"/>
            <w:shd w:val="clear" w:color="auto" w:fill="BDD6EE" w:themeFill="accent5" w:themeFillTint="66"/>
          </w:tcPr>
          <w:p w14:paraId="42F98CAE" w14:textId="250CFFE1" w:rsidR="009D28A4" w:rsidRPr="009D28A4" w:rsidRDefault="009D28A4" w:rsidP="009D28A4">
            <w:pPr>
              <w:jc w:val="left"/>
              <w:rPr>
                <w:b/>
                <w:bCs/>
              </w:rPr>
            </w:pPr>
            <w:r w:rsidRPr="009D28A4">
              <w:rPr>
                <w:b/>
                <w:bCs/>
              </w:rPr>
              <w:t>4.1.</w:t>
            </w:r>
          </w:p>
        </w:tc>
        <w:tc>
          <w:tcPr>
            <w:tcW w:w="8500" w:type="dxa"/>
          </w:tcPr>
          <w:p w14:paraId="7A96CAD8" w14:textId="3B1F2587" w:rsidR="009D28A4" w:rsidRPr="009D28A4" w:rsidRDefault="009D28A4" w:rsidP="009D28A4">
            <w:pPr>
              <w:jc w:val="left"/>
              <w:rPr>
                <w:b/>
                <w:bCs/>
              </w:rPr>
            </w:pPr>
            <w:r w:rsidRPr="009D28A4">
              <w:rPr>
                <w:b/>
                <w:bCs/>
              </w:rPr>
              <w:t>Becsült kiadások és bevételek</w:t>
            </w:r>
          </w:p>
        </w:tc>
      </w:tr>
      <w:tr w:rsidR="009D28A4" w14:paraId="3C13B1F3" w14:textId="77777777" w:rsidTr="009D28A4">
        <w:tc>
          <w:tcPr>
            <w:tcW w:w="562" w:type="dxa"/>
            <w:shd w:val="clear" w:color="auto" w:fill="BDD6EE" w:themeFill="accent5" w:themeFillTint="66"/>
          </w:tcPr>
          <w:p w14:paraId="00F3EE9C" w14:textId="413839C5" w:rsidR="009D28A4" w:rsidRPr="009D28A4" w:rsidRDefault="009D28A4" w:rsidP="009D28A4">
            <w:pPr>
              <w:jc w:val="left"/>
              <w:rPr>
                <w:b/>
                <w:bCs/>
              </w:rPr>
            </w:pPr>
            <w:r w:rsidRPr="009D28A4">
              <w:rPr>
                <w:b/>
                <w:bCs/>
              </w:rPr>
              <w:t>4.2.</w:t>
            </w:r>
          </w:p>
        </w:tc>
        <w:tc>
          <w:tcPr>
            <w:tcW w:w="8500" w:type="dxa"/>
          </w:tcPr>
          <w:p w14:paraId="29159577" w14:textId="20D6E166" w:rsidR="009D28A4" w:rsidRPr="009D28A4" w:rsidRDefault="009D28A4" w:rsidP="009D28A4">
            <w:pPr>
              <w:jc w:val="left"/>
              <w:rPr>
                <w:b/>
                <w:bCs/>
              </w:rPr>
            </w:pPr>
            <w:r w:rsidRPr="009D28A4">
              <w:rPr>
                <w:b/>
                <w:bCs/>
              </w:rPr>
              <w:t>Gazdasági életképesség</w:t>
            </w:r>
          </w:p>
        </w:tc>
      </w:tr>
      <w:tr w:rsidR="00081E7A" w14:paraId="3C3EB2DF" w14:textId="77777777" w:rsidTr="00081E7A">
        <w:tc>
          <w:tcPr>
            <w:tcW w:w="562" w:type="dxa"/>
            <w:shd w:val="clear" w:color="auto" w:fill="BDD6EE" w:themeFill="accent5" w:themeFillTint="66"/>
            <w:vAlign w:val="center"/>
          </w:tcPr>
          <w:p w14:paraId="08B589C1" w14:textId="35A7B12F" w:rsidR="00081E7A" w:rsidRPr="009D28A4" w:rsidRDefault="00081E7A" w:rsidP="00081E7A">
            <w:pPr>
              <w:jc w:val="left"/>
              <w:rPr>
                <w:b/>
                <w:bCs/>
              </w:rPr>
            </w:pPr>
            <w:r>
              <w:rPr>
                <w:b/>
                <w:bCs/>
              </w:rPr>
              <w:t>4.4</w:t>
            </w:r>
          </w:p>
        </w:tc>
        <w:tc>
          <w:tcPr>
            <w:tcW w:w="8500" w:type="dxa"/>
          </w:tcPr>
          <w:p w14:paraId="37726FFB" w14:textId="21A9DADE" w:rsidR="00081E7A" w:rsidRPr="009D28A4" w:rsidRDefault="00081E7A" w:rsidP="00081E7A">
            <w:pPr>
              <w:jc w:val="left"/>
              <w:rPr>
                <w:b/>
                <w:bCs/>
              </w:rPr>
            </w:pPr>
            <w:r w:rsidRPr="00081E7A">
              <w:rPr>
                <w:b/>
                <w:bCs/>
              </w:rPr>
              <w:t>Finanszírozási mód és pénzügyi források</w:t>
            </w:r>
            <w:r>
              <w:rPr>
                <w:b/>
                <w:bCs/>
              </w:rPr>
              <w:t xml:space="preserve"> (</w:t>
            </w:r>
            <w:r w:rsidRPr="00081E7A">
              <w:rPr>
                <w:b/>
                <w:bCs/>
              </w:rPr>
              <w:t xml:space="preserve">Energiahatékonysági </w:t>
            </w:r>
            <w:r>
              <w:rPr>
                <w:b/>
                <w:bCs/>
              </w:rPr>
              <w:t>é</w:t>
            </w:r>
            <w:r w:rsidRPr="00081E7A">
              <w:rPr>
                <w:b/>
                <w:bCs/>
              </w:rPr>
              <w:t>s Klímavédelmi Alap Koncepció</w:t>
            </w:r>
            <w:r>
              <w:rPr>
                <w:b/>
                <w:bCs/>
              </w:rPr>
              <w:t>)</w:t>
            </w:r>
          </w:p>
        </w:tc>
      </w:tr>
    </w:tbl>
    <w:p w14:paraId="1D49F83D" w14:textId="77777777" w:rsidR="002B3FB3" w:rsidRDefault="002B3FB3">
      <w:pPr>
        <w:jc w:val="left"/>
      </w:pPr>
    </w:p>
    <w:p w14:paraId="16259AD3" w14:textId="77777777" w:rsidR="000A511D" w:rsidRPr="00235CD4" w:rsidRDefault="000A511D" w:rsidP="00235CD4"/>
    <w:sectPr w:rsidR="000A511D" w:rsidRPr="00235CD4" w:rsidSect="001C71F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F448A" w14:textId="77777777" w:rsidR="00D11EB5" w:rsidRDefault="00D11EB5" w:rsidP="001C71F4">
      <w:pPr>
        <w:spacing w:after="0" w:line="240" w:lineRule="auto"/>
      </w:pPr>
      <w:r>
        <w:separator/>
      </w:r>
    </w:p>
  </w:endnote>
  <w:endnote w:type="continuationSeparator" w:id="0">
    <w:p w14:paraId="64229F8E" w14:textId="77777777" w:rsidR="00D11EB5" w:rsidRDefault="00D11EB5" w:rsidP="001C7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ource Sans Pr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ource Sans Pro Black">
    <w:altName w:val="Times New Roman"/>
    <w:panose1 w:val="00000000000000000000"/>
    <w:charset w:val="00"/>
    <w:family w:val="roman"/>
    <w:notTrueType/>
    <w:pitch w:val="default"/>
  </w:font>
  <w:font w:name="Open San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556346"/>
      <w:docPartObj>
        <w:docPartGallery w:val="Page Numbers (Bottom of Page)"/>
        <w:docPartUnique/>
      </w:docPartObj>
    </w:sdtPr>
    <w:sdtEndPr/>
    <w:sdtContent>
      <w:p w14:paraId="0B9485CA" w14:textId="53EE6884" w:rsidR="00E83801" w:rsidRDefault="00E83801">
        <w:pPr>
          <w:pStyle w:val="llb"/>
          <w:jc w:val="center"/>
        </w:pPr>
        <w:r>
          <w:fldChar w:fldCharType="begin"/>
        </w:r>
        <w:r>
          <w:instrText>PAGE   \* MERGEFORMAT</w:instrText>
        </w:r>
        <w:r>
          <w:fldChar w:fldCharType="separate"/>
        </w:r>
        <w:r w:rsidR="00C012D9">
          <w:rPr>
            <w:noProof/>
          </w:rPr>
          <w:t>45</w:t>
        </w:r>
        <w:r>
          <w:fldChar w:fldCharType="end"/>
        </w:r>
      </w:p>
    </w:sdtContent>
  </w:sdt>
  <w:p w14:paraId="09A3B554" w14:textId="77777777" w:rsidR="00E83801" w:rsidRDefault="00E8380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603695"/>
      <w:docPartObj>
        <w:docPartGallery w:val="Page Numbers (Bottom of Page)"/>
        <w:docPartUnique/>
      </w:docPartObj>
    </w:sdtPr>
    <w:sdtEndPr/>
    <w:sdtContent>
      <w:p w14:paraId="0E1088B0" w14:textId="40BA68B1" w:rsidR="00E83801" w:rsidRDefault="00E83801">
        <w:pPr>
          <w:pStyle w:val="llb"/>
          <w:jc w:val="center"/>
        </w:pPr>
        <w:r>
          <w:fldChar w:fldCharType="begin"/>
        </w:r>
        <w:r>
          <w:instrText>PAGE   \* MERGEFORMAT</w:instrText>
        </w:r>
        <w:r>
          <w:fldChar w:fldCharType="separate"/>
        </w:r>
        <w:r w:rsidR="00C012D9">
          <w:rPr>
            <w:noProof/>
          </w:rPr>
          <w:t>30</w:t>
        </w:r>
        <w:r>
          <w:fldChar w:fldCharType="end"/>
        </w:r>
      </w:p>
    </w:sdtContent>
  </w:sdt>
  <w:p w14:paraId="3BFDAE32" w14:textId="77777777" w:rsidR="00E83801" w:rsidRDefault="00E8380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EF48F" w14:textId="77777777" w:rsidR="00D11EB5" w:rsidRDefault="00D11EB5" w:rsidP="001C71F4">
      <w:pPr>
        <w:spacing w:after="0" w:line="240" w:lineRule="auto"/>
      </w:pPr>
      <w:r>
        <w:separator/>
      </w:r>
    </w:p>
  </w:footnote>
  <w:footnote w:type="continuationSeparator" w:id="0">
    <w:p w14:paraId="6A90CD21" w14:textId="77777777" w:rsidR="00D11EB5" w:rsidRDefault="00D11EB5" w:rsidP="001C71F4">
      <w:pPr>
        <w:spacing w:after="0" w:line="240" w:lineRule="auto"/>
      </w:pPr>
      <w:r>
        <w:continuationSeparator/>
      </w:r>
    </w:p>
  </w:footnote>
  <w:footnote w:id="1">
    <w:p w14:paraId="3A9E91F4" w14:textId="6EDA3589" w:rsidR="00E83801" w:rsidRPr="00AA221F" w:rsidRDefault="00E83801">
      <w:pPr>
        <w:pStyle w:val="Lbjegyzetszveg"/>
        <w:rPr>
          <w:rFonts w:asciiTheme="minorHAnsi" w:hAnsiTheme="minorHAnsi"/>
          <w:sz w:val="20"/>
          <w:szCs w:val="24"/>
          <w:lang w:val="hu-HU"/>
        </w:rPr>
      </w:pPr>
      <w:r w:rsidRPr="00AA221F">
        <w:rPr>
          <w:rStyle w:val="Lbjegyzet-hivatkozs"/>
          <w:rFonts w:asciiTheme="minorHAnsi" w:hAnsiTheme="minorHAnsi"/>
          <w:sz w:val="20"/>
          <w:szCs w:val="24"/>
        </w:rPr>
        <w:footnoteRef/>
      </w:r>
      <w:r w:rsidRPr="00AA221F">
        <w:rPr>
          <w:rFonts w:asciiTheme="minorHAnsi" w:hAnsiTheme="minorHAnsi"/>
          <w:sz w:val="20"/>
          <w:szCs w:val="24"/>
        </w:rPr>
        <w:t xml:space="preserve"> A dokumentumban 1 EUR= 380 HUF</w:t>
      </w:r>
    </w:p>
  </w:footnote>
  <w:footnote w:id="2">
    <w:p w14:paraId="2B2C4ECA" w14:textId="430B4219" w:rsidR="00E83801" w:rsidRPr="008E58EE" w:rsidRDefault="00E83801">
      <w:pPr>
        <w:pStyle w:val="Lbjegyzetszveg"/>
        <w:rPr>
          <w:rFonts w:asciiTheme="minorHAnsi" w:hAnsiTheme="minorHAnsi"/>
          <w:lang w:val="hu-HU"/>
        </w:rPr>
      </w:pPr>
      <w:r w:rsidRPr="008E58EE">
        <w:rPr>
          <w:rStyle w:val="Lbjegyzet-hivatkozs"/>
          <w:rFonts w:asciiTheme="minorHAnsi" w:hAnsiTheme="minorHAnsi"/>
          <w:sz w:val="18"/>
          <w:szCs w:val="22"/>
        </w:rPr>
        <w:footnoteRef/>
      </w:r>
      <w:r w:rsidRPr="008E58EE">
        <w:rPr>
          <w:rFonts w:asciiTheme="minorHAnsi" w:hAnsiTheme="minorHAnsi"/>
          <w:sz w:val="18"/>
          <w:szCs w:val="22"/>
        </w:rPr>
        <w:t xml:space="preserve"> Az Energiahatékonysági és Klímavédelmi Alap EUCF Beruházási Koncepcióban szereplő projektelemekre vonatkoztatható 2 615 882 000 Ft-os kerete.</w:t>
      </w:r>
    </w:p>
  </w:footnote>
  <w:footnote w:id="3">
    <w:p w14:paraId="17D5B4A7" w14:textId="2803D973" w:rsidR="00E83801" w:rsidRPr="008C7CCE" w:rsidRDefault="00E83801">
      <w:pPr>
        <w:pStyle w:val="Lbjegyzetszveg"/>
        <w:rPr>
          <w:rFonts w:asciiTheme="minorHAnsi" w:hAnsiTheme="minorHAnsi"/>
          <w:sz w:val="18"/>
          <w:szCs w:val="22"/>
          <w:lang w:val="hu-HU"/>
        </w:rPr>
      </w:pPr>
      <w:r w:rsidRPr="008C7CCE">
        <w:rPr>
          <w:rStyle w:val="Lbjegyzet-hivatkozs"/>
          <w:rFonts w:asciiTheme="minorHAnsi" w:hAnsiTheme="minorHAnsi"/>
          <w:sz w:val="18"/>
          <w:szCs w:val="22"/>
        </w:rPr>
        <w:footnoteRef/>
      </w:r>
      <w:r w:rsidRPr="008C7CCE">
        <w:rPr>
          <w:rFonts w:asciiTheme="minorHAnsi" w:hAnsiTheme="minorHAnsi"/>
          <w:sz w:val="18"/>
          <w:szCs w:val="22"/>
        </w:rPr>
        <w:t xml:space="preserve"> </w:t>
      </w:r>
      <w:r w:rsidRPr="008C7CCE">
        <w:rPr>
          <w:rFonts w:asciiTheme="minorHAnsi" w:hAnsiTheme="minorHAnsi"/>
          <w:sz w:val="18"/>
          <w:szCs w:val="22"/>
          <w:lang w:val="hu-HU"/>
        </w:rPr>
        <w:t xml:space="preserve">A pénzügyi folyamatokkal korrigált megtérülési idő 31 év. A részletes számítások a </w:t>
      </w:r>
      <w:r>
        <w:rPr>
          <w:rFonts w:asciiTheme="minorHAnsi" w:hAnsiTheme="minorHAnsi"/>
          <w:sz w:val="18"/>
          <w:szCs w:val="22"/>
          <w:lang w:val="hu-HU"/>
        </w:rPr>
        <w:t xml:space="preserve">4.1-es és a </w:t>
      </w:r>
      <w:r w:rsidRPr="008C7CCE">
        <w:rPr>
          <w:rFonts w:asciiTheme="minorHAnsi" w:hAnsiTheme="minorHAnsi"/>
          <w:sz w:val="18"/>
          <w:szCs w:val="22"/>
          <w:lang w:val="hu-HU"/>
        </w:rPr>
        <w:t>4.2-es Mellékletben találhatók.</w:t>
      </w:r>
    </w:p>
  </w:footnote>
  <w:footnote w:id="4">
    <w:p w14:paraId="30D560A9" w14:textId="246D8BFF"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stratégiai dokumentumokban látható célok az 1.2 alfejezetben láthatók.</w:t>
      </w:r>
    </w:p>
  </w:footnote>
  <w:footnote w:id="5">
    <w:p w14:paraId="3F996305" w14:textId="223F16B4"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kerületben található fő lakófunkciójú házak száma (1216 db) és a 2021. év végi erzsébetvárosi lakónépesség (49.652 fő) alapján becsülve. Egy lakóházra átlagosan 40,8 fő jut, 149 házra pedig 6084 fő. A bérlői lakosságszám 10%-os plusz becsléssel került kalkulálásra, így az érintett lakosságszám</w:t>
      </w:r>
      <w:r>
        <w:rPr>
          <w:rFonts w:asciiTheme="minorHAnsi" w:hAnsiTheme="minorHAnsi"/>
          <w:sz w:val="18"/>
          <w:szCs w:val="22"/>
        </w:rPr>
        <w:t xml:space="preserve"> megközelítőleg</w:t>
      </w:r>
      <w:r w:rsidRPr="00AA221F">
        <w:rPr>
          <w:rFonts w:asciiTheme="minorHAnsi" w:hAnsiTheme="minorHAnsi"/>
          <w:sz w:val="18"/>
          <w:szCs w:val="22"/>
        </w:rPr>
        <w:t xml:space="preserve"> 6692 fő.</w:t>
      </w:r>
    </w:p>
  </w:footnote>
  <w:footnote w:id="6">
    <w:p w14:paraId="3A13EAEC" w14:textId="7C166BEA"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Budapest Főváros Vii. Kerület Erzsébetváros Önkormányzata Klímastratégiája</w:t>
      </w:r>
    </w:p>
  </w:footnote>
  <w:footnote w:id="7">
    <w:p w14:paraId="1DB8F46D" w14:textId="46E3CEE6"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Erzsébetváros – Fenntartható Energia- És Klíma Akcióterv</w:t>
      </w:r>
    </w:p>
  </w:footnote>
  <w:footnote w:id="8">
    <w:p w14:paraId="77F3F085" w14:textId="2A762349" w:rsidR="00E83801" w:rsidRPr="00AA221F" w:rsidRDefault="00E83801" w:rsidP="00C532D6">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Budapest Főváros V</w:t>
      </w:r>
      <w:r>
        <w:rPr>
          <w:rFonts w:asciiTheme="minorHAnsi" w:hAnsiTheme="minorHAnsi"/>
          <w:sz w:val="18"/>
          <w:szCs w:val="22"/>
        </w:rPr>
        <w:t>II</w:t>
      </w:r>
      <w:r w:rsidRPr="00AA221F">
        <w:rPr>
          <w:rFonts w:asciiTheme="minorHAnsi" w:hAnsiTheme="minorHAnsi"/>
          <w:sz w:val="18"/>
          <w:szCs w:val="22"/>
        </w:rPr>
        <w:t>. Kerület Erzsébetváros Önkormányzata Integrált Településfejlesztési Stratégia 2014-2020</w:t>
      </w:r>
    </w:p>
  </w:footnote>
  <w:footnote w:id="9">
    <w:p w14:paraId="7F02F19E" w14:textId="7767A18C" w:rsidR="00E83801" w:rsidRPr="00E6231F" w:rsidRDefault="00E83801">
      <w:pPr>
        <w:pStyle w:val="Lbjegyzetszveg"/>
        <w:rPr>
          <w:rFonts w:asciiTheme="minorHAnsi" w:hAnsiTheme="minorHAnsi"/>
          <w:sz w:val="18"/>
          <w:szCs w:val="22"/>
          <w:lang w:val="hu-HU"/>
        </w:rPr>
      </w:pPr>
      <w:r w:rsidRPr="00E6231F">
        <w:rPr>
          <w:rStyle w:val="Lbjegyzet-hivatkozs"/>
          <w:rFonts w:asciiTheme="minorHAnsi" w:hAnsiTheme="minorHAnsi"/>
          <w:sz w:val="18"/>
          <w:szCs w:val="22"/>
        </w:rPr>
        <w:footnoteRef/>
      </w:r>
      <w:r w:rsidRPr="00E6231F">
        <w:rPr>
          <w:rFonts w:asciiTheme="minorHAnsi" w:hAnsiTheme="minorHAnsi"/>
          <w:sz w:val="18"/>
          <w:szCs w:val="22"/>
        </w:rPr>
        <w:t xml:space="preserve"> </w:t>
      </w:r>
      <w:r>
        <w:rPr>
          <w:rFonts w:asciiTheme="minorHAnsi" w:hAnsiTheme="minorHAnsi"/>
          <w:sz w:val="18"/>
          <w:szCs w:val="22"/>
        </w:rPr>
        <w:t>M</w:t>
      </w:r>
      <w:r w:rsidRPr="00E6231F">
        <w:rPr>
          <w:rFonts w:asciiTheme="minorHAnsi" w:hAnsiTheme="minorHAnsi"/>
          <w:sz w:val="18"/>
          <w:szCs w:val="22"/>
        </w:rPr>
        <w:t>inden esetben érdemes megvizsgálni, hogy az adott homlokzaton megéri-e belső szigetelést tenni, vagy esetleg ez drágább lenne, mint a megtakarítás (pl. egy déli falnál). Ha megéri a szigetelés a műemléki homlokzaton, akkor a külső oldali szigetelést is érdemes megvizsgálni, amely során az épületdíszeket visszaépítik polisztirolból, mert lehet, hogy magasabb a költsége, mint a belső oldali hőszigetelésnek, viszont annál hatékonyabb.</w:t>
      </w:r>
    </w:p>
  </w:footnote>
  <w:footnote w:id="10">
    <w:p w14:paraId="04426C8B" w14:textId="12AC067C"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Ha egy erősen hőhidas épületben jelentősen (egy határon túl) csökkentjük a homlokzati falak hőátbocsátását, az állagromláshoz vezethet.</w:t>
      </w:r>
    </w:p>
  </w:footnote>
  <w:footnote w:id="11">
    <w:p w14:paraId="40CF3AD3" w14:textId="147417A3"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közlekedő körfolyosó szélességét a hőszigetelés vastagsága csökkenti.</w:t>
      </w:r>
    </w:p>
  </w:footnote>
  <w:footnote w:id="12">
    <w:p w14:paraId="08190968" w14:textId="5E16C386"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„Energiahatékonysági számítási gyakorlat” alatt a 2015. évi LVII. tv. az energiahatékonyságról által előírt energetikai auditokban, energetikai szakreferensi jelentésekben, az Energiahatékonysági Kötelezettségi Rendszerben készített számításokban, auditjaiban alkalmazott és a Magyar Energetikai és Közmű-szabályozási Hivatal által elfogadott számítási eljárásokat, fajlagos értékeket értjük.</w:t>
      </w:r>
    </w:p>
  </w:footnote>
  <w:footnote w:id="13">
    <w:p w14:paraId="7A202813" w14:textId="1CD0CE1E" w:rsidR="00E83801" w:rsidRPr="007E0219" w:rsidRDefault="00E83801">
      <w:pPr>
        <w:pStyle w:val="Lbjegyzetszveg"/>
        <w:rPr>
          <w:rFonts w:asciiTheme="minorHAnsi" w:hAnsiTheme="minorHAnsi"/>
          <w:lang w:val="hu-HU"/>
        </w:rPr>
      </w:pPr>
      <w:r w:rsidRPr="007E0219">
        <w:rPr>
          <w:rStyle w:val="Lbjegyzet-hivatkozs"/>
          <w:rFonts w:asciiTheme="minorHAnsi" w:hAnsiTheme="minorHAnsi"/>
          <w:sz w:val="18"/>
          <w:szCs w:val="22"/>
        </w:rPr>
        <w:footnoteRef/>
      </w:r>
      <w:r w:rsidRPr="007E0219">
        <w:rPr>
          <w:rFonts w:asciiTheme="minorHAnsi" w:hAnsiTheme="minorHAnsi"/>
          <w:sz w:val="18"/>
          <w:szCs w:val="22"/>
        </w:rPr>
        <w:t xml:space="preserve"> A régi, működő gázkazán</w:t>
      </w:r>
      <w:r>
        <w:rPr>
          <w:rFonts w:asciiTheme="minorHAnsi" w:hAnsiTheme="minorHAnsi"/>
          <w:sz w:val="18"/>
          <w:szCs w:val="22"/>
        </w:rPr>
        <w:t xml:space="preserve"> megtartása és </w:t>
      </w:r>
      <w:r w:rsidRPr="007E0219">
        <w:rPr>
          <w:rFonts w:asciiTheme="minorHAnsi" w:hAnsiTheme="minorHAnsi"/>
          <w:sz w:val="18"/>
          <w:szCs w:val="22"/>
        </w:rPr>
        <w:t>– 5 fok alatt</w:t>
      </w:r>
      <w:r>
        <w:rPr>
          <w:rFonts w:asciiTheme="minorHAnsi" w:hAnsiTheme="minorHAnsi"/>
          <w:sz w:val="18"/>
          <w:szCs w:val="22"/>
        </w:rPr>
        <w:t xml:space="preserve">i működtetése, így egy hibrid rendszer kialakítása </w:t>
      </w:r>
      <w:r w:rsidRPr="007E0219">
        <w:rPr>
          <w:rFonts w:asciiTheme="minorHAnsi" w:hAnsiTheme="minorHAnsi"/>
          <w:sz w:val="18"/>
          <w:szCs w:val="22"/>
        </w:rPr>
        <w:t xml:space="preserve">érdemes </w:t>
      </w:r>
      <w:r>
        <w:rPr>
          <w:rFonts w:asciiTheme="minorHAnsi" w:hAnsiTheme="minorHAnsi"/>
          <w:sz w:val="18"/>
          <w:szCs w:val="22"/>
        </w:rPr>
        <w:t>lehet.</w:t>
      </w:r>
      <w:r w:rsidRPr="007E0219">
        <w:rPr>
          <w:rFonts w:asciiTheme="minorHAnsi" w:hAnsiTheme="minorHAnsi"/>
          <w:sz w:val="18"/>
          <w:szCs w:val="22"/>
        </w:rPr>
        <w:t xml:space="preserve"> </w:t>
      </w:r>
    </w:p>
  </w:footnote>
  <w:footnote w:id="14">
    <w:p w14:paraId="440AA3B9" w14:textId="432465A2" w:rsidR="00E83801" w:rsidRPr="00015717" w:rsidRDefault="00E83801">
      <w:pPr>
        <w:pStyle w:val="Lbjegyzetszveg"/>
        <w:rPr>
          <w:rFonts w:asciiTheme="minorHAnsi" w:hAnsiTheme="minorHAnsi"/>
          <w:lang w:val="hu-HU"/>
        </w:rPr>
      </w:pPr>
      <w:r w:rsidRPr="00015717">
        <w:rPr>
          <w:rStyle w:val="Lbjegyzet-hivatkozs"/>
          <w:rFonts w:asciiTheme="minorHAnsi" w:hAnsiTheme="minorHAnsi"/>
          <w:sz w:val="18"/>
          <w:szCs w:val="22"/>
        </w:rPr>
        <w:footnoteRef/>
      </w:r>
      <w:r w:rsidRPr="00015717">
        <w:rPr>
          <w:rFonts w:asciiTheme="minorHAnsi" w:hAnsiTheme="minorHAnsi"/>
          <w:sz w:val="18"/>
          <w:szCs w:val="22"/>
        </w:rPr>
        <w:t xml:space="preserve"> A kültéri egységek elhelyezés</w:t>
      </w:r>
      <w:r>
        <w:rPr>
          <w:rFonts w:asciiTheme="minorHAnsi" w:hAnsiTheme="minorHAnsi"/>
          <w:sz w:val="18"/>
          <w:szCs w:val="22"/>
        </w:rPr>
        <w:t>ét minden esetben fel kell mérni és a legmegfelelőbb helyet kiválasztani, a zajszigetelést figyelembe véve.</w:t>
      </w:r>
    </w:p>
  </w:footnote>
  <w:footnote w:id="15">
    <w:p w14:paraId="1538DBC9" w14:textId="57E305F3" w:rsidR="00E83801" w:rsidRPr="00EF21AD" w:rsidRDefault="00E83801">
      <w:pPr>
        <w:pStyle w:val="Lbjegyzetszveg"/>
        <w:rPr>
          <w:rFonts w:asciiTheme="minorHAnsi" w:hAnsiTheme="minorHAnsi"/>
          <w:sz w:val="18"/>
          <w:szCs w:val="22"/>
          <w:lang w:val="hu-HU"/>
        </w:rPr>
      </w:pPr>
      <w:r w:rsidRPr="00EF21AD">
        <w:rPr>
          <w:rStyle w:val="Lbjegyzet-hivatkozs"/>
          <w:rFonts w:asciiTheme="minorHAnsi" w:hAnsiTheme="minorHAnsi"/>
          <w:sz w:val="18"/>
          <w:szCs w:val="22"/>
        </w:rPr>
        <w:footnoteRef/>
      </w:r>
      <w:r w:rsidRPr="00EF21AD">
        <w:rPr>
          <w:rFonts w:asciiTheme="minorHAnsi" w:hAnsiTheme="minorHAnsi"/>
          <w:sz w:val="18"/>
          <w:szCs w:val="22"/>
        </w:rPr>
        <w:t xml:space="preserve"> Egy lakás minden helyiségét fűteni </w:t>
      </w:r>
      <w:r>
        <w:rPr>
          <w:rFonts w:asciiTheme="minorHAnsi" w:hAnsiTheme="minorHAnsi"/>
          <w:sz w:val="18"/>
          <w:szCs w:val="22"/>
        </w:rPr>
        <w:t xml:space="preserve">kell, és a </w:t>
      </w:r>
      <w:r w:rsidRPr="00EF21AD">
        <w:rPr>
          <w:rFonts w:asciiTheme="minorHAnsi" w:hAnsiTheme="minorHAnsi"/>
          <w:sz w:val="18"/>
          <w:szCs w:val="22"/>
        </w:rPr>
        <w:t>split klímá</w:t>
      </w:r>
      <w:r>
        <w:rPr>
          <w:rFonts w:asciiTheme="minorHAnsi" w:hAnsiTheme="minorHAnsi"/>
          <w:sz w:val="18"/>
          <w:szCs w:val="22"/>
        </w:rPr>
        <w:t>k esetében</w:t>
      </w:r>
      <w:r w:rsidRPr="00EF21AD">
        <w:rPr>
          <w:rFonts w:asciiTheme="minorHAnsi" w:hAnsiTheme="minorHAnsi"/>
          <w:sz w:val="18"/>
          <w:szCs w:val="22"/>
        </w:rPr>
        <w:t xml:space="preserve"> egy kültéri és egy beltéri egység van a fal két oldalán. </w:t>
      </w:r>
      <w:r>
        <w:rPr>
          <w:rFonts w:asciiTheme="minorHAnsi" w:hAnsiTheme="minorHAnsi"/>
          <w:sz w:val="18"/>
          <w:szCs w:val="22"/>
        </w:rPr>
        <w:t>Nem m</w:t>
      </w:r>
      <w:r w:rsidRPr="00EF21AD">
        <w:rPr>
          <w:rFonts w:asciiTheme="minorHAnsi" w:hAnsiTheme="minorHAnsi"/>
          <w:sz w:val="18"/>
          <w:szCs w:val="22"/>
        </w:rPr>
        <w:t xml:space="preserve">inden helyiségnek </w:t>
      </w:r>
      <w:r>
        <w:rPr>
          <w:rFonts w:asciiTheme="minorHAnsi" w:hAnsiTheme="minorHAnsi"/>
          <w:sz w:val="18"/>
          <w:szCs w:val="22"/>
        </w:rPr>
        <w:t>van</w:t>
      </w:r>
      <w:r w:rsidRPr="00EF21AD">
        <w:rPr>
          <w:rFonts w:asciiTheme="minorHAnsi" w:hAnsiTheme="minorHAnsi"/>
          <w:sz w:val="18"/>
          <w:szCs w:val="22"/>
        </w:rPr>
        <w:t xml:space="preserve"> olyan külső fala ahová el lehetne helyezni - gond nélkül - a kültéri egységet</w:t>
      </w:r>
      <w:r>
        <w:rPr>
          <w:rFonts w:asciiTheme="minorHAnsi" w:hAnsiTheme="minorHAnsi"/>
          <w:sz w:val="18"/>
          <w:szCs w:val="22"/>
        </w:rPr>
        <w:t xml:space="preserve"> (p</w:t>
      </w:r>
      <w:r w:rsidRPr="00EF21AD">
        <w:rPr>
          <w:rFonts w:asciiTheme="minorHAnsi" w:hAnsiTheme="minorHAnsi"/>
          <w:sz w:val="18"/>
          <w:szCs w:val="22"/>
        </w:rPr>
        <w:t>éldául fürdőszobák</w:t>
      </w:r>
      <w:r>
        <w:rPr>
          <w:rFonts w:asciiTheme="minorHAnsi" w:hAnsiTheme="minorHAnsi"/>
          <w:sz w:val="18"/>
          <w:szCs w:val="22"/>
        </w:rPr>
        <w:t>)</w:t>
      </w:r>
      <w:r w:rsidRPr="00EF21AD">
        <w:rPr>
          <w:rFonts w:asciiTheme="minorHAnsi" w:hAnsiTheme="minorHAnsi"/>
          <w:sz w:val="18"/>
          <w:szCs w:val="22"/>
        </w:rPr>
        <w:t>. A megvalósíthatóság minden lakásnál egyedileg vizsgálandó, és nem garantálható a lakás megfelelő komfortú fűtése.</w:t>
      </w:r>
    </w:p>
  </w:footnote>
  <w:footnote w:id="16">
    <w:p w14:paraId="44238577" w14:textId="79477E10" w:rsidR="00E83801" w:rsidRPr="000227EB" w:rsidRDefault="00E83801">
      <w:pPr>
        <w:pStyle w:val="Lbjegyzetszveg"/>
        <w:rPr>
          <w:rFonts w:asciiTheme="minorHAnsi" w:hAnsiTheme="minorHAnsi"/>
          <w:sz w:val="18"/>
          <w:szCs w:val="18"/>
          <w:lang w:val="hu-HU"/>
        </w:rPr>
      </w:pPr>
      <w:r w:rsidRPr="000227EB">
        <w:rPr>
          <w:rStyle w:val="Lbjegyzet-hivatkozs"/>
          <w:rFonts w:asciiTheme="minorHAnsi" w:hAnsiTheme="minorHAnsi"/>
          <w:sz w:val="18"/>
          <w:szCs w:val="18"/>
        </w:rPr>
        <w:footnoteRef/>
      </w:r>
      <w:r w:rsidRPr="000227EB">
        <w:rPr>
          <w:rFonts w:asciiTheme="minorHAnsi" w:hAnsiTheme="minorHAnsi"/>
          <w:sz w:val="18"/>
          <w:szCs w:val="18"/>
        </w:rPr>
        <w:t xml:space="preserve"> Ebben az esetben olyan, szakértői becslésen alapuló energiaárakat vettünk figyelembe, amelyek a mesterségesen alacsonyan tartott lakossági árak helyett piaci alapú/reális energiaárakkal kalkulál.</w:t>
      </w:r>
    </w:p>
  </w:footnote>
  <w:footnote w:id="17">
    <w:p w14:paraId="0EF275C0" w14:textId="02B4E80A" w:rsidR="00E83801" w:rsidRPr="00AA221F" w:rsidRDefault="00E83801" w:rsidP="006E2DB6">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Szaldós elszámolás, vagy energiatárolók beépítésének hiányában a termelés-felhasználás időbeli eltérése miatt, a megtermelt villamos energiának csak egy részét lehetséges saját</w:t>
      </w:r>
      <w:r>
        <w:rPr>
          <w:rFonts w:asciiTheme="minorHAnsi" w:hAnsiTheme="minorHAnsi"/>
          <w:sz w:val="18"/>
          <w:szCs w:val="22"/>
        </w:rPr>
        <w:t xml:space="preserve"> </w:t>
      </w:r>
      <w:r w:rsidRPr="00AA221F">
        <w:rPr>
          <w:rFonts w:asciiTheme="minorHAnsi" w:hAnsiTheme="minorHAnsi"/>
          <w:sz w:val="18"/>
          <w:szCs w:val="22"/>
        </w:rPr>
        <w:t>felhasználásra elfogyasztani.</w:t>
      </w:r>
    </w:p>
  </w:footnote>
  <w:footnote w:id="18">
    <w:p w14:paraId="069C0458" w14:textId="77777777" w:rsidR="00E83801" w:rsidRPr="00AA221F" w:rsidRDefault="00E83801" w:rsidP="006E2DB6">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rezsicsökkentés részben módosult 2022. augusztus 1-től, de magasabb ár csak az átlagfelhasználás feletti részre lesz alkalmazva, így jelen esetben a lakóépületeknél ezzel nem számoltunk.</w:t>
      </w:r>
    </w:p>
  </w:footnote>
  <w:footnote w:id="19">
    <w:p w14:paraId="38657A34" w14:textId="1E8AF61B" w:rsidR="00E83801" w:rsidRPr="00D638D0" w:rsidRDefault="00E83801">
      <w:pPr>
        <w:pStyle w:val="Lbjegyzetszveg"/>
        <w:rPr>
          <w:rFonts w:asciiTheme="minorHAnsi" w:hAnsiTheme="minorHAnsi"/>
          <w:sz w:val="18"/>
          <w:szCs w:val="22"/>
        </w:rPr>
      </w:pPr>
      <w:r w:rsidRPr="00D638D0">
        <w:rPr>
          <w:rFonts w:asciiTheme="minorHAnsi" w:hAnsiTheme="minorHAnsi"/>
          <w:sz w:val="18"/>
          <w:szCs w:val="22"/>
          <w:vertAlign w:val="superscript"/>
        </w:rPr>
        <w:footnoteRef/>
      </w:r>
      <w:r w:rsidRPr="00D638D0">
        <w:rPr>
          <w:rFonts w:asciiTheme="minorHAnsi" w:hAnsiTheme="minorHAnsi"/>
          <w:sz w:val="18"/>
          <w:szCs w:val="22"/>
        </w:rPr>
        <w:t xml:space="preserve"> </w:t>
      </w:r>
      <w:r w:rsidRPr="00F6400A">
        <w:rPr>
          <w:rFonts w:asciiTheme="minorHAnsi" w:hAnsiTheme="minorHAnsi"/>
          <w:sz w:val="18"/>
          <w:szCs w:val="22"/>
        </w:rPr>
        <w:t>Ezek az épületek minimum többségében, de inkább teljes mértékben magántulajdonban állnak.</w:t>
      </w:r>
    </w:p>
  </w:footnote>
  <w:footnote w:id="20">
    <w:p w14:paraId="0CF9DBA5" w14:textId="439F8FBD" w:rsidR="00E83801" w:rsidRPr="00D638D0" w:rsidRDefault="00E83801">
      <w:pPr>
        <w:pStyle w:val="Lbjegyzetszveg"/>
        <w:rPr>
          <w:rFonts w:asciiTheme="minorHAnsi" w:hAnsiTheme="minorHAnsi"/>
          <w:sz w:val="18"/>
          <w:szCs w:val="22"/>
        </w:rPr>
      </w:pPr>
      <w:r w:rsidRPr="00D638D0">
        <w:rPr>
          <w:rFonts w:asciiTheme="minorHAnsi" w:hAnsiTheme="minorHAnsi"/>
          <w:sz w:val="18"/>
          <w:szCs w:val="22"/>
          <w:vertAlign w:val="superscript"/>
        </w:rPr>
        <w:footnoteRef/>
      </w:r>
      <w:r w:rsidRPr="00D638D0">
        <w:rPr>
          <w:rFonts w:asciiTheme="minorHAnsi" w:hAnsiTheme="minorHAnsi"/>
          <w:sz w:val="18"/>
          <w:szCs w:val="22"/>
        </w:rPr>
        <w:t xml:space="preserve"> </w:t>
      </w:r>
      <w:hyperlink r:id="rId1" w:history="1">
        <w:r w:rsidRPr="002B0665">
          <w:rPr>
            <w:rStyle w:val="Hiperhivatkozs"/>
            <w:rFonts w:asciiTheme="minorHAnsi" w:hAnsiTheme="minorHAnsi"/>
            <w:sz w:val="18"/>
            <w:szCs w:val="22"/>
          </w:rPr>
          <w:t>https://nappalhajtva.budapest.hu/</w:t>
        </w:r>
      </w:hyperlink>
    </w:p>
  </w:footnote>
  <w:footnote w:id="21">
    <w:p w14:paraId="20316CE8" w14:textId="7296772D" w:rsidR="00E83801" w:rsidRPr="00744578" w:rsidRDefault="00E83801">
      <w:pPr>
        <w:pStyle w:val="Lbjegyzetszveg"/>
        <w:rPr>
          <w:rFonts w:asciiTheme="minorHAnsi" w:hAnsiTheme="minorHAnsi"/>
          <w:lang w:val="hu-HU"/>
        </w:rPr>
      </w:pPr>
      <w:r w:rsidRPr="00744578">
        <w:rPr>
          <w:rStyle w:val="Lbjegyzet-hivatkozs"/>
          <w:rFonts w:asciiTheme="minorHAnsi" w:hAnsiTheme="minorHAnsi"/>
          <w:sz w:val="18"/>
          <w:szCs w:val="22"/>
        </w:rPr>
        <w:footnoteRef/>
      </w:r>
      <w:r w:rsidRPr="00744578">
        <w:rPr>
          <w:rFonts w:asciiTheme="minorHAnsi" w:hAnsiTheme="minorHAnsi"/>
          <w:sz w:val="18"/>
          <w:szCs w:val="22"/>
        </w:rPr>
        <w:t xml:space="preserve"> </w:t>
      </w:r>
      <w:r w:rsidRPr="00744578">
        <w:rPr>
          <w:rFonts w:asciiTheme="minorHAnsi" w:hAnsiTheme="minorHAnsi"/>
          <w:sz w:val="18"/>
          <w:szCs w:val="22"/>
          <w:lang w:val="hu-HU"/>
        </w:rPr>
        <w:t>Azon épületek esetében, ahol központi fűtés van kiépítve, az A verzió is célszerű lehet a kisebb lineáris megtérülési idő miatt. Ezen épületek felmérése jelenleg folyamatban van.</w:t>
      </w:r>
    </w:p>
  </w:footnote>
  <w:footnote w:id="22">
    <w:p w14:paraId="3793A99D" w14:textId="77777777" w:rsidR="00E83801" w:rsidRPr="00AA221F" w:rsidRDefault="00E83801" w:rsidP="00BC5377">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Magyar Energetikai és Közmű-szabályozási Hivatal adatai: http://www.mekh.hu/eves-adatok</w:t>
      </w:r>
    </w:p>
  </w:footnote>
  <w:footnote w:id="23">
    <w:p w14:paraId="36DEC294" w14:textId="77777777" w:rsidR="00E83801" w:rsidRPr="00AA221F" w:rsidRDefault="00E83801" w:rsidP="00BC5377">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Innovációs és Technológiai Minisztérium: Nemzeti Energiastratégia 2030, kitekintéssel 2040-ig, 2020. január</w:t>
      </w:r>
    </w:p>
  </w:footnote>
  <w:footnote w:id="24">
    <w:p w14:paraId="5BFC4720" w14:textId="77777777" w:rsidR="00E83801" w:rsidRPr="00AA221F" w:rsidRDefault="00E83801" w:rsidP="00BC5377">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Egyéb kategória a következőket tartalmazza: kőolajtermékek, víz, geotermikus energia, véggáz, ipari és kommunális hulladék, hulladékhő</w:t>
      </w:r>
    </w:p>
  </w:footnote>
  <w:footnote w:id="25">
    <w:p w14:paraId="35BD95F6" w14:textId="4BC6C6D8"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w:t>
      </w:r>
      <w:r w:rsidRPr="00AA221F">
        <w:rPr>
          <w:rFonts w:asciiTheme="minorHAnsi" w:hAnsiTheme="minorHAnsi"/>
          <w:sz w:val="18"/>
          <w:szCs w:val="22"/>
          <w:lang w:val="hu-HU"/>
        </w:rPr>
        <w:t>Adatforrás: KSH</w:t>
      </w:r>
    </w:p>
  </w:footnote>
  <w:footnote w:id="26">
    <w:p w14:paraId="411D539A" w14:textId="5000E36B" w:rsidR="00E83801" w:rsidRPr="00AA221F" w:rsidRDefault="00E83801">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MVM Next Energiakereskedelmi Zrt.:</w:t>
      </w:r>
    </w:p>
    <w:p w14:paraId="4A6F10E9" w14:textId="0CD1AC1E" w:rsidR="00E83801" w:rsidRPr="00AA221F" w:rsidRDefault="00E83801">
      <w:pPr>
        <w:pStyle w:val="Lbjegyzetszveg"/>
        <w:rPr>
          <w:rFonts w:asciiTheme="minorHAnsi" w:hAnsiTheme="minorHAnsi"/>
          <w:sz w:val="18"/>
          <w:szCs w:val="22"/>
        </w:rPr>
      </w:pPr>
      <w:r w:rsidRPr="00AA221F">
        <w:rPr>
          <w:rFonts w:asciiTheme="minorHAnsi" w:hAnsiTheme="minorHAnsi"/>
          <w:sz w:val="18"/>
          <w:szCs w:val="22"/>
        </w:rPr>
        <w:t>https://www.mvmnext.hu/foldgaz/Egyetemes-Szolgaltatas/Ugyintezes/Foldgazeloszto-tarsasagok-weboldalai</w:t>
      </w:r>
    </w:p>
  </w:footnote>
  <w:footnote w:id="27">
    <w:p w14:paraId="09A34A22" w14:textId="3D960EDC"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w:t>
      </w:r>
      <w:r w:rsidRPr="00AA221F">
        <w:rPr>
          <w:rFonts w:asciiTheme="minorHAnsi" w:hAnsiTheme="minorHAnsi"/>
          <w:sz w:val="18"/>
          <w:szCs w:val="22"/>
          <w:lang w:val="hu-HU"/>
        </w:rPr>
        <w:t>Forrás: MEKH: http://www.mekh.hu/foldgaz-ipari-engedelyesek-listaja</w:t>
      </w:r>
    </w:p>
  </w:footnote>
  <w:footnote w:id="28">
    <w:p w14:paraId="781B25D4" w14:textId="10B41226" w:rsidR="00E83801" w:rsidRPr="0055144F" w:rsidRDefault="00E83801">
      <w:pPr>
        <w:pStyle w:val="Lbjegyzetszveg"/>
        <w:rPr>
          <w:lang w:val="hu-HU"/>
        </w:rPr>
      </w:pPr>
      <w:r w:rsidRPr="0055144F">
        <w:rPr>
          <w:rFonts w:asciiTheme="minorHAnsi" w:hAnsiTheme="minorHAnsi"/>
          <w:sz w:val="18"/>
          <w:szCs w:val="22"/>
          <w:vertAlign w:val="superscript"/>
        </w:rPr>
        <w:footnoteRef/>
      </w:r>
      <w:r w:rsidRPr="0055144F">
        <w:rPr>
          <w:rFonts w:asciiTheme="minorHAnsi" w:hAnsiTheme="minorHAnsi"/>
          <w:sz w:val="18"/>
          <w:szCs w:val="22"/>
        </w:rPr>
        <w:t xml:space="preserve"> Az alfejezetben feltüntetett összegek bruttóként értelmeendőek.</w:t>
      </w:r>
    </w:p>
  </w:footnote>
  <w:footnote w:id="29">
    <w:p w14:paraId="794F9DF6" w14:textId="5189A7C9"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MEKH: http://www.mekh.hu/magyarorszag-europa-legalacsonyabb-haztartasi-rezsikoltsegeivel-zarta-a-2022-es-evet</w:t>
      </w:r>
    </w:p>
  </w:footnote>
  <w:footnote w:id="30">
    <w:p w14:paraId="2E728D42" w14:textId="39B9E82A"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Az átlagos fogyasztás felett elfogyasztott energiamennyiség növekedésével az átlagár folyamatosan növekedik, pl. a</w:t>
      </w:r>
      <w:r w:rsidRPr="00AA221F">
        <w:rPr>
          <w:rFonts w:asciiTheme="minorHAnsi" w:hAnsiTheme="minorHAnsi"/>
          <w:sz w:val="18"/>
          <w:szCs w:val="22"/>
          <w:lang w:val="hu-HU"/>
        </w:rPr>
        <w:t>z átlagfogyasztásnál nagyobb, az átlagfogyasztás 120%-át elérő villamos energia mennyiség esetében 10,4 eurocent/kWh a budapesti lakossági egységköltség.</w:t>
      </w:r>
    </w:p>
  </w:footnote>
  <w:footnote w:id="31">
    <w:p w14:paraId="601CD589" w14:textId="4B688204"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w:t>
      </w:r>
      <w:r w:rsidRPr="00AA221F">
        <w:rPr>
          <w:rFonts w:asciiTheme="minorHAnsi" w:hAnsiTheme="minorHAnsi"/>
          <w:sz w:val="18"/>
          <w:szCs w:val="22"/>
          <w:lang w:val="hu-HU"/>
        </w:rPr>
        <w:t>Az átlagfogyasztás felett villamos energiát hasznosító budapesti lakosok esetében néhány európai főváros lakosa is kedvezőbb helyzetbe kerülhet.</w:t>
      </w:r>
      <w:r w:rsidRPr="00AA221F">
        <w:rPr>
          <w:rFonts w:asciiTheme="minorHAnsi" w:hAnsiTheme="minorHAnsi"/>
          <w:sz w:val="18"/>
          <w:szCs w:val="22"/>
        </w:rPr>
        <w:t xml:space="preserve"> </w:t>
      </w:r>
      <w:r w:rsidRPr="00AA221F">
        <w:rPr>
          <w:rFonts w:asciiTheme="minorHAnsi" w:hAnsiTheme="minorHAnsi"/>
          <w:sz w:val="18"/>
          <w:szCs w:val="22"/>
          <w:lang w:val="hu-HU"/>
        </w:rPr>
        <w:t>Például az átlagfogyasztás 120%-át elérő villamos energia mennyiség esetében vásárlóerő-paritáson a luxemburgi energiaárak kedvezőbbek.</w:t>
      </w:r>
    </w:p>
  </w:footnote>
  <w:footnote w:id="32">
    <w:p w14:paraId="359817A5" w14:textId="2A97E642"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Például az átlagfogyasztás 120%-át elérő földgáz mennyiség esetében vásárlóerő-paritáson a pozsonyi, luxemburgi és zágrábi energiaárak is kedvezőbbek.</w:t>
      </w:r>
    </w:p>
  </w:footnote>
  <w:footnote w:id="33">
    <w:p w14:paraId="116C1A42" w14:textId="77777777" w:rsidR="00E83801" w:rsidRPr="00C1697A" w:rsidRDefault="00E83801">
      <w:pPr>
        <w:pStyle w:val="Lbjegyzetszveg"/>
        <w:rPr>
          <w:rFonts w:asciiTheme="minorHAnsi" w:hAnsiTheme="minorHAnsi"/>
          <w:sz w:val="18"/>
          <w:szCs w:val="22"/>
        </w:rPr>
      </w:pPr>
      <w:r w:rsidRPr="00C1697A">
        <w:rPr>
          <w:rStyle w:val="Lbjegyzet-hivatkozs"/>
          <w:rFonts w:asciiTheme="minorHAnsi" w:hAnsiTheme="minorHAnsi"/>
          <w:sz w:val="18"/>
          <w:szCs w:val="22"/>
        </w:rPr>
        <w:footnoteRef/>
      </w:r>
      <w:r w:rsidRPr="00C1697A">
        <w:rPr>
          <w:rFonts w:asciiTheme="minorHAnsi" w:hAnsiTheme="minorHAnsi"/>
          <w:sz w:val="18"/>
          <w:szCs w:val="22"/>
        </w:rPr>
        <w:t xml:space="preserve"> MEHI-Eltinga-KSH-Lechner: Ingatlanérték kutatás</w:t>
      </w:r>
    </w:p>
    <w:p w14:paraId="2E70C897" w14:textId="2FA71562" w:rsidR="00E83801" w:rsidRPr="00C1697A" w:rsidRDefault="00D11EB5">
      <w:pPr>
        <w:pStyle w:val="Lbjegyzetszveg"/>
        <w:rPr>
          <w:rFonts w:asciiTheme="minorHAnsi" w:hAnsiTheme="minorHAnsi"/>
          <w:sz w:val="18"/>
          <w:szCs w:val="22"/>
        </w:rPr>
      </w:pPr>
      <w:hyperlink r:id="rId2" w:history="1">
        <w:r w:rsidR="00E83801" w:rsidRPr="00C1697A">
          <w:rPr>
            <w:rStyle w:val="Hiperhivatkozs"/>
            <w:rFonts w:asciiTheme="minorHAnsi" w:hAnsiTheme="minorHAnsi"/>
            <w:sz w:val="18"/>
            <w:szCs w:val="22"/>
          </w:rPr>
          <w:t>https://renohub-h2020.eu/result/d2-7-az-energetikai-felujitasok-hatasa-a-lakoingatlanok-ertekere/</w:t>
        </w:r>
      </w:hyperlink>
    </w:p>
  </w:footnote>
  <w:footnote w:id="34">
    <w:p w14:paraId="1F35519B" w14:textId="50B2C6E4"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w:t>
      </w:r>
      <w:r w:rsidRPr="00AA221F">
        <w:rPr>
          <w:rFonts w:asciiTheme="minorHAnsi" w:hAnsiTheme="minorHAnsi"/>
          <w:sz w:val="18"/>
          <w:szCs w:val="22"/>
          <w:lang w:val="hu-HU"/>
        </w:rPr>
        <w:t xml:space="preserve">A három opció közül a B verzió költsége került beszámításra az összesített értékbe (a </w:t>
      </w:r>
      <w:r>
        <w:rPr>
          <w:rFonts w:asciiTheme="minorHAnsi" w:hAnsiTheme="minorHAnsi"/>
          <w:sz w:val="18"/>
          <w:szCs w:val="22"/>
          <w:lang w:val="hu-HU"/>
        </w:rPr>
        <w:t>120</w:t>
      </w:r>
      <w:r w:rsidRPr="00AA221F">
        <w:rPr>
          <w:rFonts w:asciiTheme="minorHAnsi" w:hAnsiTheme="minorHAnsi"/>
          <w:sz w:val="18"/>
          <w:szCs w:val="22"/>
          <w:lang w:val="hu-HU"/>
        </w:rPr>
        <w:t xml:space="preserve"> házra kivetített számításban is a B verzió </w:t>
      </w:r>
      <w:r>
        <w:rPr>
          <w:rFonts w:asciiTheme="minorHAnsi" w:hAnsiTheme="minorHAnsi"/>
          <w:sz w:val="18"/>
          <w:szCs w:val="22"/>
          <w:lang w:val="hu-HU"/>
        </w:rPr>
        <w:t xml:space="preserve">- </w:t>
      </w:r>
      <w:r w:rsidRPr="00AA221F">
        <w:rPr>
          <w:rFonts w:asciiTheme="minorHAnsi" w:hAnsiTheme="minorHAnsi"/>
          <w:sz w:val="18"/>
          <w:szCs w:val="22"/>
          <w:lang w:val="hu-HU"/>
        </w:rPr>
        <w:t>VRF rendszer</w:t>
      </w:r>
      <w:r>
        <w:rPr>
          <w:rFonts w:asciiTheme="minorHAnsi" w:hAnsiTheme="minorHAnsi"/>
          <w:sz w:val="18"/>
          <w:szCs w:val="22"/>
          <w:lang w:val="hu-HU"/>
        </w:rPr>
        <w:t xml:space="preserve"> -</w:t>
      </w:r>
      <w:r w:rsidRPr="00AA221F">
        <w:rPr>
          <w:rFonts w:asciiTheme="minorHAnsi" w:hAnsiTheme="minorHAnsi"/>
          <w:sz w:val="18"/>
          <w:szCs w:val="22"/>
          <w:lang w:val="hu-HU"/>
        </w:rPr>
        <w:t xml:space="preserve"> jelentette a kalkuláció alapját).</w:t>
      </w:r>
    </w:p>
  </w:footnote>
  <w:footnote w:id="35">
    <w:p w14:paraId="6DC9A7AF" w14:textId="5E04337F"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w:t>
      </w:r>
      <w:r w:rsidRPr="00AA221F">
        <w:rPr>
          <w:rFonts w:asciiTheme="minorHAnsi" w:hAnsiTheme="minorHAnsi"/>
          <w:sz w:val="18"/>
          <w:szCs w:val="22"/>
          <w:lang w:val="hu-HU"/>
        </w:rPr>
        <w:t>Részletesen az 1.3-as fejezetben és az 1.3-as mellékletben kerül kifejtésre a két eset.</w:t>
      </w:r>
    </w:p>
  </w:footnote>
  <w:footnote w:id="36">
    <w:p w14:paraId="6EDE6DC6" w14:textId="683C9F0A"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Budapest Főváros VII. Kerület Erzsébetváros Önkormányzata Klímastratégiája, 2020.</w:t>
      </w:r>
    </w:p>
  </w:footnote>
  <w:footnote w:id="37">
    <w:p w14:paraId="2044134C" w14:textId="77F71AFB"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Pénzügyminisztérium, https://allamhaztartas.kormany.hu/tamogatasok</w:t>
      </w:r>
    </w:p>
  </w:footnote>
  <w:footnote w:id="38">
    <w:p w14:paraId="47AAC644" w14:textId="77777777" w:rsidR="00E83801" w:rsidRPr="00AA221F" w:rsidRDefault="00E83801" w:rsidP="006733A9">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Olyan kiserőmű, melynek a csatlakozási teljesítménye egy csatlakozási ponton nem haladja meg az 50 kVA-t.</w:t>
      </w:r>
    </w:p>
  </w:footnote>
  <w:footnote w:id="39">
    <w:p w14:paraId="7D84E821" w14:textId="77777777" w:rsidR="00E83801" w:rsidRPr="00AA221F" w:rsidRDefault="00E83801" w:rsidP="006733A9">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villamos energiáról szóló 2007. évi LXXXVI. törvény</w:t>
      </w:r>
    </w:p>
  </w:footnote>
  <w:footnote w:id="40">
    <w:p w14:paraId="5D9F178F" w14:textId="77777777" w:rsidR="00E83801" w:rsidRPr="00AA221F" w:rsidRDefault="00E83801" w:rsidP="00922FBC">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347/2022. (IX. 9.) Korm. rendelet alapján mindezt legkésőbb a telepítés megkezdéséig közgyűlési határozatban kell rögzíteni.</w:t>
      </w:r>
    </w:p>
  </w:footnote>
  <w:footnote w:id="41">
    <w:p w14:paraId="4BCC3876" w14:textId="15A6BAF3" w:rsidR="00E83801" w:rsidRPr="00870F38" w:rsidRDefault="00E83801" w:rsidP="00870F38">
      <w:pPr>
        <w:pStyle w:val="Lbjegyzetszveg"/>
        <w:rPr>
          <w:rFonts w:asciiTheme="minorHAnsi" w:hAnsiTheme="minorHAnsi"/>
          <w:sz w:val="18"/>
          <w:szCs w:val="22"/>
          <w:lang w:val="hu-HU"/>
        </w:rPr>
      </w:pPr>
      <w:r w:rsidRPr="00EE17F2">
        <w:rPr>
          <w:rStyle w:val="Lbjegyzet-hivatkozs"/>
          <w:rFonts w:asciiTheme="minorHAnsi" w:hAnsiTheme="minorHAnsi"/>
          <w:sz w:val="18"/>
          <w:szCs w:val="22"/>
        </w:rPr>
        <w:footnoteRef/>
      </w:r>
      <w:r w:rsidRPr="00EE17F2">
        <w:rPr>
          <w:rFonts w:asciiTheme="minorHAnsi" w:hAnsiTheme="minorHAnsi"/>
          <w:sz w:val="18"/>
          <w:szCs w:val="22"/>
        </w:rPr>
        <w:t xml:space="preserve"> </w:t>
      </w:r>
      <w:r>
        <w:rPr>
          <w:rFonts w:asciiTheme="minorHAnsi" w:hAnsiTheme="minorHAnsi"/>
          <w:sz w:val="18"/>
          <w:szCs w:val="22"/>
          <w:lang w:val="hu-HU"/>
        </w:rPr>
        <w:t>A határozathozás módja az ügytípustól függ</w:t>
      </w:r>
      <w:r w:rsidRPr="00012933">
        <w:rPr>
          <w:rFonts w:asciiTheme="minorHAnsi" w:hAnsiTheme="minorHAnsi"/>
          <w:sz w:val="18"/>
          <w:szCs w:val="22"/>
          <w:lang w:val="hu-HU"/>
        </w:rPr>
        <w:t>.</w:t>
      </w:r>
      <w:r w:rsidRPr="00870F38">
        <w:t xml:space="preserve"> </w:t>
      </w:r>
      <w:r w:rsidRPr="00870F38">
        <w:rPr>
          <w:rFonts w:asciiTheme="minorHAnsi" w:hAnsiTheme="minorHAnsi"/>
          <w:sz w:val="18"/>
          <w:szCs w:val="22"/>
          <w:lang w:val="hu-HU"/>
        </w:rPr>
        <w:t>A közgyűlés akkor határozatképes, ha azon az összes tulajdoni hányad több mint felét birtokló tulajdonos jelen van.</w:t>
      </w:r>
      <w:r>
        <w:rPr>
          <w:rFonts w:asciiTheme="minorHAnsi" w:hAnsiTheme="minorHAnsi"/>
          <w:sz w:val="18"/>
          <w:szCs w:val="22"/>
          <w:lang w:val="hu-HU"/>
        </w:rPr>
        <w:t xml:space="preserve"> A</w:t>
      </w:r>
      <w:r w:rsidRPr="00870F38">
        <w:rPr>
          <w:rFonts w:asciiTheme="minorHAnsi" w:hAnsiTheme="minorHAnsi"/>
          <w:sz w:val="18"/>
          <w:szCs w:val="22"/>
          <w:lang w:val="hu-HU"/>
        </w:rPr>
        <w:t xml:space="preserve"> közgyűlés határozatképtelensége esetén megismételt közgyűlést kell tartani.</w:t>
      </w:r>
      <w:r w:rsidRPr="00870F38">
        <w:t xml:space="preserve"> </w:t>
      </w:r>
      <w:r w:rsidRPr="00870F38">
        <w:rPr>
          <w:rFonts w:asciiTheme="minorHAnsi" w:hAnsiTheme="minorHAnsi"/>
          <w:sz w:val="18"/>
          <w:szCs w:val="22"/>
          <w:lang w:val="hu-HU"/>
        </w:rPr>
        <w:t>A megismételt közgyűlés a jelenlevők tulajdoni hányadára tekintet nélkül határozatképes.</w:t>
      </w:r>
    </w:p>
    <w:p w14:paraId="749EE2F4" w14:textId="77777777" w:rsidR="00E83801" w:rsidRPr="00870F38" w:rsidRDefault="00E83801" w:rsidP="00870F38">
      <w:pPr>
        <w:pStyle w:val="Lbjegyzetszveg"/>
        <w:rPr>
          <w:rFonts w:asciiTheme="minorHAnsi" w:hAnsiTheme="minorHAnsi"/>
          <w:sz w:val="18"/>
          <w:szCs w:val="22"/>
          <w:lang w:val="hu-HU"/>
        </w:rPr>
      </w:pPr>
      <w:r w:rsidRPr="00870F38">
        <w:rPr>
          <w:rFonts w:asciiTheme="minorHAnsi" w:hAnsiTheme="minorHAnsi"/>
          <w:sz w:val="18"/>
          <w:szCs w:val="22"/>
          <w:lang w:val="hu-HU"/>
        </w:rPr>
        <w:t>A közgyűlés határozatainak jelentős részét a jelen lévő tulajdonosok tulajdoni hányada szerinti egyszerű többséggel hozza.</w:t>
      </w:r>
    </w:p>
    <w:p w14:paraId="385A812F" w14:textId="2D78BFC4" w:rsidR="00E83801" w:rsidRPr="00870F38" w:rsidRDefault="00E83801" w:rsidP="00870F38">
      <w:pPr>
        <w:pStyle w:val="Lbjegyzetszveg"/>
        <w:rPr>
          <w:rFonts w:asciiTheme="minorHAnsi" w:hAnsiTheme="minorHAnsi"/>
          <w:sz w:val="18"/>
          <w:szCs w:val="22"/>
          <w:lang w:val="hu-HU"/>
        </w:rPr>
      </w:pPr>
      <w:r w:rsidRPr="00870F38">
        <w:rPr>
          <w:rFonts w:asciiTheme="minorHAnsi" w:hAnsiTheme="minorHAnsi"/>
          <w:sz w:val="18"/>
          <w:szCs w:val="22"/>
          <w:lang w:val="hu-HU"/>
        </w:rPr>
        <w:t>Nem lehet ismétlő közgyűléseken dönteni ugyanakkor az olyan kérdésekben, amelyekben az összes tulajdonosi hányadhoz kötik a közgyűlés határozatképességét. Ilyen ügy lehet például közös terület értékesítése, vagy a szervezeti-működési szabályzat elfogadása.</w:t>
      </w:r>
      <w:r>
        <w:rPr>
          <w:rFonts w:asciiTheme="minorHAnsi" w:hAnsiTheme="minorHAnsi"/>
          <w:sz w:val="18"/>
          <w:szCs w:val="22"/>
          <w:lang w:val="hu-HU"/>
        </w:rPr>
        <w:t xml:space="preserve"> </w:t>
      </w:r>
      <w:r w:rsidRPr="00870F38">
        <w:rPr>
          <w:rFonts w:asciiTheme="minorHAnsi" w:hAnsiTheme="minorHAnsi"/>
          <w:sz w:val="18"/>
          <w:szCs w:val="22"/>
          <w:lang w:val="hu-HU"/>
        </w:rPr>
        <w:t>A rendes gazdálkodás körét meghaladó kiadások elfogadásához a tulajdonostársak egyhangú határozata szükséges.</w:t>
      </w:r>
    </w:p>
  </w:footnote>
  <w:footnote w:id="42">
    <w:p w14:paraId="38E82B51" w14:textId="77777777" w:rsidR="00E83801" w:rsidRPr="00AA221F" w:rsidRDefault="00E83801" w:rsidP="00922FBC">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A közbeszerzésekről szóló 2015. évi CXLIII. törvény, 74. § (1).</w:t>
      </w:r>
    </w:p>
  </w:footnote>
  <w:footnote w:id="43">
    <w:p w14:paraId="7225DA7D" w14:textId="56A69242" w:rsidR="00E83801" w:rsidRPr="00EC555C" w:rsidRDefault="00E83801" w:rsidP="00EC555C">
      <w:pPr>
        <w:pStyle w:val="Lbjegyzetszveg"/>
        <w:rPr>
          <w:rFonts w:asciiTheme="minorHAnsi" w:hAnsiTheme="minorHAnsi"/>
          <w:sz w:val="18"/>
          <w:szCs w:val="18"/>
          <w:lang w:val="hu-HU"/>
        </w:rPr>
      </w:pPr>
      <w:r w:rsidRPr="00EC555C">
        <w:rPr>
          <w:rStyle w:val="Lbjegyzet-hivatkozs"/>
          <w:rFonts w:asciiTheme="minorHAnsi" w:hAnsiTheme="minorHAnsi"/>
          <w:sz w:val="18"/>
          <w:szCs w:val="18"/>
        </w:rPr>
        <w:footnoteRef/>
      </w:r>
      <w:r w:rsidRPr="00EC555C">
        <w:rPr>
          <w:rFonts w:asciiTheme="minorHAnsi" w:hAnsiTheme="minorHAnsi"/>
          <w:sz w:val="18"/>
          <w:szCs w:val="18"/>
        </w:rPr>
        <w:t xml:space="preserve"> </w:t>
      </w:r>
      <w:r w:rsidRPr="00EC555C">
        <w:rPr>
          <w:rFonts w:asciiTheme="minorHAnsi" w:hAnsiTheme="minorHAnsi"/>
          <w:sz w:val="18"/>
          <w:szCs w:val="18"/>
          <w:lang w:val="hu-HU"/>
        </w:rPr>
        <w:t>A pénzügyi folyamatokkal korrigált megtérülési idő 31 év. A részletes számítások a 4.1-es és a 4.2-es Mellékletben találhatók.</w:t>
      </w:r>
    </w:p>
  </w:footnote>
  <w:footnote w:id="44">
    <w:p w14:paraId="124C7C66" w14:textId="695BD3F1" w:rsidR="00E83801" w:rsidRPr="00AA221F" w:rsidRDefault="00E83801">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w:t>
      </w:r>
      <w:hyperlink r:id="rId3" w:history="1">
        <w:r w:rsidRPr="00AA221F">
          <w:rPr>
            <w:rStyle w:val="Hiperhivatkozs"/>
            <w:rFonts w:asciiTheme="minorHAnsi" w:hAnsiTheme="minorHAnsi"/>
            <w:sz w:val="18"/>
            <w:szCs w:val="22"/>
          </w:rPr>
          <w:t>https://www.enhat.mekh.hu/ekr</w:t>
        </w:r>
      </w:hyperlink>
      <w:r w:rsidRPr="00AA221F">
        <w:rPr>
          <w:rFonts w:asciiTheme="minorHAnsi" w:hAnsiTheme="minorHAnsi"/>
          <w:sz w:val="18"/>
          <w:szCs w:val="22"/>
        </w:rPr>
        <w:t xml:space="preserve">; </w:t>
      </w:r>
      <w:hyperlink r:id="rId4" w:history="1">
        <w:r w:rsidRPr="00AA221F">
          <w:rPr>
            <w:rStyle w:val="Hiperhivatkozs"/>
            <w:rFonts w:asciiTheme="minorHAnsi" w:hAnsiTheme="minorHAnsi"/>
            <w:sz w:val="18"/>
            <w:szCs w:val="22"/>
          </w:rPr>
          <w:t>https://www.portfolio.hu/uzlet/20230130/tobb-mint-3000-milliard-forint-beruhazast-generalhat-az-ekr-593704</w:t>
        </w:r>
      </w:hyperlink>
    </w:p>
    <w:p w14:paraId="2726E2AD" w14:textId="02DEBD90" w:rsidR="00E83801" w:rsidRPr="00AA221F" w:rsidRDefault="00E83801">
      <w:pPr>
        <w:pStyle w:val="Lbjegyzetszveg"/>
        <w:rPr>
          <w:rFonts w:asciiTheme="minorHAnsi" w:hAnsiTheme="minorHAnsi"/>
          <w:sz w:val="18"/>
          <w:szCs w:val="22"/>
          <w:lang w:val="hu-HU"/>
        </w:rPr>
      </w:pPr>
    </w:p>
  </w:footnote>
  <w:footnote w:id="45">
    <w:p w14:paraId="0AA0BC18" w14:textId="32FA2500" w:rsidR="00E83801" w:rsidRPr="00AA221F" w:rsidRDefault="00E83801" w:rsidP="00CF55C7">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Terület- És Településfejlesztési Operatív Program Plusz, TOP Plusz 2021-2027</w:t>
      </w:r>
    </w:p>
  </w:footnote>
  <w:footnote w:id="46">
    <w:p w14:paraId="437945CF" w14:textId="77777777" w:rsidR="00E83801" w:rsidRPr="00AA221F" w:rsidRDefault="00E83801" w:rsidP="00070D25">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OTP Bank, </w:t>
      </w:r>
      <w:hyperlink r:id="rId5" w:history="1">
        <w:r w:rsidRPr="00AA221F">
          <w:rPr>
            <w:rStyle w:val="Hiperhivatkozs"/>
            <w:rFonts w:asciiTheme="minorHAnsi" w:hAnsiTheme="minorHAnsi"/>
            <w:sz w:val="18"/>
            <w:szCs w:val="22"/>
          </w:rPr>
          <w:t>https://www.otpbank.hu/portal/hu/Tarsashaz/Hitelek/ThermoStilus</w:t>
        </w:r>
      </w:hyperlink>
    </w:p>
  </w:footnote>
  <w:footnote w:id="47">
    <w:p w14:paraId="1E77E720" w14:textId="2EC56FC3" w:rsidR="00E83801" w:rsidRPr="00AA221F" w:rsidRDefault="00E83801" w:rsidP="00152E80">
      <w:pPr>
        <w:pStyle w:val="Lbjegyzetszveg"/>
        <w:jc w:val="left"/>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Unicredit Bank,</w:t>
      </w:r>
      <w:r>
        <w:rPr>
          <w:rFonts w:asciiTheme="minorHAnsi" w:hAnsiTheme="minorHAnsi"/>
          <w:sz w:val="18"/>
          <w:szCs w:val="22"/>
        </w:rPr>
        <w:t xml:space="preserve"> </w:t>
      </w:r>
      <w:hyperlink r:id="rId6" w:history="1">
        <w:r w:rsidRPr="00826E3A">
          <w:rPr>
            <w:rStyle w:val="Hiperhivatkozs"/>
            <w:rFonts w:asciiTheme="minorHAnsi" w:hAnsiTheme="minorHAnsi"/>
            <w:sz w:val="18"/>
            <w:szCs w:val="22"/>
          </w:rPr>
          <w:t>https://www.unicreditbank.hu/hu/kisvallalatok/finanszirozas/beruhazasi_hitel/tarsashazi_hitelek.html</w:t>
        </w:r>
      </w:hyperlink>
    </w:p>
  </w:footnote>
  <w:footnote w:id="48">
    <w:p w14:paraId="78EA70B1" w14:textId="77777777" w:rsidR="00E83801" w:rsidRPr="00AA221F" w:rsidRDefault="00E83801" w:rsidP="00070D25">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Raiffeisen Bank, </w:t>
      </w:r>
      <w:hyperlink r:id="rId7" w:history="1">
        <w:r w:rsidRPr="00AA221F">
          <w:rPr>
            <w:rStyle w:val="Hiperhivatkozs"/>
            <w:rFonts w:asciiTheme="minorHAnsi" w:hAnsiTheme="minorHAnsi"/>
            <w:sz w:val="18"/>
            <w:szCs w:val="22"/>
          </w:rPr>
          <w:t>https://www.raiffeisen.hu/intezmenyek/tarsashazak/felujitasi-hitel</w:t>
        </w:r>
      </w:hyperlink>
    </w:p>
  </w:footnote>
  <w:footnote w:id="49">
    <w:p w14:paraId="333B08CE" w14:textId="77777777" w:rsidR="00E83801" w:rsidRDefault="00E83801" w:rsidP="00070D25">
      <w:pPr>
        <w:pStyle w:val="Lbjegyzetszveg"/>
        <w:rPr>
          <w:rFonts w:asciiTheme="minorHAnsi" w:hAnsiTheme="minorHAnsi"/>
          <w:sz w:val="18"/>
          <w:szCs w:val="22"/>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Takarékbank,</w:t>
      </w:r>
    </w:p>
    <w:p w14:paraId="54F22DBC" w14:textId="1852956C" w:rsidR="00E83801" w:rsidRPr="00AA221F" w:rsidRDefault="00D11EB5" w:rsidP="00070D25">
      <w:pPr>
        <w:pStyle w:val="Lbjegyzetszveg"/>
        <w:rPr>
          <w:rFonts w:asciiTheme="minorHAnsi" w:hAnsiTheme="minorHAnsi"/>
          <w:sz w:val="18"/>
          <w:szCs w:val="22"/>
        </w:rPr>
      </w:pPr>
      <w:hyperlink r:id="rId8" w:history="1">
        <w:r w:rsidR="00E83801" w:rsidRPr="00826E3A">
          <w:rPr>
            <w:rStyle w:val="Hiperhivatkozs"/>
            <w:rFonts w:asciiTheme="minorHAnsi" w:hAnsiTheme="minorHAnsi"/>
            <w:sz w:val="18"/>
            <w:szCs w:val="22"/>
          </w:rPr>
          <w:t>https://www.takarekbank.hu/uzleti-ugyfelek/3atakarek-vallalatok-hitelek-tarsashazak-es-lakasszovetkezetek-reszere-nyujthato-hitel#</w:t>
        </w:r>
      </w:hyperlink>
    </w:p>
  </w:footnote>
  <w:footnote w:id="50">
    <w:p w14:paraId="3E65F556" w14:textId="70368ECD" w:rsidR="00E83801" w:rsidRPr="005E714B" w:rsidRDefault="00E83801">
      <w:pPr>
        <w:pStyle w:val="Lbjegyzetszveg"/>
        <w:rPr>
          <w:rFonts w:asciiTheme="minorHAnsi" w:hAnsiTheme="minorHAnsi"/>
          <w:sz w:val="18"/>
          <w:szCs w:val="22"/>
        </w:rPr>
      </w:pPr>
      <w:r w:rsidRPr="00152E80">
        <w:rPr>
          <w:rStyle w:val="Lbjegyzet-hivatkozs"/>
          <w:rFonts w:asciiTheme="minorHAnsi" w:hAnsiTheme="minorHAnsi"/>
          <w:sz w:val="18"/>
          <w:szCs w:val="22"/>
        </w:rPr>
        <w:footnoteRef/>
      </w:r>
      <w:r>
        <w:rPr>
          <w:rFonts w:asciiTheme="minorHAnsi" w:hAnsiTheme="minorHAnsi"/>
          <w:sz w:val="18"/>
          <w:szCs w:val="22"/>
        </w:rPr>
        <w:t xml:space="preserve"> Forrás: Fundamenta, </w:t>
      </w:r>
      <w:r w:rsidRPr="00152E80">
        <w:rPr>
          <w:rFonts w:asciiTheme="minorHAnsi" w:hAnsiTheme="minorHAnsi"/>
          <w:sz w:val="18"/>
          <w:szCs w:val="22"/>
        </w:rPr>
        <w:t xml:space="preserve"> </w:t>
      </w:r>
      <w:hyperlink r:id="rId9" w:history="1">
        <w:r w:rsidRPr="00826E3A">
          <w:rPr>
            <w:rStyle w:val="Hiperhivatkozs"/>
            <w:rFonts w:asciiTheme="minorHAnsi" w:hAnsiTheme="minorHAnsi"/>
            <w:sz w:val="18"/>
            <w:szCs w:val="22"/>
          </w:rPr>
          <w:t>https://fundamenta.hu/megoldasaink/tarsashazaknak/</w:t>
        </w:r>
      </w:hyperlink>
    </w:p>
  </w:footnote>
  <w:footnote w:id="51">
    <w:p w14:paraId="50F31A83" w14:textId="77777777" w:rsidR="00E83801" w:rsidRPr="00AA221F" w:rsidRDefault="00E83801" w:rsidP="00070D25">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Az Európai Parlament és a Tanács (EU) 2020/1503 rendelete (2020. október 7.) az európai közösségi finanszírozási üzleti szolgáltatókról, valamint az (EU) 2017/1129 rendelet és az (EU) 2019/1937 irányelv módosításáról</w:t>
      </w:r>
    </w:p>
  </w:footnote>
  <w:footnote w:id="52">
    <w:p w14:paraId="194CF6A6" w14:textId="77777777" w:rsidR="00E83801" w:rsidRPr="00AA221F" w:rsidRDefault="00E83801" w:rsidP="00070D25">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Forrás: MNB, </w:t>
      </w:r>
      <w:hyperlink r:id="rId10" w:history="1">
        <w:r w:rsidRPr="00AA221F">
          <w:rPr>
            <w:rStyle w:val="Hiperhivatkozs"/>
            <w:rFonts w:asciiTheme="minorHAnsi" w:hAnsiTheme="minorHAnsi"/>
            <w:sz w:val="18"/>
            <w:szCs w:val="22"/>
          </w:rPr>
          <w:t>https://www.mnb.hu/letoltes/kozossegi-finanszirozasi-szolgaltatok-engedelyezese-utmutato.pdf</w:t>
        </w:r>
      </w:hyperlink>
    </w:p>
  </w:footnote>
  <w:footnote w:id="53">
    <w:p w14:paraId="073D635D" w14:textId="38EDF9DF" w:rsidR="00E83801" w:rsidRPr="0003387C" w:rsidRDefault="00E83801">
      <w:pPr>
        <w:pStyle w:val="Lbjegyzetszveg"/>
        <w:rPr>
          <w:rFonts w:asciiTheme="minorHAnsi" w:hAnsiTheme="minorHAnsi"/>
          <w:sz w:val="18"/>
          <w:szCs w:val="18"/>
          <w:lang w:val="hu-HU"/>
        </w:rPr>
      </w:pPr>
      <w:r w:rsidRPr="0003387C">
        <w:rPr>
          <w:rStyle w:val="Lbjegyzet-hivatkozs"/>
          <w:rFonts w:asciiTheme="minorHAnsi" w:hAnsiTheme="minorHAnsi"/>
          <w:sz w:val="18"/>
          <w:szCs w:val="18"/>
        </w:rPr>
        <w:footnoteRef/>
      </w:r>
      <w:r w:rsidRPr="0003387C">
        <w:rPr>
          <w:rFonts w:asciiTheme="minorHAnsi" w:hAnsiTheme="minorHAnsi"/>
          <w:sz w:val="18"/>
          <w:szCs w:val="18"/>
        </w:rPr>
        <w:t xml:space="preserve"> Az Energiahatékonysági és Klímavédelmi Alap EUCF Beruházási Koncepcióban szereplő projektelemekre vonatkoztatható 2 615 882 000 Ft-os kerete.</w:t>
      </w:r>
    </w:p>
  </w:footnote>
  <w:footnote w:id="54">
    <w:p w14:paraId="2E9D4553" w14:textId="0C6E2252" w:rsidR="00E83801" w:rsidRPr="00AA221F" w:rsidRDefault="00E83801">
      <w:pPr>
        <w:pStyle w:val="Lbjegyzetszveg"/>
        <w:rPr>
          <w:rFonts w:asciiTheme="minorHAnsi" w:hAnsiTheme="minorHAnsi"/>
          <w:sz w:val="18"/>
          <w:szCs w:val="22"/>
          <w:lang w:val="hu-HU"/>
        </w:rPr>
      </w:pPr>
      <w:r w:rsidRPr="00AA221F">
        <w:rPr>
          <w:rStyle w:val="Lbjegyzet-hivatkozs"/>
          <w:rFonts w:asciiTheme="minorHAnsi" w:hAnsiTheme="minorHAnsi"/>
          <w:sz w:val="18"/>
          <w:szCs w:val="22"/>
        </w:rPr>
        <w:footnoteRef/>
      </w:r>
      <w:r w:rsidRPr="00AA221F">
        <w:rPr>
          <w:rFonts w:asciiTheme="minorHAnsi" w:hAnsiTheme="minorHAnsi"/>
          <w:sz w:val="18"/>
          <w:szCs w:val="22"/>
        </w:rPr>
        <w:t xml:space="preserve">   A kezdés és befejezés várható időpontja sok esetben ideális körülményeket feltételez: A jogi és pénzügyi akadályok elhárulását, illetve a korábban bemutatott kockázatok megfelelő kezelését.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EEAD" w14:textId="108E87CE" w:rsidR="00E83801" w:rsidRDefault="00E83801">
    <w:pPr>
      <w:pStyle w:val="lfej"/>
    </w:pPr>
    <w:r>
      <w:rPr>
        <w:rFonts w:ascii="Source Sans Pro Black" w:hAnsi="Source Sans Pro Black"/>
        <w:noProof/>
        <w:color w:val="575756"/>
        <w:sz w:val="36"/>
        <w:szCs w:val="36"/>
        <w:lang w:eastAsia="hu-HU"/>
      </w:rPr>
      <w:drawing>
        <wp:anchor distT="0" distB="0" distL="114300" distR="114300" simplePos="0" relativeHeight="251661312" behindDoc="0" locked="0" layoutInCell="1" allowOverlap="1" wp14:anchorId="5FF90DDD" wp14:editId="218ADAC9">
          <wp:simplePos x="0" y="0"/>
          <wp:positionH relativeFrom="margin">
            <wp:align>center</wp:align>
          </wp:positionH>
          <wp:positionV relativeFrom="paragraph">
            <wp:posOffset>-55112</wp:posOffset>
          </wp:positionV>
          <wp:extent cx="1336431" cy="430865"/>
          <wp:effectExtent l="0" t="0" r="0" b="7620"/>
          <wp:wrapNone/>
          <wp:docPr id="13" name="Kép 13"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szöveg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431" cy="430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B6A4E">
      <w:rPr>
        <w:b/>
        <w:bCs/>
        <w:noProof/>
        <w:lang w:eastAsia="hu-HU"/>
      </w:rPr>
      <w:drawing>
        <wp:anchor distT="0" distB="0" distL="114300" distR="114300" simplePos="0" relativeHeight="251660288" behindDoc="0" locked="0" layoutInCell="1" allowOverlap="1" wp14:anchorId="39B07977" wp14:editId="3BCDEC34">
          <wp:simplePos x="0" y="0"/>
          <wp:positionH relativeFrom="margin">
            <wp:align>right</wp:align>
          </wp:positionH>
          <wp:positionV relativeFrom="page">
            <wp:posOffset>382402</wp:posOffset>
          </wp:positionV>
          <wp:extent cx="422275" cy="422275"/>
          <wp:effectExtent l="0" t="0" r="0" b="0"/>
          <wp:wrapNone/>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2275" cy="42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C6D">
      <w:rPr>
        <w:noProof/>
        <w:color w:val="575757"/>
        <w:sz w:val="20"/>
        <w:lang w:eastAsia="hu-HU"/>
      </w:rPr>
      <w:drawing>
        <wp:anchor distT="0" distB="0" distL="114300" distR="114300" simplePos="0" relativeHeight="251659264" behindDoc="0" locked="0" layoutInCell="1" allowOverlap="1" wp14:anchorId="3CC6E2E8" wp14:editId="53BBAD5D">
          <wp:simplePos x="0" y="0"/>
          <wp:positionH relativeFrom="margin">
            <wp:align>left</wp:align>
          </wp:positionH>
          <wp:positionV relativeFrom="page">
            <wp:posOffset>348127</wp:posOffset>
          </wp:positionV>
          <wp:extent cx="395605" cy="457835"/>
          <wp:effectExtent l="0" t="0" r="4445" b="0"/>
          <wp:wrapNone/>
          <wp:docPr id="16"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5605" cy="457835"/>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1A794" w14:textId="5E58C3B1" w:rsidR="00E83801" w:rsidRDefault="00E83801">
    <w:pPr>
      <w:pStyle w:val="lfej"/>
    </w:pPr>
    <w:r>
      <w:rPr>
        <w:rFonts w:ascii="Source Sans Pro Black" w:hAnsi="Source Sans Pro Black"/>
        <w:noProof/>
        <w:color w:val="575756"/>
        <w:sz w:val="36"/>
        <w:szCs w:val="36"/>
        <w:lang w:eastAsia="hu-HU"/>
      </w:rPr>
      <w:drawing>
        <wp:anchor distT="0" distB="0" distL="114300" distR="114300" simplePos="0" relativeHeight="251665408" behindDoc="0" locked="0" layoutInCell="1" allowOverlap="1" wp14:anchorId="64A9171F" wp14:editId="434B18AD">
          <wp:simplePos x="0" y="0"/>
          <wp:positionH relativeFrom="margin">
            <wp:align>center</wp:align>
          </wp:positionH>
          <wp:positionV relativeFrom="paragraph">
            <wp:posOffset>22197</wp:posOffset>
          </wp:positionV>
          <wp:extent cx="1336431" cy="430865"/>
          <wp:effectExtent l="0" t="0" r="0" b="7620"/>
          <wp:wrapNone/>
          <wp:docPr id="17" name="Kép 17"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szöveg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431" cy="430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B6A4E">
      <w:rPr>
        <w:b/>
        <w:bCs/>
        <w:noProof/>
        <w:lang w:eastAsia="hu-HU"/>
      </w:rPr>
      <w:drawing>
        <wp:anchor distT="0" distB="0" distL="114300" distR="114300" simplePos="0" relativeHeight="251664384" behindDoc="0" locked="0" layoutInCell="1" allowOverlap="1" wp14:anchorId="153EA639" wp14:editId="6369C43A">
          <wp:simplePos x="0" y="0"/>
          <wp:positionH relativeFrom="margin">
            <wp:posOffset>8375843</wp:posOffset>
          </wp:positionH>
          <wp:positionV relativeFrom="topMargin">
            <wp:align>bottom</wp:align>
          </wp:positionV>
          <wp:extent cx="422275" cy="422275"/>
          <wp:effectExtent l="0" t="0" r="0" b="0"/>
          <wp:wrapNone/>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2275" cy="42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C6D">
      <w:rPr>
        <w:noProof/>
        <w:color w:val="575757"/>
        <w:sz w:val="20"/>
        <w:lang w:eastAsia="hu-HU"/>
      </w:rPr>
      <w:drawing>
        <wp:anchor distT="0" distB="0" distL="114300" distR="114300" simplePos="0" relativeHeight="251663360" behindDoc="0" locked="0" layoutInCell="1" allowOverlap="1" wp14:anchorId="1C0E5258" wp14:editId="1CF768E4">
          <wp:simplePos x="0" y="0"/>
          <wp:positionH relativeFrom="margin">
            <wp:posOffset>0</wp:posOffset>
          </wp:positionH>
          <wp:positionV relativeFrom="page">
            <wp:posOffset>448945</wp:posOffset>
          </wp:positionV>
          <wp:extent cx="395605" cy="457835"/>
          <wp:effectExtent l="0" t="0" r="4445" b="0"/>
          <wp:wrapNone/>
          <wp:docPr id="19"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5605" cy="457835"/>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3C10" w14:textId="38E22B71" w:rsidR="00E83801" w:rsidRDefault="00E83801">
    <w:pPr>
      <w:pStyle w:val="lfej"/>
    </w:pPr>
    <w:r w:rsidRPr="005B6A4E">
      <w:rPr>
        <w:b/>
        <w:bCs/>
        <w:noProof/>
        <w:lang w:eastAsia="hu-HU"/>
      </w:rPr>
      <w:drawing>
        <wp:anchor distT="0" distB="0" distL="114300" distR="114300" simplePos="0" relativeHeight="251671552" behindDoc="0" locked="0" layoutInCell="1" allowOverlap="1" wp14:anchorId="57A96DE2" wp14:editId="36A6A02B">
          <wp:simplePos x="0" y="0"/>
          <wp:positionH relativeFrom="margin">
            <wp:align>right</wp:align>
          </wp:positionH>
          <wp:positionV relativeFrom="topMargin">
            <wp:align>bottom</wp:align>
          </wp:positionV>
          <wp:extent cx="422275" cy="422275"/>
          <wp:effectExtent l="0" t="0" r="0" b="0"/>
          <wp:wrapNone/>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275" cy="422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Black" w:hAnsi="Source Sans Pro Black"/>
        <w:noProof/>
        <w:color w:val="575756"/>
        <w:sz w:val="36"/>
        <w:szCs w:val="36"/>
        <w:lang w:eastAsia="hu-HU"/>
      </w:rPr>
      <w:drawing>
        <wp:anchor distT="0" distB="0" distL="114300" distR="114300" simplePos="0" relativeHeight="251669504" behindDoc="0" locked="0" layoutInCell="1" allowOverlap="1" wp14:anchorId="31F4044F" wp14:editId="79562403">
          <wp:simplePos x="0" y="0"/>
          <wp:positionH relativeFrom="margin">
            <wp:align>center</wp:align>
          </wp:positionH>
          <wp:positionV relativeFrom="paragraph">
            <wp:posOffset>22197</wp:posOffset>
          </wp:positionV>
          <wp:extent cx="1336431" cy="430865"/>
          <wp:effectExtent l="0" t="0" r="0" b="7620"/>
          <wp:wrapNone/>
          <wp:docPr id="21" name="Kép 21"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szöveg látható&#10;&#10;Automatikusan generált leírá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6431" cy="430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B6A4E">
      <w:rPr>
        <w:b/>
        <w:bCs/>
        <w:noProof/>
        <w:lang w:eastAsia="hu-HU"/>
      </w:rPr>
      <w:drawing>
        <wp:anchor distT="0" distB="0" distL="114300" distR="114300" simplePos="0" relativeHeight="251668480" behindDoc="0" locked="0" layoutInCell="1" allowOverlap="1" wp14:anchorId="78B074B5" wp14:editId="247A3A11">
          <wp:simplePos x="0" y="0"/>
          <wp:positionH relativeFrom="margin">
            <wp:posOffset>8375843</wp:posOffset>
          </wp:positionH>
          <wp:positionV relativeFrom="topMargin">
            <wp:align>bottom</wp:align>
          </wp:positionV>
          <wp:extent cx="422275" cy="422275"/>
          <wp:effectExtent l="0" t="0" r="0" b="0"/>
          <wp:wrapNone/>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275" cy="42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C6D">
      <w:rPr>
        <w:noProof/>
        <w:color w:val="575757"/>
        <w:sz w:val="20"/>
        <w:lang w:eastAsia="hu-HU"/>
      </w:rPr>
      <w:drawing>
        <wp:anchor distT="0" distB="0" distL="114300" distR="114300" simplePos="0" relativeHeight="251667456" behindDoc="0" locked="0" layoutInCell="1" allowOverlap="1" wp14:anchorId="001270D3" wp14:editId="5E7F0F8A">
          <wp:simplePos x="0" y="0"/>
          <wp:positionH relativeFrom="margin">
            <wp:posOffset>0</wp:posOffset>
          </wp:positionH>
          <wp:positionV relativeFrom="page">
            <wp:posOffset>448945</wp:posOffset>
          </wp:positionV>
          <wp:extent cx="395605" cy="457835"/>
          <wp:effectExtent l="0" t="0" r="4445" b="0"/>
          <wp:wrapNone/>
          <wp:docPr id="24" name="Image 3" descr="Macintosh HD:Users:umberto:Documents:EN_COURS:CLIMATE ALLIANCE:Logo_EU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berto:Documents:EN_COURS:CLIMATE ALLIANCE:Logo_EUCF.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5605" cy="457835"/>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461AB"/>
    <w:multiLevelType w:val="hybridMultilevel"/>
    <w:tmpl w:val="5FD29A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F241AC"/>
    <w:multiLevelType w:val="hybridMultilevel"/>
    <w:tmpl w:val="7A32767C"/>
    <w:lvl w:ilvl="0" w:tplc="040E0001">
      <w:start w:val="1"/>
      <w:numFmt w:val="bullet"/>
      <w:lvlText w:val=""/>
      <w:lvlJc w:val="left"/>
      <w:pPr>
        <w:ind w:left="720" w:hanging="360"/>
      </w:pPr>
      <w:rPr>
        <w:rFonts w:ascii="Symbol" w:hAnsi="Symbol" w:hint="default"/>
      </w:rPr>
    </w:lvl>
    <w:lvl w:ilvl="1" w:tplc="FCD2934A">
      <w:start w:val="2029"/>
      <w:numFmt w:val="bullet"/>
      <w:lvlText w:val="•"/>
      <w:lvlJc w:val="left"/>
      <w:pPr>
        <w:ind w:left="1790" w:hanging="710"/>
      </w:pPr>
      <w:rPr>
        <w:rFonts w:ascii="Calibri" w:eastAsiaTheme="minorHAns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66785B"/>
    <w:multiLevelType w:val="hybridMultilevel"/>
    <w:tmpl w:val="2C307B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0078D2"/>
    <w:multiLevelType w:val="hybridMultilevel"/>
    <w:tmpl w:val="AFC22C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4E4433"/>
    <w:multiLevelType w:val="hybridMultilevel"/>
    <w:tmpl w:val="AE4C33F0"/>
    <w:lvl w:ilvl="0" w:tplc="040E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076041"/>
    <w:multiLevelType w:val="hybridMultilevel"/>
    <w:tmpl w:val="09682D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B9CE9402">
      <w:start w:val="2029"/>
      <w:numFmt w:val="bullet"/>
      <w:lvlText w:val="•"/>
      <w:lvlJc w:val="left"/>
      <w:pPr>
        <w:ind w:left="2510" w:hanging="710"/>
      </w:pPr>
      <w:rPr>
        <w:rFonts w:ascii="Calibri" w:eastAsiaTheme="minorHAnsi" w:hAnsi="Calibri" w:cs="Calibri"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2B54C34"/>
    <w:multiLevelType w:val="hybridMultilevel"/>
    <w:tmpl w:val="B8A28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81C0FED"/>
    <w:multiLevelType w:val="hybridMultilevel"/>
    <w:tmpl w:val="5AF25E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AFB34F9"/>
    <w:multiLevelType w:val="hybridMultilevel"/>
    <w:tmpl w:val="D9F653E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B1D6889"/>
    <w:multiLevelType w:val="hybridMultilevel"/>
    <w:tmpl w:val="39A4C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C7C007C"/>
    <w:multiLevelType w:val="hybridMultilevel"/>
    <w:tmpl w:val="9258B9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DB611B1"/>
    <w:multiLevelType w:val="hybridMultilevel"/>
    <w:tmpl w:val="8EC48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EF300F4"/>
    <w:multiLevelType w:val="hybridMultilevel"/>
    <w:tmpl w:val="9F3E7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29D2C0C"/>
    <w:multiLevelType w:val="hybridMultilevel"/>
    <w:tmpl w:val="F62A37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5097B19"/>
    <w:multiLevelType w:val="hybridMultilevel"/>
    <w:tmpl w:val="7D0461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71D4F10"/>
    <w:multiLevelType w:val="hybridMultilevel"/>
    <w:tmpl w:val="9C585B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D55E32"/>
    <w:multiLevelType w:val="hybridMultilevel"/>
    <w:tmpl w:val="CA2EF9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B952895"/>
    <w:multiLevelType w:val="hybridMultilevel"/>
    <w:tmpl w:val="96105904"/>
    <w:lvl w:ilvl="0" w:tplc="040E000F">
      <w:start w:val="1"/>
      <w:numFmt w:val="decimal"/>
      <w:lvlText w:val="%1."/>
      <w:lvlJc w:val="left"/>
      <w:pPr>
        <w:ind w:left="720" w:hanging="360"/>
      </w:pPr>
    </w:lvl>
    <w:lvl w:ilvl="1" w:tplc="56709334">
      <w:numFmt w:val="bullet"/>
      <w:lvlText w:val="-"/>
      <w:lvlJc w:val="left"/>
      <w:pPr>
        <w:ind w:left="1440" w:hanging="360"/>
      </w:pPr>
      <w:rPr>
        <w:rFonts w:ascii="Calibri" w:eastAsiaTheme="minorHAnsi" w:hAnsi="Calibri" w:cs="Calibri"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EA719E"/>
    <w:multiLevelType w:val="hybridMultilevel"/>
    <w:tmpl w:val="19AA03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1EC6E42"/>
    <w:multiLevelType w:val="hybridMultilevel"/>
    <w:tmpl w:val="3B3842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871137F"/>
    <w:multiLevelType w:val="hybridMultilevel"/>
    <w:tmpl w:val="4AD64A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D5355DA"/>
    <w:multiLevelType w:val="multilevel"/>
    <w:tmpl w:val="FAF07580"/>
    <w:lvl w:ilvl="0">
      <w:start w:val="1"/>
      <w:numFmt w:val="ordinal"/>
      <w:pStyle w:val="Cmsor1"/>
      <w:lvlText w:val="%1"/>
      <w:lvlJc w:val="left"/>
      <w:pPr>
        <w:ind w:left="360" w:hanging="360"/>
      </w:pPr>
      <w:rPr>
        <w:rFonts w:hint="default"/>
      </w:rPr>
    </w:lvl>
    <w:lvl w:ilvl="1">
      <w:start w:val="1"/>
      <w:numFmt w:val="ordinal"/>
      <w:lvlText w:val="%1%2"/>
      <w:lvlJc w:val="left"/>
      <w:pPr>
        <w:ind w:left="624" w:hanging="624"/>
      </w:pPr>
      <w:rPr>
        <w:rFonts w:hint="default"/>
      </w:rPr>
    </w:lvl>
    <w:lvl w:ilvl="2">
      <w:start w:val="1"/>
      <w:numFmt w:val="ordinal"/>
      <w:lvlText w:val="%1%2%3"/>
      <w:lvlJc w:val="left"/>
      <w:pPr>
        <w:ind w:left="907" w:hanging="907"/>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055D9"/>
    <w:multiLevelType w:val="hybridMultilevel"/>
    <w:tmpl w:val="4288AF7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4870DD"/>
    <w:multiLevelType w:val="hybridMultilevel"/>
    <w:tmpl w:val="38022D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A864691"/>
    <w:multiLevelType w:val="hybridMultilevel"/>
    <w:tmpl w:val="D79ABB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BBB0DA1"/>
    <w:multiLevelType w:val="hybridMultilevel"/>
    <w:tmpl w:val="696020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F9B212A"/>
    <w:multiLevelType w:val="hybridMultilevel"/>
    <w:tmpl w:val="96105904"/>
    <w:lvl w:ilvl="0" w:tplc="FFFFFFFF">
      <w:start w:val="1"/>
      <w:numFmt w:val="decimal"/>
      <w:lvlText w:val="%1."/>
      <w:lvlJc w:val="left"/>
      <w:pPr>
        <w:ind w:left="720" w:hanging="360"/>
      </w:pPr>
    </w:lvl>
    <w:lvl w:ilvl="1" w:tplc="FFFFFFFF">
      <w:numFmt w:val="bullet"/>
      <w:lvlText w:val="-"/>
      <w:lvlJc w:val="left"/>
      <w:pPr>
        <w:ind w:left="1440" w:hanging="360"/>
      </w:pPr>
      <w:rPr>
        <w:rFonts w:ascii="Calibri" w:eastAsiaTheme="minorHAnsi" w:hAnsi="Calibri" w:cs="Calibri"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2C3A76"/>
    <w:multiLevelType w:val="hybridMultilevel"/>
    <w:tmpl w:val="986870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322786F"/>
    <w:multiLevelType w:val="hybridMultilevel"/>
    <w:tmpl w:val="0596C4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3E4082E"/>
    <w:multiLevelType w:val="multilevel"/>
    <w:tmpl w:val="E496F10E"/>
    <w:lvl w:ilvl="0">
      <w:start w:val="1"/>
      <w:numFmt w:val="decimal"/>
      <w:lvlText w:val="%1."/>
      <w:lvlJc w:val="left"/>
      <w:pPr>
        <w:ind w:left="360" w:hanging="360"/>
      </w:pPr>
      <w:rPr>
        <w:rFonts w:hint="default"/>
      </w:rPr>
    </w:lvl>
    <w:lvl w:ilvl="1">
      <w:start w:val="1"/>
      <w:numFmt w:val="ordinal"/>
      <w:lvlText w:val="%1%2"/>
      <w:lvlJc w:val="left"/>
      <w:pPr>
        <w:ind w:left="624" w:hanging="624"/>
      </w:pPr>
      <w:rPr>
        <w:rFonts w:hint="default"/>
      </w:rPr>
    </w:lvl>
    <w:lvl w:ilvl="2">
      <w:start w:val="1"/>
      <w:numFmt w:val="ordinal"/>
      <w:lvlText w:val="%1%2%3"/>
      <w:lvlJc w:val="left"/>
      <w:pPr>
        <w:ind w:left="907" w:hanging="907"/>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A3287F"/>
    <w:multiLevelType w:val="hybridMultilevel"/>
    <w:tmpl w:val="97E6B8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54342E4"/>
    <w:multiLevelType w:val="hybridMultilevel"/>
    <w:tmpl w:val="E7727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5492445"/>
    <w:multiLevelType w:val="hybridMultilevel"/>
    <w:tmpl w:val="45FEAB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A8D151A"/>
    <w:multiLevelType w:val="hybridMultilevel"/>
    <w:tmpl w:val="69185D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BDD7597"/>
    <w:multiLevelType w:val="hybridMultilevel"/>
    <w:tmpl w:val="C6486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CDC3A38"/>
    <w:multiLevelType w:val="hybridMultilevel"/>
    <w:tmpl w:val="5C86F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FB97887"/>
    <w:multiLevelType w:val="hybridMultilevel"/>
    <w:tmpl w:val="327AC3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1C218AC"/>
    <w:multiLevelType w:val="hybridMultilevel"/>
    <w:tmpl w:val="25D6DAC0"/>
    <w:lvl w:ilvl="0" w:tplc="133EB84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4597D29"/>
    <w:multiLevelType w:val="hybridMultilevel"/>
    <w:tmpl w:val="D2D013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4FA1843"/>
    <w:multiLevelType w:val="hybridMultilevel"/>
    <w:tmpl w:val="EB3C14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7E9216B"/>
    <w:multiLevelType w:val="hybridMultilevel"/>
    <w:tmpl w:val="62BAEB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9B212E7"/>
    <w:multiLevelType w:val="hybridMultilevel"/>
    <w:tmpl w:val="B64610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DE70B59"/>
    <w:multiLevelType w:val="hybridMultilevel"/>
    <w:tmpl w:val="FFC00A28"/>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1EE04C4"/>
    <w:multiLevelType w:val="hybridMultilevel"/>
    <w:tmpl w:val="F500B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6FF56CF"/>
    <w:multiLevelType w:val="hybridMultilevel"/>
    <w:tmpl w:val="131205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C54632E"/>
    <w:multiLevelType w:val="hybridMultilevel"/>
    <w:tmpl w:val="757222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E777660"/>
    <w:multiLevelType w:val="hybridMultilevel"/>
    <w:tmpl w:val="354041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F17588B"/>
    <w:multiLevelType w:val="hybridMultilevel"/>
    <w:tmpl w:val="31E6B642"/>
    <w:lvl w:ilvl="0" w:tplc="597C4C2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1"/>
  </w:num>
  <w:num w:numId="2">
    <w:abstractNumId w:val="2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8"/>
  </w:num>
  <w:num w:numId="7">
    <w:abstractNumId w:val="7"/>
  </w:num>
  <w:num w:numId="8">
    <w:abstractNumId w:val="5"/>
  </w:num>
  <w:num w:numId="9">
    <w:abstractNumId w:val="25"/>
  </w:num>
  <w:num w:numId="10">
    <w:abstractNumId w:val="1"/>
  </w:num>
  <w:num w:numId="11">
    <w:abstractNumId w:val="44"/>
  </w:num>
  <w:num w:numId="12">
    <w:abstractNumId w:val="40"/>
  </w:num>
  <w:num w:numId="13">
    <w:abstractNumId w:val="28"/>
  </w:num>
  <w:num w:numId="14">
    <w:abstractNumId w:val="34"/>
  </w:num>
  <w:num w:numId="15">
    <w:abstractNumId w:val="30"/>
  </w:num>
  <w:num w:numId="16">
    <w:abstractNumId w:val="12"/>
  </w:num>
  <w:num w:numId="17">
    <w:abstractNumId w:val="15"/>
  </w:num>
  <w:num w:numId="18">
    <w:abstractNumId w:val="41"/>
  </w:num>
  <w:num w:numId="19">
    <w:abstractNumId w:val="24"/>
  </w:num>
  <w:num w:numId="20">
    <w:abstractNumId w:val="11"/>
  </w:num>
  <w:num w:numId="21">
    <w:abstractNumId w:val="26"/>
  </w:num>
  <w:num w:numId="22">
    <w:abstractNumId w:val="36"/>
  </w:num>
  <w:num w:numId="23">
    <w:abstractNumId w:val="3"/>
  </w:num>
  <w:num w:numId="24">
    <w:abstractNumId w:val="32"/>
  </w:num>
  <w:num w:numId="25">
    <w:abstractNumId w:val="16"/>
  </w:num>
  <w:num w:numId="26">
    <w:abstractNumId w:val="13"/>
  </w:num>
  <w:num w:numId="27">
    <w:abstractNumId w:val="22"/>
  </w:num>
  <w:num w:numId="28">
    <w:abstractNumId w:val="4"/>
  </w:num>
  <w:num w:numId="29">
    <w:abstractNumId w:val="42"/>
  </w:num>
  <w:num w:numId="30">
    <w:abstractNumId w:val="2"/>
  </w:num>
  <w:num w:numId="31">
    <w:abstractNumId w:val="9"/>
  </w:num>
  <w:num w:numId="32">
    <w:abstractNumId w:val="27"/>
  </w:num>
  <w:num w:numId="33">
    <w:abstractNumId w:val="33"/>
  </w:num>
  <w:num w:numId="34">
    <w:abstractNumId w:val="18"/>
  </w:num>
  <w:num w:numId="35">
    <w:abstractNumId w:val="19"/>
  </w:num>
  <w:num w:numId="36">
    <w:abstractNumId w:val="45"/>
  </w:num>
  <w:num w:numId="37">
    <w:abstractNumId w:val="46"/>
  </w:num>
  <w:num w:numId="38">
    <w:abstractNumId w:val="35"/>
  </w:num>
  <w:num w:numId="39">
    <w:abstractNumId w:val="31"/>
  </w:num>
  <w:num w:numId="40">
    <w:abstractNumId w:val="39"/>
  </w:num>
  <w:num w:numId="41">
    <w:abstractNumId w:val="23"/>
  </w:num>
  <w:num w:numId="42">
    <w:abstractNumId w:val="20"/>
  </w:num>
  <w:num w:numId="43">
    <w:abstractNumId w:val="37"/>
  </w:num>
  <w:num w:numId="44">
    <w:abstractNumId w:val="10"/>
  </w:num>
  <w:num w:numId="45">
    <w:abstractNumId w:val="6"/>
  </w:num>
  <w:num w:numId="46">
    <w:abstractNumId w:val="43"/>
  </w:num>
  <w:num w:numId="47">
    <w:abstractNumId w:val="47"/>
  </w:num>
  <w:num w:numId="48">
    <w:abstractNumId w:val="38"/>
  </w:num>
  <w:num w:numId="49">
    <w:abstractNumId w:val="0"/>
  </w:num>
  <w:num w:numId="5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6FD"/>
    <w:rsid w:val="00001047"/>
    <w:rsid w:val="00001DBC"/>
    <w:rsid w:val="00012933"/>
    <w:rsid w:val="00015717"/>
    <w:rsid w:val="000227EB"/>
    <w:rsid w:val="00024714"/>
    <w:rsid w:val="0003387C"/>
    <w:rsid w:val="00056E22"/>
    <w:rsid w:val="0006074E"/>
    <w:rsid w:val="00070D25"/>
    <w:rsid w:val="00073001"/>
    <w:rsid w:val="00081364"/>
    <w:rsid w:val="00081E7A"/>
    <w:rsid w:val="00091390"/>
    <w:rsid w:val="000A112B"/>
    <w:rsid w:val="000A1DC8"/>
    <w:rsid w:val="000A511D"/>
    <w:rsid w:val="000A621E"/>
    <w:rsid w:val="000A730D"/>
    <w:rsid w:val="000B4053"/>
    <w:rsid w:val="000B425E"/>
    <w:rsid w:val="000B4C4A"/>
    <w:rsid w:val="000B648F"/>
    <w:rsid w:val="000C127B"/>
    <w:rsid w:val="000C68AD"/>
    <w:rsid w:val="000D16CB"/>
    <w:rsid w:val="000D3804"/>
    <w:rsid w:val="000D5F47"/>
    <w:rsid w:val="000E18DB"/>
    <w:rsid w:val="000E58FA"/>
    <w:rsid w:val="000F5E97"/>
    <w:rsid w:val="000F7C07"/>
    <w:rsid w:val="001003BD"/>
    <w:rsid w:val="0010513F"/>
    <w:rsid w:val="00115E1F"/>
    <w:rsid w:val="00120A21"/>
    <w:rsid w:val="001232B1"/>
    <w:rsid w:val="00126989"/>
    <w:rsid w:val="00137D12"/>
    <w:rsid w:val="00141FBF"/>
    <w:rsid w:val="001514B9"/>
    <w:rsid w:val="00152E80"/>
    <w:rsid w:val="00152EE0"/>
    <w:rsid w:val="00155626"/>
    <w:rsid w:val="00164814"/>
    <w:rsid w:val="00174D58"/>
    <w:rsid w:val="00177A41"/>
    <w:rsid w:val="001A594A"/>
    <w:rsid w:val="001A7C0F"/>
    <w:rsid w:val="001B2A01"/>
    <w:rsid w:val="001B5AA5"/>
    <w:rsid w:val="001B7C62"/>
    <w:rsid w:val="001C0E32"/>
    <w:rsid w:val="001C71F4"/>
    <w:rsid w:val="001C778C"/>
    <w:rsid w:val="001E49E9"/>
    <w:rsid w:val="001E69E5"/>
    <w:rsid w:val="001F1203"/>
    <w:rsid w:val="00200836"/>
    <w:rsid w:val="00201A2F"/>
    <w:rsid w:val="00212411"/>
    <w:rsid w:val="00215B04"/>
    <w:rsid w:val="00222EA4"/>
    <w:rsid w:val="00223AD7"/>
    <w:rsid w:val="00226BEC"/>
    <w:rsid w:val="002312EF"/>
    <w:rsid w:val="00235CD4"/>
    <w:rsid w:val="0023759D"/>
    <w:rsid w:val="00242D16"/>
    <w:rsid w:val="00250B04"/>
    <w:rsid w:val="0025236D"/>
    <w:rsid w:val="00260A90"/>
    <w:rsid w:val="0026208E"/>
    <w:rsid w:val="00272A63"/>
    <w:rsid w:val="002743D3"/>
    <w:rsid w:val="002A2E97"/>
    <w:rsid w:val="002A4FC4"/>
    <w:rsid w:val="002A51FF"/>
    <w:rsid w:val="002A5FBC"/>
    <w:rsid w:val="002A62AE"/>
    <w:rsid w:val="002B3FB3"/>
    <w:rsid w:val="002C420F"/>
    <w:rsid w:val="002C5ECA"/>
    <w:rsid w:val="002D3B3A"/>
    <w:rsid w:val="002E11FA"/>
    <w:rsid w:val="002E2DA3"/>
    <w:rsid w:val="002E3B52"/>
    <w:rsid w:val="00300C43"/>
    <w:rsid w:val="00314C0E"/>
    <w:rsid w:val="00321489"/>
    <w:rsid w:val="00334773"/>
    <w:rsid w:val="00334EFC"/>
    <w:rsid w:val="00335E1C"/>
    <w:rsid w:val="0036000B"/>
    <w:rsid w:val="00361135"/>
    <w:rsid w:val="0036252C"/>
    <w:rsid w:val="0037501C"/>
    <w:rsid w:val="00377132"/>
    <w:rsid w:val="00382249"/>
    <w:rsid w:val="00385602"/>
    <w:rsid w:val="0038770A"/>
    <w:rsid w:val="00391711"/>
    <w:rsid w:val="003A06E0"/>
    <w:rsid w:val="003A0F85"/>
    <w:rsid w:val="003A30A6"/>
    <w:rsid w:val="003A3F55"/>
    <w:rsid w:val="003C0951"/>
    <w:rsid w:val="003C0979"/>
    <w:rsid w:val="003C1E79"/>
    <w:rsid w:val="003C43D5"/>
    <w:rsid w:val="003C525F"/>
    <w:rsid w:val="003D086C"/>
    <w:rsid w:val="003D1A0D"/>
    <w:rsid w:val="003D62B5"/>
    <w:rsid w:val="003D748F"/>
    <w:rsid w:val="003E124F"/>
    <w:rsid w:val="003E7D3A"/>
    <w:rsid w:val="003F60D6"/>
    <w:rsid w:val="0040684B"/>
    <w:rsid w:val="004114BB"/>
    <w:rsid w:val="00412998"/>
    <w:rsid w:val="00413230"/>
    <w:rsid w:val="004148FD"/>
    <w:rsid w:val="00414B0B"/>
    <w:rsid w:val="004315DB"/>
    <w:rsid w:val="00434501"/>
    <w:rsid w:val="004424D4"/>
    <w:rsid w:val="00442982"/>
    <w:rsid w:val="004509D2"/>
    <w:rsid w:val="0045488A"/>
    <w:rsid w:val="004560AC"/>
    <w:rsid w:val="00463B7E"/>
    <w:rsid w:val="004750C6"/>
    <w:rsid w:val="004804B8"/>
    <w:rsid w:val="004A1318"/>
    <w:rsid w:val="004A1853"/>
    <w:rsid w:val="004B26C5"/>
    <w:rsid w:val="004B6068"/>
    <w:rsid w:val="004C1B3E"/>
    <w:rsid w:val="004C2F7C"/>
    <w:rsid w:val="004D0D0B"/>
    <w:rsid w:val="004E2881"/>
    <w:rsid w:val="004E3076"/>
    <w:rsid w:val="004F18F3"/>
    <w:rsid w:val="0050171D"/>
    <w:rsid w:val="00503EE7"/>
    <w:rsid w:val="00514379"/>
    <w:rsid w:val="00517080"/>
    <w:rsid w:val="00520908"/>
    <w:rsid w:val="00522F33"/>
    <w:rsid w:val="005234C3"/>
    <w:rsid w:val="00530545"/>
    <w:rsid w:val="005375C8"/>
    <w:rsid w:val="0054081B"/>
    <w:rsid w:val="0054095E"/>
    <w:rsid w:val="00545181"/>
    <w:rsid w:val="0055144F"/>
    <w:rsid w:val="00563583"/>
    <w:rsid w:val="00574FCA"/>
    <w:rsid w:val="005862DB"/>
    <w:rsid w:val="00596D96"/>
    <w:rsid w:val="005B70D6"/>
    <w:rsid w:val="005C6CEF"/>
    <w:rsid w:val="005C7C01"/>
    <w:rsid w:val="005D1F59"/>
    <w:rsid w:val="005E07C6"/>
    <w:rsid w:val="005E11E4"/>
    <w:rsid w:val="005E5A81"/>
    <w:rsid w:val="005E714B"/>
    <w:rsid w:val="00603FA9"/>
    <w:rsid w:val="00606728"/>
    <w:rsid w:val="00611B15"/>
    <w:rsid w:val="006216FD"/>
    <w:rsid w:val="00627853"/>
    <w:rsid w:val="006309A8"/>
    <w:rsid w:val="00635A60"/>
    <w:rsid w:val="00637DBF"/>
    <w:rsid w:val="006477B3"/>
    <w:rsid w:val="006549A7"/>
    <w:rsid w:val="00656AF4"/>
    <w:rsid w:val="0066708D"/>
    <w:rsid w:val="006733A9"/>
    <w:rsid w:val="0067477A"/>
    <w:rsid w:val="0068450D"/>
    <w:rsid w:val="006919DD"/>
    <w:rsid w:val="006A1301"/>
    <w:rsid w:val="006A5ECE"/>
    <w:rsid w:val="006B33FC"/>
    <w:rsid w:val="006E2DB6"/>
    <w:rsid w:val="006E32A4"/>
    <w:rsid w:val="006E32E5"/>
    <w:rsid w:val="006F28C5"/>
    <w:rsid w:val="006F3B10"/>
    <w:rsid w:val="006F5653"/>
    <w:rsid w:val="00715568"/>
    <w:rsid w:val="00730866"/>
    <w:rsid w:val="00742406"/>
    <w:rsid w:val="00744578"/>
    <w:rsid w:val="00745A09"/>
    <w:rsid w:val="007501CF"/>
    <w:rsid w:val="0075056C"/>
    <w:rsid w:val="00750B74"/>
    <w:rsid w:val="00757D15"/>
    <w:rsid w:val="00766008"/>
    <w:rsid w:val="007668C1"/>
    <w:rsid w:val="00771996"/>
    <w:rsid w:val="00772472"/>
    <w:rsid w:val="00775B5E"/>
    <w:rsid w:val="007863D5"/>
    <w:rsid w:val="0079225F"/>
    <w:rsid w:val="00795548"/>
    <w:rsid w:val="007B2E26"/>
    <w:rsid w:val="007B5E4F"/>
    <w:rsid w:val="007B606E"/>
    <w:rsid w:val="007B7232"/>
    <w:rsid w:val="007C1441"/>
    <w:rsid w:val="007C1A08"/>
    <w:rsid w:val="007D210E"/>
    <w:rsid w:val="007D3673"/>
    <w:rsid w:val="007D5216"/>
    <w:rsid w:val="007D61C8"/>
    <w:rsid w:val="007E0219"/>
    <w:rsid w:val="007E0EBC"/>
    <w:rsid w:val="007E2F34"/>
    <w:rsid w:val="00800034"/>
    <w:rsid w:val="00822E24"/>
    <w:rsid w:val="00824D64"/>
    <w:rsid w:val="00825BF3"/>
    <w:rsid w:val="008317C1"/>
    <w:rsid w:val="00832552"/>
    <w:rsid w:val="00842AC4"/>
    <w:rsid w:val="00845FC9"/>
    <w:rsid w:val="00850B67"/>
    <w:rsid w:val="008514D8"/>
    <w:rsid w:val="00856515"/>
    <w:rsid w:val="0086224C"/>
    <w:rsid w:val="00863E92"/>
    <w:rsid w:val="00870F38"/>
    <w:rsid w:val="00870FA2"/>
    <w:rsid w:val="00875D47"/>
    <w:rsid w:val="00896DBF"/>
    <w:rsid w:val="008B24A1"/>
    <w:rsid w:val="008B401B"/>
    <w:rsid w:val="008C50BB"/>
    <w:rsid w:val="008C5125"/>
    <w:rsid w:val="008C6E12"/>
    <w:rsid w:val="008C6E14"/>
    <w:rsid w:val="008C7CCE"/>
    <w:rsid w:val="008D0646"/>
    <w:rsid w:val="008E0375"/>
    <w:rsid w:val="008E213C"/>
    <w:rsid w:val="008E58EE"/>
    <w:rsid w:val="008E623D"/>
    <w:rsid w:val="008E6661"/>
    <w:rsid w:val="008F6786"/>
    <w:rsid w:val="00901805"/>
    <w:rsid w:val="00904AEA"/>
    <w:rsid w:val="00905432"/>
    <w:rsid w:val="00906177"/>
    <w:rsid w:val="0091727E"/>
    <w:rsid w:val="00917508"/>
    <w:rsid w:val="009175BF"/>
    <w:rsid w:val="00922FBC"/>
    <w:rsid w:val="00925027"/>
    <w:rsid w:val="009272F9"/>
    <w:rsid w:val="00931FC3"/>
    <w:rsid w:val="00940B8E"/>
    <w:rsid w:val="0094115B"/>
    <w:rsid w:val="00943D97"/>
    <w:rsid w:val="00946A7B"/>
    <w:rsid w:val="009474E3"/>
    <w:rsid w:val="00950E30"/>
    <w:rsid w:val="0097204F"/>
    <w:rsid w:val="00972F8E"/>
    <w:rsid w:val="00982FA6"/>
    <w:rsid w:val="00984817"/>
    <w:rsid w:val="00994693"/>
    <w:rsid w:val="009A5D57"/>
    <w:rsid w:val="009B0A1F"/>
    <w:rsid w:val="009B12CD"/>
    <w:rsid w:val="009C52DF"/>
    <w:rsid w:val="009C6B8D"/>
    <w:rsid w:val="009C6CD0"/>
    <w:rsid w:val="009D28A4"/>
    <w:rsid w:val="009D310E"/>
    <w:rsid w:val="009D459C"/>
    <w:rsid w:val="009E09D7"/>
    <w:rsid w:val="00A052AF"/>
    <w:rsid w:val="00A05E6E"/>
    <w:rsid w:val="00A06CB5"/>
    <w:rsid w:val="00A07D8B"/>
    <w:rsid w:val="00A172C5"/>
    <w:rsid w:val="00A24042"/>
    <w:rsid w:val="00A27102"/>
    <w:rsid w:val="00A35439"/>
    <w:rsid w:val="00A40710"/>
    <w:rsid w:val="00A438DB"/>
    <w:rsid w:val="00A441F9"/>
    <w:rsid w:val="00A4524C"/>
    <w:rsid w:val="00A46AB1"/>
    <w:rsid w:val="00A46C1E"/>
    <w:rsid w:val="00A51636"/>
    <w:rsid w:val="00A51F6E"/>
    <w:rsid w:val="00A52F25"/>
    <w:rsid w:val="00A54977"/>
    <w:rsid w:val="00A676B4"/>
    <w:rsid w:val="00A82444"/>
    <w:rsid w:val="00A8300F"/>
    <w:rsid w:val="00A8341E"/>
    <w:rsid w:val="00A855D7"/>
    <w:rsid w:val="00A85F8C"/>
    <w:rsid w:val="00A9267F"/>
    <w:rsid w:val="00A938A1"/>
    <w:rsid w:val="00A967A0"/>
    <w:rsid w:val="00AA221F"/>
    <w:rsid w:val="00AA2484"/>
    <w:rsid w:val="00AA2747"/>
    <w:rsid w:val="00AB1AE2"/>
    <w:rsid w:val="00AC0967"/>
    <w:rsid w:val="00AC78ED"/>
    <w:rsid w:val="00AD3319"/>
    <w:rsid w:val="00AD5937"/>
    <w:rsid w:val="00AD7EAF"/>
    <w:rsid w:val="00AE6CFC"/>
    <w:rsid w:val="00AF4BA8"/>
    <w:rsid w:val="00AF729F"/>
    <w:rsid w:val="00B07E3F"/>
    <w:rsid w:val="00B12A91"/>
    <w:rsid w:val="00B15DBD"/>
    <w:rsid w:val="00B320AC"/>
    <w:rsid w:val="00B40899"/>
    <w:rsid w:val="00B445FA"/>
    <w:rsid w:val="00B45764"/>
    <w:rsid w:val="00B514D3"/>
    <w:rsid w:val="00B53653"/>
    <w:rsid w:val="00B541F5"/>
    <w:rsid w:val="00B625FD"/>
    <w:rsid w:val="00B677EB"/>
    <w:rsid w:val="00B813B1"/>
    <w:rsid w:val="00B841FC"/>
    <w:rsid w:val="00B90A23"/>
    <w:rsid w:val="00B90C05"/>
    <w:rsid w:val="00B953F8"/>
    <w:rsid w:val="00BA220B"/>
    <w:rsid w:val="00BB028A"/>
    <w:rsid w:val="00BB4432"/>
    <w:rsid w:val="00BB57A7"/>
    <w:rsid w:val="00BC3B06"/>
    <w:rsid w:val="00BC5377"/>
    <w:rsid w:val="00BD1439"/>
    <w:rsid w:val="00BD6513"/>
    <w:rsid w:val="00BD7EB1"/>
    <w:rsid w:val="00BE0C46"/>
    <w:rsid w:val="00BE2A0D"/>
    <w:rsid w:val="00BF3E81"/>
    <w:rsid w:val="00BF634F"/>
    <w:rsid w:val="00C012D9"/>
    <w:rsid w:val="00C01A8C"/>
    <w:rsid w:val="00C06B1C"/>
    <w:rsid w:val="00C07B77"/>
    <w:rsid w:val="00C1336E"/>
    <w:rsid w:val="00C1466E"/>
    <w:rsid w:val="00C1697A"/>
    <w:rsid w:val="00C17061"/>
    <w:rsid w:val="00C32E33"/>
    <w:rsid w:val="00C33C61"/>
    <w:rsid w:val="00C34A0A"/>
    <w:rsid w:val="00C432A3"/>
    <w:rsid w:val="00C4490A"/>
    <w:rsid w:val="00C45B3F"/>
    <w:rsid w:val="00C532D6"/>
    <w:rsid w:val="00C5659D"/>
    <w:rsid w:val="00C57AC8"/>
    <w:rsid w:val="00C60377"/>
    <w:rsid w:val="00C70080"/>
    <w:rsid w:val="00C71444"/>
    <w:rsid w:val="00C7585B"/>
    <w:rsid w:val="00C80BC8"/>
    <w:rsid w:val="00C859CB"/>
    <w:rsid w:val="00C9280B"/>
    <w:rsid w:val="00C945F0"/>
    <w:rsid w:val="00C9536B"/>
    <w:rsid w:val="00CA2CF4"/>
    <w:rsid w:val="00CA513C"/>
    <w:rsid w:val="00CA72BE"/>
    <w:rsid w:val="00CB2446"/>
    <w:rsid w:val="00CC1783"/>
    <w:rsid w:val="00CE358C"/>
    <w:rsid w:val="00CE3EEA"/>
    <w:rsid w:val="00CF55C7"/>
    <w:rsid w:val="00D02656"/>
    <w:rsid w:val="00D05E7D"/>
    <w:rsid w:val="00D1081E"/>
    <w:rsid w:val="00D11EB5"/>
    <w:rsid w:val="00D12D6B"/>
    <w:rsid w:val="00D24F01"/>
    <w:rsid w:val="00D377C7"/>
    <w:rsid w:val="00D40085"/>
    <w:rsid w:val="00D40275"/>
    <w:rsid w:val="00D44B91"/>
    <w:rsid w:val="00D4743C"/>
    <w:rsid w:val="00D47DA1"/>
    <w:rsid w:val="00D50F3A"/>
    <w:rsid w:val="00D5129A"/>
    <w:rsid w:val="00D51C71"/>
    <w:rsid w:val="00D5364E"/>
    <w:rsid w:val="00D56FE5"/>
    <w:rsid w:val="00D638D0"/>
    <w:rsid w:val="00D63935"/>
    <w:rsid w:val="00D74791"/>
    <w:rsid w:val="00D83964"/>
    <w:rsid w:val="00D840F9"/>
    <w:rsid w:val="00D84F52"/>
    <w:rsid w:val="00DA4FF4"/>
    <w:rsid w:val="00DC1763"/>
    <w:rsid w:val="00DC1DAC"/>
    <w:rsid w:val="00DC43B6"/>
    <w:rsid w:val="00DC7397"/>
    <w:rsid w:val="00DD7092"/>
    <w:rsid w:val="00DE40C7"/>
    <w:rsid w:val="00DE5FBF"/>
    <w:rsid w:val="00DF07EC"/>
    <w:rsid w:val="00E019B2"/>
    <w:rsid w:val="00E01A78"/>
    <w:rsid w:val="00E13C39"/>
    <w:rsid w:val="00E20F38"/>
    <w:rsid w:val="00E364E0"/>
    <w:rsid w:val="00E36BAC"/>
    <w:rsid w:val="00E43C1A"/>
    <w:rsid w:val="00E45B16"/>
    <w:rsid w:val="00E55383"/>
    <w:rsid w:val="00E6231F"/>
    <w:rsid w:val="00E656B3"/>
    <w:rsid w:val="00E73882"/>
    <w:rsid w:val="00E764EE"/>
    <w:rsid w:val="00E76CF3"/>
    <w:rsid w:val="00E77707"/>
    <w:rsid w:val="00E83801"/>
    <w:rsid w:val="00E94F99"/>
    <w:rsid w:val="00EA145C"/>
    <w:rsid w:val="00EB5A2E"/>
    <w:rsid w:val="00EC0972"/>
    <w:rsid w:val="00EC555C"/>
    <w:rsid w:val="00ED4195"/>
    <w:rsid w:val="00ED630C"/>
    <w:rsid w:val="00EE17F2"/>
    <w:rsid w:val="00EE56E0"/>
    <w:rsid w:val="00EE74F5"/>
    <w:rsid w:val="00EE7962"/>
    <w:rsid w:val="00EF141A"/>
    <w:rsid w:val="00EF14FE"/>
    <w:rsid w:val="00EF21AD"/>
    <w:rsid w:val="00F04394"/>
    <w:rsid w:val="00F054DE"/>
    <w:rsid w:val="00F12D40"/>
    <w:rsid w:val="00F15673"/>
    <w:rsid w:val="00F175DA"/>
    <w:rsid w:val="00F22522"/>
    <w:rsid w:val="00F2252D"/>
    <w:rsid w:val="00F226B0"/>
    <w:rsid w:val="00F22FC0"/>
    <w:rsid w:val="00F2373D"/>
    <w:rsid w:val="00F23872"/>
    <w:rsid w:val="00F2398F"/>
    <w:rsid w:val="00F30716"/>
    <w:rsid w:val="00F33127"/>
    <w:rsid w:val="00F3769D"/>
    <w:rsid w:val="00F515CD"/>
    <w:rsid w:val="00F518AD"/>
    <w:rsid w:val="00F62023"/>
    <w:rsid w:val="00F6400A"/>
    <w:rsid w:val="00F667F2"/>
    <w:rsid w:val="00F70915"/>
    <w:rsid w:val="00F71544"/>
    <w:rsid w:val="00F77505"/>
    <w:rsid w:val="00F77E63"/>
    <w:rsid w:val="00F82A29"/>
    <w:rsid w:val="00F852A6"/>
    <w:rsid w:val="00F857FF"/>
    <w:rsid w:val="00F86DB9"/>
    <w:rsid w:val="00F87FF6"/>
    <w:rsid w:val="00F90199"/>
    <w:rsid w:val="00F9255D"/>
    <w:rsid w:val="00F939E3"/>
    <w:rsid w:val="00F96F33"/>
    <w:rsid w:val="00FA12E8"/>
    <w:rsid w:val="00FB3566"/>
    <w:rsid w:val="00FB628C"/>
    <w:rsid w:val="00FC0860"/>
    <w:rsid w:val="00FD20B9"/>
    <w:rsid w:val="00FD3F06"/>
    <w:rsid w:val="00FE1655"/>
    <w:rsid w:val="00FE2770"/>
    <w:rsid w:val="00FE53D1"/>
    <w:rsid w:val="00FF2886"/>
    <w:rsid w:val="00FF38DB"/>
    <w:rsid w:val="00FF3C5E"/>
    <w:rsid w:val="00FF51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EF565"/>
  <w15:chartTrackingRefBased/>
  <w15:docId w15:val="{1F7313B7-7827-42AE-A41A-196C85DB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E0EBC"/>
    <w:pPr>
      <w:spacing w:before="120" w:after="120"/>
      <w:jc w:val="both"/>
    </w:pPr>
  </w:style>
  <w:style w:type="paragraph" w:styleId="Cmsor1">
    <w:name w:val="heading 1"/>
    <w:basedOn w:val="Norml"/>
    <w:next w:val="Norml"/>
    <w:link w:val="Cmsor1Char"/>
    <w:uiPriority w:val="9"/>
    <w:qFormat/>
    <w:rsid w:val="00AA2484"/>
    <w:pPr>
      <w:keepNext/>
      <w:keepLines/>
      <w:numPr>
        <w:numId w:val="1"/>
      </w:numPr>
      <w:spacing w:before="240"/>
      <w:outlineLvl w:val="0"/>
    </w:pPr>
    <w:rPr>
      <w:rFonts w:eastAsiaTheme="majorEastAsia" w:cstheme="majorBidi"/>
      <w:b/>
      <w:color w:val="2F5496" w:themeColor="accent1" w:themeShade="BF"/>
      <w:sz w:val="32"/>
      <w:szCs w:val="32"/>
    </w:rPr>
  </w:style>
  <w:style w:type="paragraph" w:styleId="Cmsor2">
    <w:name w:val="heading 2"/>
    <w:basedOn w:val="Norml"/>
    <w:next w:val="Norml"/>
    <w:link w:val="Cmsor2Char"/>
    <w:uiPriority w:val="9"/>
    <w:unhideWhenUsed/>
    <w:qFormat/>
    <w:rsid w:val="0068450D"/>
    <w:pPr>
      <w:keepNext/>
      <w:keepLines/>
      <w:outlineLvl w:val="1"/>
    </w:pPr>
    <w:rPr>
      <w:rFonts w:eastAsiaTheme="majorEastAsia" w:cstheme="majorBidi"/>
      <w:b/>
      <w:color w:val="000000" w:themeColor="text1"/>
      <w:sz w:val="24"/>
      <w:szCs w:val="26"/>
    </w:rPr>
  </w:style>
  <w:style w:type="paragraph" w:styleId="Cmsor3">
    <w:name w:val="heading 3"/>
    <w:basedOn w:val="Norml"/>
    <w:next w:val="Norml"/>
    <w:link w:val="Cmsor3Char"/>
    <w:uiPriority w:val="9"/>
    <w:unhideWhenUsed/>
    <w:qFormat/>
    <w:rsid w:val="002E3B52"/>
    <w:pPr>
      <w:keepNext/>
      <w:keepLines/>
      <w:spacing w:before="40" w:after="0"/>
      <w:outlineLvl w:val="2"/>
    </w:pPr>
    <w:rPr>
      <w:rFonts w:eastAsiaTheme="majorEastAsia" w:cstheme="majorBidi"/>
      <w:b/>
      <w:color w:val="000000" w:themeColor="text1"/>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C71F4"/>
    <w:pPr>
      <w:tabs>
        <w:tab w:val="center" w:pos="4536"/>
        <w:tab w:val="right" w:pos="9072"/>
      </w:tabs>
      <w:spacing w:after="0" w:line="240" w:lineRule="auto"/>
    </w:pPr>
  </w:style>
  <w:style w:type="character" w:customStyle="1" w:styleId="lfejChar">
    <w:name w:val="Élőfej Char"/>
    <w:basedOn w:val="Bekezdsalapbettpusa"/>
    <w:link w:val="lfej"/>
    <w:uiPriority w:val="99"/>
    <w:rsid w:val="001C71F4"/>
  </w:style>
  <w:style w:type="paragraph" w:styleId="llb">
    <w:name w:val="footer"/>
    <w:basedOn w:val="Norml"/>
    <w:link w:val="llbChar"/>
    <w:uiPriority w:val="99"/>
    <w:unhideWhenUsed/>
    <w:rsid w:val="001C71F4"/>
    <w:pPr>
      <w:tabs>
        <w:tab w:val="center" w:pos="4536"/>
        <w:tab w:val="right" w:pos="9072"/>
      </w:tabs>
      <w:spacing w:after="0" w:line="240" w:lineRule="auto"/>
    </w:pPr>
  </w:style>
  <w:style w:type="character" w:customStyle="1" w:styleId="llbChar">
    <w:name w:val="Élőláb Char"/>
    <w:basedOn w:val="Bekezdsalapbettpusa"/>
    <w:link w:val="llb"/>
    <w:uiPriority w:val="99"/>
    <w:rsid w:val="001C71F4"/>
  </w:style>
  <w:style w:type="table" w:styleId="Rcsostblzat">
    <w:name w:val="Table Grid"/>
    <w:aliases w:val="Tabellengitternetz"/>
    <w:basedOn w:val="Normltblzat"/>
    <w:rsid w:val="004E2881"/>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AA2484"/>
    <w:rPr>
      <w:rFonts w:eastAsiaTheme="majorEastAsia" w:cstheme="majorBidi"/>
      <w:b/>
      <w:color w:val="2F5496" w:themeColor="accent1" w:themeShade="BF"/>
      <w:sz w:val="32"/>
      <w:szCs w:val="32"/>
    </w:rPr>
  </w:style>
  <w:style w:type="paragraph" w:styleId="Tartalomjegyzkcmsora">
    <w:name w:val="TOC Heading"/>
    <w:basedOn w:val="Cmsor1"/>
    <w:next w:val="Norml"/>
    <w:uiPriority w:val="39"/>
    <w:unhideWhenUsed/>
    <w:qFormat/>
    <w:rsid w:val="000D3804"/>
    <w:pPr>
      <w:outlineLvl w:val="9"/>
    </w:pPr>
    <w:rPr>
      <w:lang w:eastAsia="hu-HU"/>
    </w:rPr>
  </w:style>
  <w:style w:type="character" w:customStyle="1" w:styleId="Cmsor2Char">
    <w:name w:val="Címsor 2 Char"/>
    <w:basedOn w:val="Bekezdsalapbettpusa"/>
    <w:link w:val="Cmsor2"/>
    <w:uiPriority w:val="9"/>
    <w:rsid w:val="00917508"/>
    <w:rPr>
      <w:rFonts w:eastAsiaTheme="majorEastAsia" w:cstheme="majorBidi"/>
      <w:b/>
      <w:color w:val="000000" w:themeColor="text1"/>
      <w:sz w:val="24"/>
      <w:szCs w:val="26"/>
    </w:rPr>
  </w:style>
  <w:style w:type="character" w:customStyle="1" w:styleId="Cmsor3Char">
    <w:name w:val="Címsor 3 Char"/>
    <w:basedOn w:val="Bekezdsalapbettpusa"/>
    <w:link w:val="Cmsor3"/>
    <w:uiPriority w:val="9"/>
    <w:rsid w:val="002E3B52"/>
    <w:rPr>
      <w:rFonts w:eastAsiaTheme="majorEastAsia" w:cstheme="majorBidi"/>
      <w:b/>
      <w:color w:val="000000" w:themeColor="text1"/>
      <w:szCs w:val="24"/>
    </w:rPr>
  </w:style>
  <w:style w:type="paragraph" w:styleId="Listaszerbekezds">
    <w:name w:val="List Paragraph"/>
    <w:basedOn w:val="Norml"/>
    <w:uiPriority w:val="34"/>
    <w:qFormat/>
    <w:rsid w:val="0006074E"/>
    <w:pPr>
      <w:spacing w:line="240" w:lineRule="auto"/>
      <w:contextualSpacing/>
    </w:pPr>
    <w:rPr>
      <w:rFonts w:cstheme="minorHAnsi"/>
      <w:color w:val="000000" w:themeColor="text1"/>
      <w:lang w:val="fr-FR"/>
    </w:rPr>
  </w:style>
  <w:style w:type="paragraph" w:styleId="Lbjegyzetszveg">
    <w:name w:val="footnote text"/>
    <w:basedOn w:val="Norml"/>
    <w:link w:val="LbjegyzetszvegChar"/>
    <w:uiPriority w:val="99"/>
    <w:unhideWhenUsed/>
    <w:qFormat/>
    <w:rsid w:val="00D50F3A"/>
    <w:pPr>
      <w:spacing w:before="0" w:after="0" w:line="240" w:lineRule="auto"/>
    </w:pPr>
    <w:rPr>
      <w:rFonts w:ascii="Source Sans Pro" w:hAnsi="Source Sans Pro" w:cstheme="minorHAnsi"/>
      <w:color w:val="595959" w:themeColor="text1" w:themeTint="A6"/>
      <w:sz w:val="16"/>
      <w:szCs w:val="20"/>
      <w:lang w:val="fr-FR"/>
    </w:rPr>
  </w:style>
  <w:style w:type="character" w:customStyle="1" w:styleId="LbjegyzetszvegChar">
    <w:name w:val="Lábjegyzetszöveg Char"/>
    <w:basedOn w:val="Bekezdsalapbettpusa"/>
    <w:link w:val="Lbjegyzetszveg"/>
    <w:uiPriority w:val="99"/>
    <w:rsid w:val="00D50F3A"/>
    <w:rPr>
      <w:rFonts w:ascii="Source Sans Pro" w:hAnsi="Source Sans Pro" w:cstheme="minorHAnsi"/>
      <w:color w:val="595959" w:themeColor="text1" w:themeTint="A6"/>
      <w:sz w:val="16"/>
      <w:szCs w:val="20"/>
      <w:lang w:val="fr-FR"/>
    </w:rPr>
  </w:style>
  <w:style w:type="character" w:styleId="Lbjegyzet-hivatkozs">
    <w:name w:val="footnote reference"/>
    <w:basedOn w:val="Bekezdsalapbettpusa"/>
    <w:uiPriority w:val="99"/>
    <w:semiHidden/>
    <w:unhideWhenUsed/>
    <w:rsid w:val="004509D2"/>
    <w:rPr>
      <w:vertAlign w:val="superscript"/>
    </w:rPr>
  </w:style>
  <w:style w:type="table" w:customStyle="1" w:styleId="Tabellenraster1">
    <w:name w:val="Tabellenraster1"/>
    <w:basedOn w:val="Normltblzat"/>
    <w:next w:val="Rcsostblzat"/>
    <w:uiPriority w:val="39"/>
    <w:rsid w:val="004509D2"/>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rsid w:val="00CA2CF4"/>
    <w:pPr>
      <w:spacing w:after="100"/>
    </w:pPr>
  </w:style>
  <w:style w:type="character" w:styleId="Hiperhivatkozs">
    <w:name w:val="Hyperlink"/>
    <w:basedOn w:val="Bekezdsalapbettpusa"/>
    <w:uiPriority w:val="99"/>
    <w:unhideWhenUsed/>
    <w:rsid w:val="00CA2CF4"/>
    <w:rPr>
      <w:color w:val="0563C1" w:themeColor="hyperlink"/>
      <w:u w:val="single"/>
    </w:rPr>
  </w:style>
  <w:style w:type="paragraph" w:styleId="TJ2">
    <w:name w:val="toc 2"/>
    <w:basedOn w:val="Norml"/>
    <w:next w:val="Norml"/>
    <w:autoRedefine/>
    <w:uiPriority w:val="39"/>
    <w:unhideWhenUsed/>
    <w:rsid w:val="000A511D"/>
    <w:pPr>
      <w:spacing w:after="100"/>
      <w:ind w:left="220"/>
    </w:pPr>
  </w:style>
  <w:style w:type="paragraph" w:customStyle="1" w:styleId="Stlus1">
    <w:name w:val="Stílus1"/>
    <w:basedOn w:val="Norml"/>
    <w:next w:val="Cmsor2"/>
    <w:rsid w:val="00917508"/>
    <w:pPr>
      <w:spacing w:after="0" w:line="240" w:lineRule="auto"/>
    </w:pPr>
    <w:rPr>
      <w:b/>
      <w:bCs/>
      <w:lang w:val="fr-FR"/>
    </w:rPr>
  </w:style>
  <w:style w:type="paragraph" w:styleId="Kpalrs">
    <w:name w:val="caption"/>
    <w:basedOn w:val="Norml"/>
    <w:next w:val="Norml"/>
    <w:uiPriority w:val="35"/>
    <w:unhideWhenUsed/>
    <w:qFormat/>
    <w:rsid w:val="00F12D40"/>
    <w:pPr>
      <w:spacing w:before="0" w:after="200" w:line="240" w:lineRule="auto"/>
    </w:pPr>
    <w:rPr>
      <w:i/>
      <w:iCs/>
      <w:color w:val="44546A" w:themeColor="text2"/>
      <w:sz w:val="18"/>
      <w:szCs w:val="18"/>
    </w:rPr>
  </w:style>
  <w:style w:type="character" w:styleId="Jegyzethivatkozs">
    <w:name w:val="annotation reference"/>
    <w:basedOn w:val="Bekezdsalapbettpusa"/>
    <w:uiPriority w:val="99"/>
    <w:semiHidden/>
    <w:unhideWhenUsed/>
    <w:rsid w:val="00D05E7D"/>
    <w:rPr>
      <w:sz w:val="16"/>
      <w:szCs w:val="16"/>
    </w:rPr>
  </w:style>
  <w:style w:type="paragraph" w:styleId="Jegyzetszveg">
    <w:name w:val="annotation text"/>
    <w:basedOn w:val="Norml"/>
    <w:link w:val="JegyzetszvegChar"/>
    <w:uiPriority w:val="99"/>
    <w:unhideWhenUsed/>
    <w:rsid w:val="00D05E7D"/>
    <w:pPr>
      <w:spacing w:line="240" w:lineRule="auto"/>
    </w:pPr>
    <w:rPr>
      <w:sz w:val="20"/>
      <w:szCs w:val="20"/>
    </w:rPr>
  </w:style>
  <w:style w:type="character" w:customStyle="1" w:styleId="JegyzetszvegChar">
    <w:name w:val="Jegyzetszöveg Char"/>
    <w:basedOn w:val="Bekezdsalapbettpusa"/>
    <w:link w:val="Jegyzetszveg"/>
    <w:uiPriority w:val="99"/>
    <w:rsid w:val="00D05E7D"/>
    <w:rPr>
      <w:sz w:val="20"/>
      <w:szCs w:val="20"/>
    </w:rPr>
  </w:style>
  <w:style w:type="paragraph" w:styleId="Megjegyzstrgya">
    <w:name w:val="annotation subject"/>
    <w:basedOn w:val="Jegyzetszveg"/>
    <w:next w:val="Jegyzetszveg"/>
    <w:link w:val="MegjegyzstrgyaChar"/>
    <w:uiPriority w:val="99"/>
    <w:semiHidden/>
    <w:unhideWhenUsed/>
    <w:rsid w:val="00D05E7D"/>
    <w:rPr>
      <w:b/>
      <w:bCs/>
    </w:rPr>
  </w:style>
  <w:style w:type="character" w:customStyle="1" w:styleId="MegjegyzstrgyaChar">
    <w:name w:val="Megjegyzés tárgya Char"/>
    <w:basedOn w:val="JegyzetszvegChar"/>
    <w:link w:val="Megjegyzstrgya"/>
    <w:uiPriority w:val="99"/>
    <w:semiHidden/>
    <w:rsid w:val="00D05E7D"/>
    <w:rPr>
      <w:b/>
      <w:bCs/>
      <w:sz w:val="20"/>
      <w:szCs w:val="20"/>
    </w:rPr>
  </w:style>
  <w:style w:type="character" w:customStyle="1" w:styleId="UnresolvedMention">
    <w:name w:val="Unresolved Mention"/>
    <w:basedOn w:val="Bekezdsalapbettpusa"/>
    <w:uiPriority w:val="99"/>
    <w:semiHidden/>
    <w:unhideWhenUsed/>
    <w:rsid w:val="00520908"/>
    <w:rPr>
      <w:color w:val="605E5C"/>
      <w:shd w:val="clear" w:color="auto" w:fill="E1DFDD"/>
    </w:rPr>
  </w:style>
  <w:style w:type="table" w:styleId="Tblzatrcsos5stt6jellszn">
    <w:name w:val="Grid Table 5 Dark Accent 6"/>
    <w:basedOn w:val="Normltblzat"/>
    <w:uiPriority w:val="50"/>
    <w:rsid w:val="006E2DB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styleId="Kiemels2">
    <w:name w:val="Strong"/>
    <w:basedOn w:val="Bekezdsalapbettpusa"/>
    <w:uiPriority w:val="22"/>
    <w:qFormat/>
    <w:rsid w:val="007D210E"/>
    <w:rPr>
      <w:b/>
      <w:bCs/>
    </w:rPr>
  </w:style>
  <w:style w:type="paragraph" w:styleId="Buborkszveg">
    <w:name w:val="Balloon Text"/>
    <w:basedOn w:val="Norml"/>
    <w:link w:val="BuborkszvegChar"/>
    <w:uiPriority w:val="99"/>
    <w:unhideWhenUsed/>
    <w:rsid w:val="00120A21"/>
    <w:pPr>
      <w:spacing w:after="0" w:line="240" w:lineRule="auto"/>
    </w:pPr>
    <w:rPr>
      <w:rFonts w:ascii="Segoe UI" w:hAnsi="Segoe UI" w:cs="Segoe UI"/>
      <w:color w:val="575757"/>
      <w:sz w:val="18"/>
      <w:szCs w:val="18"/>
      <w:lang w:val="fr-FR"/>
    </w:rPr>
  </w:style>
  <w:style w:type="character" w:customStyle="1" w:styleId="BuborkszvegChar">
    <w:name w:val="Buborékszöveg Char"/>
    <w:basedOn w:val="Bekezdsalapbettpusa"/>
    <w:link w:val="Buborkszveg"/>
    <w:uiPriority w:val="99"/>
    <w:rsid w:val="00120A21"/>
    <w:rPr>
      <w:rFonts w:ascii="Segoe UI" w:hAnsi="Segoe UI" w:cs="Segoe UI"/>
      <w:color w:val="575757"/>
      <w:sz w:val="18"/>
      <w:szCs w:val="18"/>
      <w:lang w:val="fr-FR"/>
    </w:rPr>
  </w:style>
  <w:style w:type="character" w:styleId="Mrltotthiperhivatkozs">
    <w:name w:val="FollowedHyperlink"/>
    <w:basedOn w:val="Bekezdsalapbettpusa"/>
    <w:uiPriority w:val="99"/>
    <w:semiHidden/>
    <w:unhideWhenUsed/>
    <w:rsid w:val="00070D25"/>
    <w:rPr>
      <w:color w:val="954F72" w:themeColor="followedHyperlink"/>
      <w:u w:val="single"/>
    </w:rPr>
  </w:style>
  <w:style w:type="paragraph" w:styleId="TJ3">
    <w:name w:val="toc 3"/>
    <w:basedOn w:val="Norml"/>
    <w:next w:val="Norml"/>
    <w:autoRedefine/>
    <w:uiPriority w:val="39"/>
    <w:unhideWhenUsed/>
    <w:rsid w:val="005234C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71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chart" Target="charts/chart3.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2.xml"/><Relationship Id="rId25" Type="http://schemas.openxmlformats.org/officeDocument/2006/relationships/hyperlink" Target="https://investeu.europa.eu/what-investeu-programme/investeu-fund/how-get-financing_en"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takarekbank.hu/uzleti-ugyfelek/3atakarek-vallalatok-hitelek-tarsashazak-es-lakasszovetkezetek-reszere-nyujthato-hitel" TargetMode="External"/><Relationship Id="rId3" Type="http://schemas.openxmlformats.org/officeDocument/2006/relationships/hyperlink" Target="https://www.enhat.mekh.hu/ekr" TargetMode="External"/><Relationship Id="rId7" Type="http://schemas.openxmlformats.org/officeDocument/2006/relationships/hyperlink" Target="https://www.raiffeisen.hu/intezmenyek/tarsashazak/felujitasi-hitel" TargetMode="External"/><Relationship Id="rId2" Type="http://schemas.openxmlformats.org/officeDocument/2006/relationships/hyperlink" Target="https://renohub-h2020.eu/result/d2-7-az-energetikai-felujitasok-hatasa-a-lakoingatlanok-ertekere/" TargetMode="External"/><Relationship Id="rId1" Type="http://schemas.openxmlformats.org/officeDocument/2006/relationships/hyperlink" Target="https://nappalhajtva.budapest.hu/" TargetMode="External"/><Relationship Id="rId6" Type="http://schemas.openxmlformats.org/officeDocument/2006/relationships/hyperlink" Target="https://www.unicreditbank.hu/hu/kisvallalatok/finanszirozas/beruhazasi_hitel/tarsashazi_hitelek.html" TargetMode="External"/><Relationship Id="rId5" Type="http://schemas.openxmlformats.org/officeDocument/2006/relationships/hyperlink" Target="https://www.otpbank.hu/portal/hu/Tarsashaz/Hitelek/ThermoStilus" TargetMode="External"/><Relationship Id="rId10" Type="http://schemas.openxmlformats.org/officeDocument/2006/relationships/hyperlink" Target="https://www.mnb.hu/letoltes/kozossegi-finanszirozasi-szolgaltatok-engedelyezese-utmutato.pdf" TargetMode="External"/><Relationship Id="rId4" Type="http://schemas.openxmlformats.org/officeDocument/2006/relationships/hyperlink" Target="https://www.portfolio.hu/uzlet/20230130/tobb-mint-3000-milliard-forint-beruhazast-generalhat-az-ekr-593704" TargetMode="External"/><Relationship Id="rId9" Type="http://schemas.openxmlformats.org/officeDocument/2006/relationships/hyperlink" Target="https://fundamenta.hu/megoldasaink/tarsashazakna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image" Target="media/image10.jpe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image" Target="media/image10.jpe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image" Target="media/image9.png"/><Relationship Id="rId1" Type="http://schemas.openxmlformats.org/officeDocument/2006/relationships/image" Target="media/image10.jpeg"/></Relationships>
</file>

<file path=word/charts/_rels/chart1.xml.rels><?xml version="1.0" encoding="UTF-8" standalone="yes"?>
<Relationships xmlns="http://schemas.openxmlformats.org/package/2006/relationships"><Relationship Id="rId3" Type="http://schemas.openxmlformats.org/officeDocument/2006/relationships/oleObject" Target="file:///\\hbh-nas\MUNKA\IE\H_HBH\IEH2201_EUCF_Beruhazasi_Koncepcio_Budaors\3_MUNKA\996_Erzsebetvaros\1_Infok\Adatok\4_4_Eves_villamos_energia_merleg_2014_2021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hbh-nas\MUNKA\IE\H_HBH\IEH2201_EUCF_Beruhazasi_Koncepcio_Budaors\3_MUNKA\996_Erzsebetvaros\1_Infok\Adatok\4_2_brutto_villamos_energia_termeles_eves_2014_2021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hbh-nas\MUNKA\IE\H_HBH\IEH2201_EUCF_Beruhazasi_Koncepcio_Budaors\3_MUNKA\996_Erzsebetvaros\1_Infok\Adatok\4_2_brutto_villamos_energia_termeles_eves_2014_2021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cseh.daniel\Downloads\4_2_brutto_villamos_energia_termeles_eves_2014_2021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hbh-nas\MUNKA\IE\H_HBH\IEH2201_EUCF_Beruhazasi_Koncepcio_Budaors\3_MUNKA\996_Erzsebetvaros\1_Infok\Adatok\4_2_brutto_villamos_energia_termeles_eves_2014_2021e.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delete val="1"/>
              <c:extLst xmlns:c16r2="http://schemas.microsoft.com/office/drawing/2015/06/chart">
                <c:ext xmlns:c16="http://schemas.microsoft.com/office/drawing/2014/chart" uri="{C3380CC4-5D6E-409C-BE32-E72D297353CC}">
                  <c16:uniqueId val="{00000009-07EB-4C9D-9D1B-AC63AE773D6F}"/>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8-07EB-4C9D-9D1B-AC63AE773D6F}"/>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7-07EB-4C9D-9D1B-AC63AE773D6F}"/>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6-07EB-4C9D-9D1B-AC63AE773D6F}"/>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5-07EB-4C9D-9D1B-AC63AE773D6F}"/>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4-07EB-4C9D-9D1B-AC63AE773D6F}"/>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3-07EB-4C9D-9D1B-AC63AE773D6F}"/>
                </c:ext>
                <c:ext xmlns:c15="http://schemas.microsoft.com/office/drawing/2012/chart" uri="{CE6537A1-D6FC-4f65-9D91-7224C49458BB}"/>
              </c:extLst>
            </c:dLbl>
            <c:dLbl>
              <c:idx val="7"/>
              <c:layout>
                <c:manualLayout>
                  <c:x val="-6.6666666666666874E-2"/>
                  <c:y val="-0.24142312579415501"/>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hu-H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7EB-4C9D-9D1B-AC63AE773D6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Munka1!$B$11:$I$11</c:f>
              <c:numCache>
                <c:formatCode>General</c:formatCode>
                <c:ptCount val="8"/>
                <c:pt idx="0">
                  <c:v>2014</c:v>
                </c:pt>
                <c:pt idx="1">
                  <c:v>2015</c:v>
                </c:pt>
                <c:pt idx="2">
                  <c:v>2016</c:v>
                </c:pt>
                <c:pt idx="3">
                  <c:v>2017</c:v>
                </c:pt>
                <c:pt idx="4">
                  <c:v>2018</c:v>
                </c:pt>
                <c:pt idx="5">
                  <c:v>2019</c:v>
                </c:pt>
                <c:pt idx="6">
                  <c:v>2020</c:v>
                </c:pt>
                <c:pt idx="7">
                  <c:v>2021</c:v>
                </c:pt>
              </c:numCache>
            </c:numRef>
          </c:cat>
          <c:val>
            <c:numRef>
              <c:f>Munka1!$B$12:$I$12</c:f>
              <c:numCache>
                <c:formatCode>#,##0</c:formatCode>
                <c:ptCount val="8"/>
                <c:pt idx="0">
                  <c:v>42793</c:v>
                </c:pt>
                <c:pt idx="1">
                  <c:v>44046</c:v>
                </c:pt>
                <c:pt idx="2">
                  <c:v>44613</c:v>
                </c:pt>
                <c:pt idx="3">
                  <c:v>45793</c:v>
                </c:pt>
                <c:pt idx="4">
                  <c:v>46415</c:v>
                </c:pt>
                <c:pt idx="5">
                  <c:v>46875</c:v>
                </c:pt>
                <c:pt idx="6">
                  <c:v>46607</c:v>
                </c:pt>
                <c:pt idx="7">
                  <c:v>48874</c:v>
                </c:pt>
              </c:numCache>
            </c:numRef>
          </c:val>
          <c:extLst xmlns:c16r2="http://schemas.microsoft.com/office/drawing/2015/06/chart">
            <c:ext xmlns:c16="http://schemas.microsoft.com/office/drawing/2014/chart" uri="{C3380CC4-5D6E-409C-BE32-E72D297353CC}">
              <c16:uniqueId val="{00000000-07EB-4C9D-9D1B-AC63AE773D6F}"/>
            </c:ext>
          </c:extLst>
        </c:ser>
        <c:dLbls>
          <c:showLegendKey val="0"/>
          <c:showVal val="0"/>
          <c:showCatName val="0"/>
          <c:showSerName val="0"/>
          <c:showPercent val="0"/>
          <c:showBubbleSize val="0"/>
        </c:dLbls>
        <c:axId val="1509752752"/>
        <c:axId val="1509757648"/>
      </c:areaChart>
      <c:catAx>
        <c:axId val="1509752752"/>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09757648"/>
        <c:crosses val="autoZero"/>
        <c:auto val="1"/>
        <c:lblAlgn val="ctr"/>
        <c:lblOffset val="100"/>
        <c:noMultiLvlLbl val="0"/>
      </c:catAx>
      <c:valAx>
        <c:axId val="1509757648"/>
        <c:scaling>
          <c:orientation val="minMax"/>
          <c:max val="50000"/>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hu-HU"/>
                  <a:t>GWh/év</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title>
        <c:numFmt formatCode="#,##0" sourceLinked="1"/>
        <c:majorTickMark val="out"/>
        <c:minorTickMark val="out"/>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09752752"/>
        <c:crosses val="autoZero"/>
        <c:crossBetween val="midCat"/>
        <c:majorUnit val="10000"/>
        <c:minorUnit val="2500"/>
      </c:valAx>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0"/>
          <c:order val="0"/>
          <c:tx>
            <c:strRef>
              <c:f>'Bruttó villamosenergia-termelés'!$A$21</c:f>
              <c:strCache>
                <c:ptCount val="1"/>
                <c:pt idx="0">
                  <c:v>bruttó termelés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delete val="1"/>
              <c:extLst xmlns:c16r2="http://schemas.microsoft.com/office/drawing/2015/06/chart">
                <c:ext xmlns:c16="http://schemas.microsoft.com/office/drawing/2014/chart" uri="{C3380CC4-5D6E-409C-BE32-E72D297353CC}">
                  <c16:uniqueId val="{00000000-6F25-46F4-AFCA-AF1FF409A81C}"/>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1-6F25-46F4-AFCA-AF1FF409A81C}"/>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2-6F25-46F4-AFCA-AF1FF409A81C}"/>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6F25-46F4-AFCA-AF1FF409A81C}"/>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4-6F25-46F4-AFCA-AF1FF409A81C}"/>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5-6F25-46F4-AFCA-AF1FF409A81C}"/>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6-6F25-46F4-AFCA-AF1FF409A81C}"/>
                </c:ext>
                <c:ext xmlns:c15="http://schemas.microsoft.com/office/drawing/2012/chart" uri="{CE6537A1-D6FC-4f65-9D91-7224C49458BB}"/>
              </c:extLst>
            </c:dLbl>
            <c:dLbl>
              <c:idx val="7"/>
              <c:layout>
                <c:manualLayout>
                  <c:x val="-4.724409448818917E-2"/>
                  <c:y val="-0.2597402597402597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6F25-46F4-AFCA-AF1FF409A81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'Bruttó villamosenergia-termelés'!$B$20:$I$20</c:f>
              <c:numCache>
                <c:formatCode>General</c:formatCode>
                <c:ptCount val="8"/>
                <c:pt idx="0">
                  <c:v>2014</c:v>
                </c:pt>
                <c:pt idx="1">
                  <c:v>2015</c:v>
                </c:pt>
                <c:pt idx="2">
                  <c:v>2016</c:v>
                </c:pt>
                <c:pt idx="3">
                  <c:v>2017</c:v>
                </c:pt>
                <c:pt idx="4">
                  <c:v>2018</c:v>
                </c:pt>
                <c:pt idx="5">
                  <c:v>2019</c:v>
                </c:pt>
                <c:pt idx="6">
                  <c:v>2020</c:v>
                </c:pt>
                <c:pt idx="7">
                  <c:v>2021</c:v>
                </c:pt>
              </c:numCache>
            </c:numRef>
          </c:cat>
          <c:val>
            <c:numRef>
              <c:f>'Bruttó villamosenergia-termelés'!$B$21:$I$21</c:f>
              <c:numCache>
                <c:formatCode>General</c:formatCode>
                <c:ptCount val="8"/>
                <c:pt idx="0">
                  <c:v>29403</c:v>
                </c:pt>
                <c:pt idx="1">
                  <c:v>30360</c:v>
                </c:pt>
                <c:pt idx="2">
                  <c:v>31902</c:v>
                </c:pt>
                <c:pt idx="3">
                  <c:v>32915</c:v>
                </c:pt>
                <c:pt idx="4">
                  <c:v>32067</c:v>
                </c:pt>
                <c:pt idx="5">
                  <c:v>34291</c:v>
                </c:pt>
                <c:pt idx="6">
                  <c:v>34930</c:v>
                </c:pt>
                <c:pt idx="7" formatCode="0">
                  <c:v>36120.300000000003</c:v>
                </c:pt>
              </c:numCache>
            </c:numRef>
          </c:val>
          <c:extLst xmlns:c16r2="http://schemas.microsoft.com/office/drawing/2015/06/chart">
            <c:ext xmlns:c16="http://schemas.microsoft.com/office/drawing/2014/chart" uri="{C3380CC4-5D6E-409C-BE32-E72D297353CC}">
              <c16:uniqueId val="{00000008-6F25-46F4-AFCA-AF1FF409A81C}"/>
            </c:ext>
          </c:extLst>
        </c:ser>
        <c:dLbls>
          <c:showLegendKey val="0"/>
          <c:showVal val="1"/>
          <c:showCatName val="0"/>
          <c:showSerName val="0"/>
          <c:showPercent val="0"/>
          <c:showBubbleSize val="0"/>
        </c:dLbls>
        <c:axId val="1509747312"/>
        <c:axId val="1509755472"/>
      </c:areaChart>
      <c:lineChart>
        <c:grouping val="standard"/>
        <c:varyColors val="0"/>
        <c:ser>
          <c:idx val="1"/>
          <c:order val="1"/>
          <c:tx>
            <c:strRef>
              <c:f>'Bruttó villamosenergia-termelés'!$A$22</c:f>
              <c:strCache>
                <c:ptCount val="1"/>
                <c:pt idx="0">
                  <c:v>import</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dLbls>
            <c:dLbl>
              <c:idx val="0"/>
              <c:delete val="1"/>
              <c:extLst xmlns:c16r2="http://schemas.microsoft.com/office/drawing/2015/06/chart">
                <c:ext xmlns:c16="http://schemas.microsoft.com/office/drawing/2014/chart" uri="{C3380CC4-5D6E-409C-BE32-E72D297353CC}">
                  <c16:uniqueId val="{00000009-6F25-46F4-AFCA-AF1FF409A81C}"/>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A-6F25-46F4-AFCA-AF1FF409A81C}"/>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B-6F25-46F4-AFCA-AF1FF409A81C}"/>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C-6F25-46F4-AFCA-AF1FF409A81C}"/>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D-6F25-46F4-AFCA-AF1FF409A81C}"/>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E-6F25-46F4-AFCA-AF1FF409A81C}"/>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F-6F25-46F4-AFCA-AF1FF409A81C}"/>
                </c:ext>
                <c:ext xmlns:c15="http://schemas.microsoft.com/office/drawing/2012/chart" uri="{CE6537A1-D6FC-4f65-9D91-7224C49458BB}"/>
              </c:extLst>
            </c:dLbl>
            <c:dLbl>
              <c:idx val="7"/>
              <c:layout>
                <c:manualLayout>
                  <c:x val="-6.0367454068241566E-2"/>
                  <c:y val="-6.13931523022432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6F25-46F4-AFCA-AF1FF409A81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ln>
                      <a:noFill/>
                    </a:ln>
                    <a:solidFill>
                      <a:schemeClr val="bg1"/>
                    </a:solidFill>
                    <a:latin typeface="+mn-lt"/>
                    <a:ea typeface="+mn-ea"/>
                    <a:cs typeface="+mn-cs"/>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'Bruttó villamosenergia-termelés'!$B$20:$I$20</c:f>
              <c:numCache>
                <c:formatCode>General</c:formatCode>
                <c:ptCount val="8"/>
                <c:pt idx="0">
                  <c:v>2014</c:v>
                </c:pt>
                <c:pt idx="1">
                  <c:v>2015</c:v>
                </c:pt>
                <c:pt idx="2">
                  <c:v>2016</c:v>
                </c:pt>
                <c:pt idx="3">
                  <c:v>2017</c:v>
                </c:pt>
                <c:pt idx="4">
                  <c:v>2018</c:v>
                </c:pt>
                <c:pt idx="5">
                  <c:v>2019</c:v>
                </c:pt>
                <c:pt idx="6">
                  <c:v>2020</c:v>
                </c:pt>
                <c:pt idx="7">
                  <c:v>2021</c:v>
                </c:pt>
              </c:numCache>
            </c:numRef>
          </c:cat>
          <c:val>
            <c:numRef>
              <c:f>'Bruttó villamosenergia-termelés'!$B$22:$I$22</c:f>
              <c:numCache>
                <c:formatCode>General</c:formatCode>
                <c:ptCount val="8"/>
                <c:pt idx="0">
                  <c:v>19079</c:v>
                </c:pt>
                <c:pt idx="1">
                  <c:v>19935</c:v>
                </c:pt>
                <c:pt idx="2">
                  <c:v>17951</c:v>
                </c:pt>
                <c:pt idx="3">
                  <c:v>19803</c:v>
                </c:pt>
                <c:pt idx="4">
                  <c:v>18613</c:v>
                </c:pt>
                <c:pt idx="5">
                  <c:v>19853</c:v>
                </c:pt>
                <c:pt idx="6">
                  <c:v>19176</c:v>
                </c:pt>
                <c:pt idx="7" formatCode="0">
                  <c:v>19967</c:v>
                </c:pt>
              </c:numCache>
            </c:numRef>
          </c:val>
          <c:smooth val="0"/>
          <c:extLst xmlns:c16r2="http://schemas.microsoft.com/office/drawing/2015/06/chart">
            <c:ext xmlns:c16="http://schemas.microsoft.com/office/drawing/2014/chart" uri="{C3380CC4-5D6E-409C-BE32-E72D297353CC}">
              <c16:uniqueId val="{00000011-6F25-46F4-AFCA-AF1FF409A81C}"/>
            </c:ext>
          </c:extLst>
        </c:ser>
        <c:ser>
          <c:idx val="2"/>
          <c:order val="2"/>
          <c:tx>
            <c:strRef>
              <c:f>'Bruttó villamosenergia-termelés'!$A$23</c:f>
              <c:strCache>
                <c:ptCount val="1"/>
                <c:pt idx="0">
                  <c:v>export</c:v>
                </c:pt>
              </c:strCache>
            </c:strRef>
          </c:tx>
          <c:spPr>
            <a:ln w="34925" cap="rnd">
              <a:solidFill>
                <a:schemeClr val="accent3"/>
              </a:solidFill>
              <a:round/>
            </a:ln>
            <a:effectLst>
              <a:outerShdw blurRad="57150" dist="19050" dir="5400000" algn="ctr" rotWithShape="0">
                <a:srgbClr val="000000">
                  <a:alpha val="63000"/>
                </a:srgbClr>
              </a:outerShdw>
            </a:effectLst>
          </c:spPr>
          <c:marker>
            <c:symbol val="none"/>
          </c:marker>
          <c:dLbls>
            <c:dLbl>
              <c:idx val="0"/>
              <c:delete val="1"/>
              <c:extLst xmlns:c16r2="http://schemas.microsoft.com/office/drawing/2015/06/chart">
                <c:ext xmlns:c16="http://schemas.microsoft.com/office/drawing/2014/chart" uri="{C3380CC4-5D6E-409C-BE32-E72D297353CC}">
                  <c16:uniqueId val="{00000012-6F25-46F4-AFCA-AF1FF409A81C}"/>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13-6F25-46F4-AFCA-AF1FF409A81C}"/>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14-6F25-46F4-AFCA-AF1FF409A81C}"/>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15-6F25-46F4-AFCA-AF1FF409A81C}"/>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16-6F25-46F4-AFCA-AF1FF409A81C}"/>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7-6F25-46F4-AFCA-AF1FF409A81C}"/>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18-6F25-46F4-AFCA-AF1FF409A81C}"/>
                </c:ext>
                <c:ext xmlns:c15="http://schemas.microsoft.com/office/drawing/2012/chart" uri="{CE6537A1-D6FC-4f65-9D91-7224C49458BB}"/>
              </c:extLst>
            </c:dLbl>
            <c:dLbl>
              <c:idx val="7"/>
              <c:layout>
                <c:manualLayout>
                  <c:x val="-7.0866141732283464E-2"/>
                  <c:y val="-6.1393152302243299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hu-H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9-6F25-46F4-AFCA-AF1FF409A81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'Bruttó villamosenergia-termelés'!$B$20:$I$20</c:f>
              <c:numCache>
                <c:formatCode>General</c:formatCode>
                <c:ptCount val="8"/>
                <c:pt idx="0">
                  <c:v>2014</c:v>
                </c:pt>
                <c:pt idx="1">
                  <c:v>2015</c:v>
                </c:pt>
                <c:pt idx="2">
                  <c:v>2016</c:v>
                </c:pt>
                <c:pt idx="3">
                  <c:v>2017</c:v>
                </c:pt>
                <c:pt idx="4">
                  <c:v>2018</c:v>
                </c:pt>
                <c:pt idx="5">
                  <c:v>2019</c:v>
                </c:pt>
                <c:pt idx="6">
                  <c:v>2020</c:v>
                </c:pt>
                <c:pt idx="7">
                  <c:v>2021</c:v>
                </c:pt>
              </c:numCache>
            </c:numRef>
          </c:cat>
          <c:val>
            <c:numRef>
              <c:f>'Bruttó villamosenergia-termelés'!$B$23:$I$23</c:f>
              <c:numCache>
                <c:formatCode>General</c:formatCode>
                <c:ptCount val="8"/>
                <c:pt idx="0">
                  <c:v>5689</c:v>
                </c:pt>
                <c:pt idx="1">
                  <c:v>6249</c:v>
                </c:pt>
                <c:pt idx="2">
                  <c:v>5240</c:v>
                </c:pt>
                <c:pt idx="3">
                  <c:v>6925</c:v>
                </c:pt>
                <c:pt idx="4">
                  <c:v>4265</c:v>
                </c:pt>
                <c:pt idx="5">
                  <c:v>7269</c:v>
                </c:pt>
                <c:pt idx="6">
                  <c:v>7499</c:v>
                </c:pt>
                <c:pt idx="7" formatCode="0">
                  <c:v>7213</c:v>
                </c:pt>
              </c:numCache>
            </c:numRef>
          </c:val>
          <c:smooth val="0"/>
          <c:extLst xmlns:c16r2="http://schemas.microsoft.com/office/drawing/2015/06/chart">
            <c:ext xmlns:c16="http://schemas.microsoft.com/office/drawing/2014/chart" uri="{C3380CC4-5D6E-409C-BE32-E72D297353CC}">
              <c16:uniqueId val="{0000001A-6F25-46F4-AFCA-AF1FF409A81C}"/>
            </c:ext>
          </c:extLst>
        </c:ser>
        <c:dLbls>
          <c:showLegendKey val="0"/>
          <c:showVal val="1"/>
          <c:showCatName val="0"/>
          <c:showSerName val="0"/>
          <c:showPercent val="0"/>
          <c:showBubbleSize val="0"/>
        </c:dLbls>
        <c:marker val="1"/>
        <c:smooth val="0"/>
        <c:axId val="1509747312"/>
        <c:axId val="1509755472"/>
      </c:lineChart>
      <c:catAx>
        <c:axId val="150974731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09755472"/>
        <c:crosses val="autoZero"/>
        <c:auto val="1"/>
        <c:lblAlgn val="ctr"/>
        <c:lblOffset val="100"/>
        <c:noMultiLvlLbl val="0"/>
      </c:catAx>
      <c:valAx>
        <c:axId val="150975547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hu-HU"/>
                  <a:t>GWh/év</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out"/>
        <c:minorTickMark val="out"/>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0974731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2021</a:t>
            </a:r>
          </a:p>
        </c:rich>
      </c:tx>
      <c:layout>
        <c:manualLayout>
          <c:xMode val="edge"/>
          <c:yMode val="edge"/>
          <c:x val="0.43079723730185898"/>
          <c:y val="0.3069038405840119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0.17568347434831511"/>
          <c:y val="3.3991570107883187E-2"/>
          <c:w val="0.66041708554546619"/>
          <c:h val="0.6558905805040306"/>
        </c:manualLayout>
      </c:layout>
      <c:doughnutChart>
        <c:varyColors val="1"/>
        <c:ser>
          <c:idx val="0"/>
          <c:order val="0"/>
          <c:dPt>
            <c:idx val="0"/>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1-F812-46F5-9468-00DA42226AFA}"/>
              </c:ext>
            </c:extLst>
          </c:dPt>
          <c:dPt>
            <c:idx val="1"/>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3-F812-46F5-9468-00DA42226AFA}"/>
              </c:ext>
            </c:extLst>
          </c:dPt>
          <c:dPt>
            <c:idx val="2"/>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5-F812-46F5-9468-00DA42226AFA}"/>
              </c:ext>
            </c:extLst>
          </c:dPt>
          <c:dPt>
            <c:idx val="3"/>
            <c:bubble3D val="0"/>
            <c:spPr>
              <a:solidFill>
                <a:srgbClr val="C00000"/>
              </a:solidFill>
              <a:ln w="19050">
                <a:solidFill>
                  <a:schemeClr val="lt1"/>
                </a:solidFill>
              </a:ln>
              <a:effectLst/>
            </c:spPr>
            <c:extLst xmlns:c16r2="http://schemas.microsoft.com/office/drawing/2015/06/chart">
              <c:ext xmlns:c16="http://schemas.microsoft.com/office/drawing/2014/chart" uri="{C3380CC4-5D6E-409C-BE32-E72D297353CC}">
                <c16:uniqueId val="{00000007-F812-46F5-9468-00DA42226AFA}"/>
              </c:ext>
            </c:extLst>
          </c:dPt>
          <c:dPt>
            <c:idx val="4"/>
            <c:bubble3D val="0"/>
            <c:spPr>
              <a:solidFill>
                <a:srgbClr val="0070C0"/>
              </a:solidFill>
              <a:ln w="19050">
                <a:solidFill>
                  <a:schemeClr val="lt1"/>
                </a:solidFill>
              </a:ln>
              <a:effectLst/>
            </c:spPr>
            <c:extLst xmlns:c16r2="http://schemas.microsoft.com/office/drawing/2015/06/chart">
              <c:ext xmlns:c16="http://schemas.microsoft.com/office/drawing/2014/chart" uri="{C3380CC4-5D6E-409C-BE32-E72D297353CC}">
                <c16:uniqueId val="{00000009-F812-46F5-9468-00DA42226AFA}"/>
              </c:ext>
            </c:extLst>
          </c:dPt>
          <c:dPt>
            <c:idx val="5"/>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B-F812-46F5-9468-00DA42226AFA}"/>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F812-46F5-9468-00DA42226AFA}"/>
              </c:ext>
            </c:extLst>
          </c:dPt>
          <c:dLbls>
            <c:dLbl>
              <c:idx val="0"/>
              <c:layout>
                <c:manualLayout>
                  <c:x val="-2.7605244996549344E-2"/>
                  <c:y val="0.1827735892163582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812-46F5-9468-00DA42226AFA}"/>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B-F812-46F5-9468-00DA42226AFA}"/>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D-F812-46F5-9468-00DA42226AFA}"/>
                </c:ext>
                <c:ext xmlns:c15="http://schemas.microsoft.com/office/drawing/2012/chart" uri="{CE6537A1-D6FC-4f65-9D91-7224C49458BB}"/>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energiamix!$A$48:$A$54</c:f>
              <c:strCache>
                <c:ptCount val="7"/>
                <c:pt idx="0">
                  <c:v>Nukleáris</c:v>
                </c:pt>
                <c:pt idx="1">
                  <c:v>Földgáz</c:v>
                </c:pt>
                <c:pt idx="2">
                  <c:v>Nap </c:v>
                </c:pt>
                <c:pt idx="3">
                  <c:v>Szén és széntermékek </c:v>
                </c:pt>
                <c:pt idx="4">
                  <c:v>Biomassza és biogáz</c:v>
                </c:pt>
                <c:pt idx="5">
                  <c:v>Egyéb</c:v>
                </c:pt>
                <c:pt idx="6">
                  <c:v>Szél</c:v>
                </c:pt>
              </c:strCache>
            </c:strRef>
          </c:cat>
          <c:val>
            <c:numRef>
              <c:f>energiamix!$B$48:$B$54</c:f>
              <c:numCache>
                <c:formatCode>0.0%</c:formatCode>
                <c:ptCount val="7"/>
                <c:pt idx="0">
                  <c:v>0.4426873530950739</c:v>
                </c:pt>
                <c:pt idx="1">
                  <c:v>0.2672458423656503</c:v>
                </c:pt>
                <c:pt idx="2">
                  <c:v>0.10509325780793626</c:v>
                </c:pt>
                <c:pt idx="3">
                  <c:v>8.5962741173246066E-2</c:v>
                </c:pt>
                <c:pt idx="4">
                  <c:v>5.7308494115497377E-2</c:v>
                </c:pt>
                <c:pt idx="5">
                  <c:v>2.3319296905064461E-2</c:v>
                </c:pt>
                <c:pt idx="6">
                  <c:v>1.8383014537531526E-2</c:v>
                </c:pt>
              </c:numCache>
            </c:numRef>
          </c:val>
          <c:extLst xmlns:c16r2="http://schemas.microsoft.com/office/drawing/2015/06/chart">
            <c:ext xmlns:c16="http://schemas.microsoft.com/office/drawing/2014/chart" uri="{C3380CC4-5D6E-409C-BE32-E72D297353CC}">
              <c16:uniqueId val="{0000000E-F812-46F5-9468-00DA42226AFA}"/>
            </c:ext>
          </c:extLst>
        </c:ser>
        <c:dLbls>
          <c:showLegendKey val="0"/>
          <c:showVal val="1"/>
          <c:showCatName val="0"/>
          <c:showSerName val="0"/>
          <c:showPercent val="0"/>
          <c:showBubbleSize val="0"/>
          <c:showLeaderLines val="1"/>
        </c:dLbls>
        <c:firstSliceAng val="0"/>
        <c:holeSize val="75"/>
      </c:doughnutChart>
      <c:spPr>
        <a:noFill/>
        <a:ln>
          <a:noFill/>
        </a:ln>
        <a:effectLst/>
      </c:spPr>
    </c:plotArea>
    <c:legend>
      <c:legendPos val="b"/>
      <c:layout>
        <c:manualLayout>
          <c:xMode val="edge"/>
          <c:yMode val="edge"/>
          <c:x val="3.9151196078544302E-2"/>
          <c:y val="0.71635566435866038"/>
          <c:w val="0.91959787031010298"/>
          <c:h val="0.2558021082631492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2020</a:t>
            </a:r>
          </a:p>
        </c:rich>
      </c:tx>
      <c:layout>
        <c:manualLayout>
          <c:xMode val="edge"/>
          <c:yMode val="edge"/>
          <c:x val="0.41470452907829741"/>
          <c:y val="0.3054602195344139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0.20514325066584801"/>
          <c:y val="3.2824074074074075E-2"/>
          <c:w val="0.5812835724301586"/>
          <c:h val="0.6384700349956256"/>
        </c:manualLayout>
      </c:layout>
      <c:doughnutChart>
        <c:varyColors val="1"/>
        <c:ser>
          <c:idx val="0"/>
          <c:order val="0"/>
          <c:dPt>
            <c:idx val="0"/>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1-EA5A-48F1-87D4-BD661308C2EE}"/>
              </c:ext>
            </c:extLst>
          </c:dPt>
          <c:dPt>
            <c:idx val="1"/>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3-EA5A-48F1-87D4-BD661308C2EE}"/>
              </c:ext>
            </c:extLst>
          </c:dPt>
          <c:dPt>
            <c:idx val="2"/>
            <c:bubble3D val="0"/>
            <c:spPr>
              <a:solidFill>
                <a:srgbClr val="C00000"/>
              </a:solidFill>
              <a:ln w="19050">
                <a:solidFill>
                  <a:schemeClr val="lt1"/>
                </a:solidFill>
              </a:ln>
              <a:effectLst/>
            </c:spPr>
            <c:extLst xmlns:c16r2="http://schemas.microsoft.com/office/drawing/2015/06/chart">
              <c:ext xmlns:c16="http://schemas.microsoft.com/office/drawing/2014/chart" uri="{C3380CC4-5D6E-409C-BE32-E72D297353CC}">
                <c16:uniqueId val="{00000005-EA5A-48F1-87D4-BD661308C2EE}"/>
              </c:ext>
            </c:extLst>
          </c:dPt>
          <c:dPt>
            <c:idx val="3"/>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7-EA5A-48F1-87D4-BD661308C2EE}"/>
              </c:ext>
            </c:extLst>
          </c:dPt>
          <c:dPt>
            <c:idx val="4"/>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9-EA5A-48F1-87D4-BD661308C2EE}"/>
              </c:ext>
            </c:extLst>
          </c:dPt>
          <c:dPt>
            <c:idx val="5"/>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B-EA5A-48F1-87D4-BD661308C2EE}"/>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EA5A-48F1-87D4-BD661308C2EE}"/>
              </c:ext>
            </c:extLst>
          </c:dPt>
          <c:dLbls>
            <c:dLbl>
              <c:idx val="5"/>
              <c:delete val="1"/>
              <c:extLst xmlns:c16r2="http://schemas.microsoft.com/office/drawing/2015/06/chart">
                <c:ext xmlns:c16="http://schemas.microsoft.com/office/drawing/2014/chart" uri="{C3380CC4-5D6E-409C-BE32-E72D297353CC}">
                  <c16:uniqueId val="{0000000B-EA5A-48F1-87D4-BD661308C2EE}"/>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D-EA5A-48F1-87D4-BD661308C2E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energiamix!$A$19:$A$25</c:f>
              <c:strCache>
                <c:ptCount val="7"/>
                <c:pt idx="0">
                  <c:v>Nukleáris</c:v>
                </c:pt>
                <c:pt idx="1">
                  <c:v>Földgáz</c:v>
                </c:pt>
                <c:pt idx="2">
                  <c:v>Szén és széntermékek </c:v>
                </c:pt>
                <c:pt idx="3">
                  <c:v>Nap </c:v>
                </c:pt>
                <c:pt idx="4">
                  <c:v>Biomassza és biogáz</c:v>
                </c:pt>
                <c:pt idx="5">
                  <c:v>Egyéb</c:v>
                </c:pt>
                <c:pt idx="6">
                  <c:v>Szél</c:v>
                </c:pt>
              </c:strCache>
            </c:strRef>
          </c:cat>
          <c:val>
            <c:numRef>
              <c:f>energiamix!$B$19:$B$25</c:f>
              <c:numCache>
                <c:formatCode>0%</c:formatCode>
                <c:ptCount val="7"/>
                <c:pt idx="0">
                  <c:v>0.45963355281992557</c:v>
                </c:pt>
                <c:pt idx="1">
                  <c:v>0.26026338391067849</c:v>
                </c:pt>
                <c:pt idx="2">
                  <c:v>0.10953335241912396</c:v>
                </c:pt>
                <c:pt idx="3">
                  <c:v>7.0397938734612087E-2</c:v>
                </c:pt>
                <c:pt idx="4">
                  <c:v>5.6913827655310618E-2</c:v>
                </c:pt>
                <c:pt idx="5">
                  <c:v>2.4506155167477811E-2</c:v>
                </c:pt>
                <c:pt idx="6">
                  <c:v>1.8751789292871458E-2</c:v>
                </c:pt>
              </c:numCache>
            </c:numRef>
          </c:val>
          <c:extLst xmlns:c16r2="http://schemas.microsoft.com/office/drawing/2015/06/chart">
            <c:ext xmlns:c16="http://schemas.microsoft.com/office/drawing/2014/chart" uri="{C3380CC4-5D6E-409C-BE32-E72D297353CC}">
              <c16:uniqueId val="{0000000E-EA5A-48F1-87D4-BD661308C2EE}"/>
            </c:ext>
          </c:extLst>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layout>
        <c:manualLayout>
          <c:xMode val="edge"/>
          <c:yMode val="edge"/>
          <c:x val="4.6900311661703838E-3"/>
          <c:y val="0.73558387675767334"/>
          <c:w val="0.97719400289958247"/>
          <c:h val="0.2551567136582154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'BVT%'!$A$9</c:f>
              <c:strCache>
                <c:ptCount val="1"/>
                <c:pt idx="0">
                  <c:v>Nukleáris</c:v>
                </c:pt>
              </c:strCache>
            </c:strRef>
          </c:tx>
          <c:spPr>
            <a:ln w="34925" cap="rnd">
              <a:solidFill>
                <a:schemeClr val="accent5"/>
              </a:solidFill>
              <a:round/>
            </a:ln>
            <a:effectLst>
              <a:outerShdw blurRad="40000" dist="23000" dir="5400000" rotWithShape="0">
                <a:srgbClr val="000000">
                  <a:alpha val="35000"/>
                </a:srgbClr>
              </a:outerShdw>
            </a:effectLst>
          </c:spPr>
          <c:marker>
            <c:symbol val="none"/>
          </c:marker>
          <c:cat>
            <c:numRef>
              <c:f>'BVT%'!$B$8:$I$8</c:f>
              <c:numCache>
                <c:formatCode>General</c:formatCode>
                <c:ptCount val="8"/>
                <c:pt idx="0">
                  <c:v>2014</c:v>
                </c:pt>
                <c:pt idx="1">
                  <c:v>2015</c:v>
                </c:pt>
                <c:pt idx="2">
                  <c:v>2016</c:v>
                </c:pt>
                <c:pt idx="3">
                  <c:v>2017</c:v>
                </c:pt>
                <c:pt idx="4">
                  <c:v>2018</c:v>
                </c:pt>
                <c:pt idx="5">
                  <c:v>2019</c:v>
                </c:pt>
                <c:pt idx="6">
                  <c:v>2020</c:v>
                </c:pt>
                <c:pt idx="7">
                  <c:v>2021</c:v>
                </c:pt>
              </c:numCache>
            </c:numRef>
          </c:cat>
          <c:val>
            <c:numRef>
              <c:f>'BVT%'!$B$9:$I$9</c:f>
              <c:numCache>
                <c:formatCode>0%</c:formatCode>
                <c:ptCount val="8"/>
                <c:pt idx="0">
                  <c:v>0.53222460293167362</c:v>
                </c:pt>
                <c:pt idx="1">
                  <c:v>0.52154150197628457</c:v>
                </c:pt>
                <c:pt idx="2">
                  <c:v>0.50322863770296533</c:v>
                </c:pt>
                <c:pt idx="3">
                  <c:v>0.48907792799635424</c:v>
                </c:pt>
                <c:pt idx="4">
                  <c:v>0.49062899554058692</c:v>
                </c:pt>
                <c:pt idx="5">
                  <c:v>0.47499343851156278</c:v>
                </c:pt>
                <c:pt idx="6">
                  <c:v>0.45963355281992557</c:v>
                </c:pt>
                <c:pt idx="7">
                  <c:v>0.4426873530950739</c:v>
                </c:pt>
              </c:numCache>
            </c:numRef>
          </c:val>
          <c:smooth val="0"/>
          <c:extLst xmlns:c16r2="http://schemas.microsoft.com/office/drawing/2015/06/chart">
            <c:ext xmlns:c16="http://schemas.microsoft.com/office/drawing/2014/chart" uri="{C3380CC4-5D6E-409C-BE32-E72D297353CC}">
              <c16:uniqueId val="{00000000-A7D5-4B66-ADA4-03DB09D37E9E}"/>
            </c:ext>
          </c:extLst>
        </c:ser>
        <c:ser>
          <c:idx val="1"/>
          <c:order val="1"/>
          <c:tx>
            <c:strRef>
              <c:f>'BVT%'!$A$10</c:f>
              <c:strCache>
                <c:ptCount val="1"/>
                <c:pt idx="0">
                  <c:v>Szén és széntermékek </c:v>
                </c:pt>
              </c:strCache>
            </c:strRef>
          </c:tx>
          <c:spPr>
            <a:ln w="34925" cap="rnd">
              <a:solidFill>
                <a:srgbClr val="C00000"/>
              </a:solidFill>
              <a:round/>
            </a:ln>
            <a:effectLst>
              <a:outerShdw blurRad="40000" dist="23000" dir="5400000" rotWithShape="0">
                <a:srgbClr val="000000">
                  <a:alpha val="35000"/>
                </a:srgbClr>
              </a:outerShdw>
            </a:effectLst>
          </c:spPr>
          <c:marker>
            <c:symbol val="none"/>
          </c:marker>
          <c:cat>
            <c:numRef>
              <c:f>'BVT%'!$B$8:$I$8</c:f>
              <c:numCache>
                <c:formatCode>General</c:formatCode>
                <c:ptCount val="8"/>
                <c:pt idx="0">
                  <c:v>2014</c:v>
                </c:pt>
                <c:pt idx="1">
                  <c:v>2015</c:v>
                </c:pt>
                <c:pt idx="2">
                  <c:v>2016</c:v>
                </c:pt>
                <c:pt idx="3">
                  <c:v>2017</c:v>
                </c:pt>
                <c:pt idx="4">
                  <c:v>2018</c:v>
                </c:pt>
                <c:pt idx="5">
                  <c:v>2019</c:v>
                </c:pt>
                <c:pt idx="6">
                  <c:v>2020</c:v>
                </c:pt>
                <c:pt idx="7">
                  <c:v>2021</c:v>
                </c:pt>
              </c:numCache>
            </c:numRef>
          </c:cat>
          <c:val>
            <c:numRef>
              <c:f>'BVT%'!$B$10:$I$10</c:f>
              <c:numCache>
                <c:formatCode>0%</c:formatCode>
                <c:ptCount val="8"/>
                <c:pt idx="0">
                  <c:v>0.20793796551372309</c:v>
                </c:pt>
                <c:pt idx="1">
                  <c:v>0.19459815546772069</c:v>
                </c:pt>
                <c:pt idx="2">
                  <c:v>0.18049025139489688</c:v>
                </c:pt>
                <c:pt idx="3">
                  <c:v>0.15488379158438401</c:v>
                </c:pt>
                <c:pt idx="4">
                  <c:v>0.15074687373312129</c:v>
                </c:pt>
                <c:pt idx="5">
                  <c:v>0.12201452276107433</c:v>
                </c:pt>
                <c:pt idx="6">
                  <c:v>0.10953335241912396</c:v>
                </c:pt>
                <c:pt idx="7">
                  <c:v>8.5962741173246066E-2</c:v>
                </c:pt>
              </c:numCache>
            </c:numRef>
          </c:val>
          <c:smooth val="0"/>
          <c:extLst xmlns:c16r2="http://schemas.microsoft.com/office/drawing/2015/06/chart">
            <c:ext xmlns:c16="http://schemas.microsoft.com/office/drawing/2014/chart" uri="{C3380CC4-5D6E-409C-BE32-E72D297353CC}">
              <c16:uniqueId val="{00000001-A7D5-4B66-ADA4-03DB09D37E9E}"/>
            </c:ext>
          </c:extLst>
        </c:ser>
        <c:ser>
          <c:idx val="2"/>
          <c:order val="2"/>
          <c:tx>
            <c:strRef>
              <c:f>'BVT%'!$A$11</c:f>
              <c:strCache>
                <c:ptCount val="1"/>
                <c:pt idx="0">
                  <c:v>Földgáz</c:v>
                </c:pt>
              </c:strCache>
            </c:strRef>
          </c:tx>
          <c:spPr>
            <a:ln w="34925" cap="rnd">
              <a:solidFill>
                <a:srgbClr val="FFC000"/>
              </a:solidFill>
              <a:round/>
            </a:ln>
            <a:effectLst>
              <a:outerShdw blurRad="40000" dist="23000" dir="5400000" rotWithShape="0">
                <a:srgbClr val="000000">
                  <a:alpha val="35000"/>
                </a:srgbClr>
              </a:outerShdw>
            </a:effectLst>
          </c:spPr>
          <c:marker>
            <c:symbol val="none"/>
          </c:marker>
          <c:cat>
            <c:numRef>
              <c:f>'BVT%'!$B$8:$I$8</c:f>
              <c:numCache>
                <c:formatCode>General</c:formatCode>
                <c:ptCount val="8"/>
                <c:pt idx="0">
                  <c:v>2014</c:v>
                </c:pt>
                <c:pt idx="1">
                  <c:v>2015</c:v>
                </c:pt>
                <c:pt idx="2">
                  <c:v>2016</c:v>
                </c:pt>
                <c:pt idx="3">
                  <c:v>2017</c:v>
                </c:pt>
                <c:pt idx="4">
                  <c:v>2018</c:v>
                </c:pt>
                <c:pt idx="5">
                  <c:v>2019</c:v>
                </c:pt>
                <c:pt idx="6">
                  <c:v>2020</c:v>
                </c:pt>
                <c:pt idx="7">
                  <c:v>2021</c:v>
                </c:pt>
              </c:numCache>
            </c:numRef>
          </c:cat>
          <c:val>
            <c:numRef>
              <c:f>'BVT%'!$B$11:$I$11</c:f>
              <c:numCache>
                <c:formatCode>0%</c:formatCode>
                <c:ptCount val="8"/>
                <c:pt idx="0">
                  <c:v>0.14420297248580077</c:v>
                </c:pt>
                <c:pt idx="1">
                  <c:v>0.16824769433465087</c:v>
                </c:pt>
                <c:pt idx="2">
                  <c:v>0.2030907153156542</c:v>
                </c:pt>
                <c:pt idx="3">
                  <c:v>0.23907033267507216</c:v>
                </c:pt>
                <c:pt idx="4">
                  <c:v>0.22708703651729192</c:v>
                </c:pt>
                <c:pt idx="5">
                  <c:v>0.25371088623837157</c:v>
                </c:pt>
                <c:pt idx="6">
                  <c:v>0.26026338391067849</c:v>
                </c:pt>
                <c:pt idx="7">
                  <c:v>0.2672458423656503</c:v>
                </c:pt>
              </c:numCache>
            </c:numRef>
          </c:val>
          <c:smooth val="0"/>
          <c:extLst xmlns:c16r2="http://schemas.microsoft.com/office/drawing/2015/06/chart">
            <c:ext xmlns:c16="http://schemas.microsoft.com/office/drawing/2014/chart" uri="{C3380CC4-5D6E-409C-BE32-E72D297353CC}">
              <c16:uniqueId val="{00000002-A7D5-4B66-ADA4-03DB09D37E9E}"/>
            </c:ext>
          </c:extLst>
        </c:ser>
        <c:ser>
          <c:idx val="3"/>
          <c:order val="3"/>
          <c:tx>
            <c:strRef>
              <c:f>'BVT%'!$A$12</c:f>
              <c:strCache>
                <c:ptCount val="1"/>
                <c:pt idx="0">
                  <c:v>Nap </c:v>
                </c:pt>
              </c:strCache>
            </c:strRef>
          </c:tx>
          <c:spPr>
            <a:ln w="34925" cap="rnd">
              <a:solidFill>
                <a:schemeClr val="accent6"/>
              </a:solidFill>
              <a:round/>
            </a:ln>
            <a:effectLst>
              <a:outerShdw blurRad="40000" dist="23000" dir="5400000" rotWithShape="0">
                <a:srgbClr val="000000">
                  <a:alpha val="35000"/>
                </a:srgbClr>
              </a:outerShdw>
            </a:effectLst>
          </c:spPr>
          <c:marker>
            <c:symbol val="none"/>
          </c:marker>
          <c:cat>
            <c:numRef>
              <c:f>'BVT%'!$B$8:$I$8</c:f>
              <c:numCache>
                <c:formatCode>General</c:formatCode>
                <c:ptCount val="8"/>
                <c:pt idx="0">
                  <c:v>2014</c:v>
                </c:pt>
                <c:pt idx="1">
                  <c:v>2015</c:v>
                </c:pt>
                <c:pt idx="2">
                  <c:v>2016</c:v>
                </c:pt>
                <c:pt idx="3">
                  <c:v>2017</c:v>
                </c:pt>
                <c:pt idx="4">
                  <c:v>2018</c:v>
                </c:pt>
                <c:pt idx="5">
                  <c:v>2019</c:v>
                </c:pt>
                <c:pt idx="6">
                  <c:v>2020</c:v>
                </c:pt>
                <c:pt idx="7">
                  <c:v>2021</c:v>
                </c:pt>
              </c:numCache>
            </c:numRef>
          </c:cat>
          <c:val>
            <c:numRef>
              <c:f>'BVT%'!$B$12:$I$12</c:f>
              <c:numCache>
                <c:formatCode>0%</c:formatCode>
                <c:ptCount val="8"/>
                <c:pt idx="0">
                  <c:v>2.2786790463558142E-3</c:v>
                </c:pt>
                <c:pt idx="1">
                  <c:v>4.6442687747035574E-3</c:v>
                </c:pt>
                <c:pt idx="2">
                  <c:v>7.6484232963450567E-3</c:v>
                </c:pt>
                <c:pt idx="3">
                  <c:v>1.0603068509797964E-2</c:v>
                </c:pt>
                <c:pt idx="4">
                  <c:v>1.9615180715377181E-2</c:v>
                </c:pt>
                <c:pt idx="5">
                  <c:v>4.365576973549911E-2</c:v>
                </c:pt>
                <c:pt idx="6">
                  <c:v>7.0397938734612087E-2</c:v>
                </c:pt>
                <c:pt idx="7">
                  <c:v>0.10509325780793626</c:v>
                </c:pt>
              </c:numCache>
            </c:numRef>
          </c:val>
          <c:smooth val="0"/>
          <c:extLst xmlns:c16r2="http://schemas.microsoft.com/office/drawing/2015/06/chart">
            <c:ext xmlns:c16="http://schemas.microsoft.com/office/drawing/2014/chart" uri="{C3380CC4-5D6E-409C-BE32-E72D297353CC}">
              <c16:uniqueId val="{00000003-A7D5-4B66-ADA4-03DB09D37E9E}"/>
            </c:ext>
          </c:extLst>
        </c:ser>
        <c:dLbls>
          <c:showLegendKey val="0"/>
          <c:showVal val="0"/>
          <c:showCatName val="0"/>
          <c:showSerName val="0"/>
          <c:showPercent val="0"/>
          <c:showBubbleSize val="0"/>
        </c:dLbls>
        <c:smooth val="0"/>
        <c:axId val="1509748400"/>
        <c:axId val="1509758192"/>
      </c:lineChart>
      <c:catAx>
        <c:axId val="150974840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09758192"/>
        <c:crosses val="autoZero"/>
        <c:auto val="1"/>
        <c:lblAlgn val="ctr"/>
        <c:lblOffset val="100"/>
        <c:noMultiLvlLbl val="0"/>
      </c:catAx>
      <c:valAx>
        <c:axId val="15097581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09748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6">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0.91493</cdr:x>
      <cdr:y>0.09217</cdr:y>
    </cdr:from>
    <cdr:to>
      <cdr:x>0.94328</cdr:x>
      <cdr:y>0.20482</cdr:y>
    </cdr:to>
    <cdr:cxnSp macro="">
      <cdr:nvCxnSpPr>
        <cdr:cNvPr id="3" name="Egyenes összekötő 2"/>
        <cdr:cNvCxnSpPr/>
      </cdr:nvCxnSpPr>
      <cdr:spPr>
        <a:xfrm xmlns:a="http://schemas.openxmlformats.org/drawingml/2006/main" flipV="1">
          <a:off x="4183039" y="184245"/>
          <a:ext cx="129653" cy="225188"/>
        </a:xfrm>
        <a:prstGeom xmlns:a="http://schemas.openxmlformats.org/drawingml/2006/main" prst="line">
          <a:avLst/>
        </a:prstGeom>
        <a:ln xmlns:a="http://schemas.openxmlformats.org/drawingml/2006/main"/>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94836-679E-4A57-B1BD-4678B19CB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21251</Words>
  <Characters>146637</Characters>
  <Application>Microsoft Office Word</Application>
  <DocSecurity>0</DocSecurity>
  <Lines>1221</Lines>
  <Paragraphs>335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Csoma Dániel Áron</dc:creator>
  <cp:keywords/>
  <dc:description/>
  <cp:lastModifiedBy>Tóth Csaba</cp:lastModifiedBy>
  <cp:revision>5</cp:revision>
  <cp:lastPrinted>2023-03-27T14:44:00Z</cp:lastPrinted>
  <dcterms:created xsi:type="dcterms:W3CDTF">2023-05-07T10:51:00Z</dcterms:created>
  <dcterms:modified xsi:type="dcterms:W3CDTF">2023-05-10T11:16:00Z</dcterms:modified>
</cp:coreProperties>
</file>