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64A51">
        <w:rPr>
          <w:rFonts w:ascii="Times New Roman" w:hAnsi="Times New Roman"/>
          <w:b/>
          <w:bCs/>
          <w:sz w:val="24"/>
          <w:szCs w:val="24"/>
        </w:rPr>
        <w:t>…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D2779">
        <w:rPr>
          <w:rFonts w:ascii="Times New Roman" w:hAnsi="Times New Roman"/>
          <w:b/>
          <w:bCs/>
          <w:sz w:val="24"/>
          <w:szCs w:val="24"/>
        </w:rPr>
        <w:t>2024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64A51">
        <w:rPr>
          <w:rFonts w:ascii="Times New Roman" w:hAnsi="Times New Roman"/>
          <w:b/>
          <w:bCs/>
          <w:sz w:val="24"/>
          <w:szCs w:val="24"/>
        </w:rPr>
        <w:t>…)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64A51" w:rsidRDefault="004D2779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2024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2024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B64A51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Pr="00B64A51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Pr="00E338B8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253B65">
        <w:rPr>
          <w:rFonts w:ascii="Times New Roman" w:hAnsi="Times New Roman"/>
          <w:sz w:val="24"/>
          <w:szCs w:val="24"/>
        </w:rPr>
        <w:t>2024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53B65">
        <w:rPr>
          <w:rFonts w:ascii="Times New Roman" w:hAnsi="Times New Roman"/>
          <w:sz w:val="24"/>
          <w:szCs w:val="24"/>
        </w:rPr>
        <w:t>6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253B65">
        <w:rPr>
          <w:rFonts w:ascii="Times New Roman" w:hAnsi="Times New Roman"/>
          <w:sz w:val="24"/>
          <w:szCs w:val="24"/>
        </w:rPr>
        <w:t>2024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253B65">
        <w:rPr>
          <w:rFonts w:ascii="Times New Roman" w:hAnsi="Times New Roman"/>
          <w:sz w:val="24"/>
          <w:szCs w:val="24"/>
        </w:rPr>
        <w:t>II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53B65">
        <w:rPr>
          <w:rFonts w:ascii="Times New Roman" w:hAnsi="Times New Roman"/>
          <w:sz w:val="24"/>
          <w:szCs w:val="24"/>
        </w:rPr>
        <w:t>21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B64A51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B64A51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253B65">
        <w:rPr>
          <w:rFonts w:ascii="Times New Roman" w:hAnsi="Times New Roman"/>
          <w:sz w:val="24"/>
          <w:szCs w:val="24"/>
        </w:rPr>
        <w:t>Erzsébetváros Önkormányzata 2024</w:t>
      </w:r>
      <w:r w:rsidR="004436E6">
        <w:rPr>
          <w:rFonts w:ascii="Times New Roman" w:hAnsi="Times New Roman"/>
          <w:sz w:val="24"/>
          <w:szCs w:val="24"/>
        </w:rPr>
        <w:t xml:space="preserve">. évi költségvetéséről </w:t>
      </w:r>
      <w:r w:rsidR="00253B65">
        <w:rPr>
          <w:rFonts w:ascii="Times New Roman" w:hAnsi="Times New Roman"/>
          <w:sz w:val="24"/>
          <w:szCs w:val="24"/>
        </w:rPr>
        <w:t>szóló 6</w:t>
      </w:r>
      <w:r w:rsidR="008B25EF" w:rsidRPr="00B64A51">
        <w:rPr>
          <w:rFonts w:ascii="Times New Roman" w:hAnsi="Times New Roman"/>
          <w:sz w:val="24"/>
          <w:szCs w:val="24"/>
        </w:rPr>
        <w:t>/</w:t>
      </w:r>
      <w:r w:rsidR="00253B65">
        <w:rPr>
          <w:rFonts w:ascii="Times New Roman" w:hAnsi="Times New Roman"/>
          <w:sz w:val="24"/>
          <w:szCs w:val="24"/>
        </w:rPr>
        <w:t>2024</w:t>
      </w:r>
      <w:r w:rsidR="008B25EF" w:rsidRPr="00B64A51">
        <w:rPr>
          <w:rFonts w:ascii="Times New Roman" w:hAnsi="Times New Roman"/>
          <w:sz w:val="24"/>
          <w:szCs w:val="24"/>
        </w:rPr>
        <w:t>. (</w:t>
      </w:r>
      <w:r w:rsidR="00253B65">
        <w:rPr>
          <w:rFonts w:ascii="Times New Roman" w:hAnsi="Times New Roman"/>
          <w:sz w:val="24"/>
          <w:szCs w:val="24"/>
        </w:rPr>
        <w:t>II</w:t>
      </w:r>
      <w:r w:rsidR="008B25EF" w:rsidRPr="00B64A51">
        <w:rPr>
          <w:rFonts w:ascii="Times New Roman" w:hAnsi="Times New Roman"/>
          <w:sz w:val="24"/>
          <w:szCs w:val="24"/>
        </w:rPr>
        <w:t>.</w:t>
      </w:r>
      <w:r w:rsidR="004436E6">
        <w:rPr>
          <w:rFonts w:ascii="Times New Roman" w:hAnsi="Times New Roman"/>
          <w:sz w:val="24"/>
          <w:szCs w:val="24"/>
        </w:rPr>
        <w:t xml:space="preserve"> </w:t>
      </w:r>
      <w:r w:rsidR="00253B65">
        <w:rPr>
          <w:rFonts w:ascii="Times New Roman" w:hAnsi="Times New Roman"/>
          <w:sz w:val="24"/>
          <w:szCs w:val="24"/>
        </w:rPr>
        <w:t>21</w:t>
      </w:r>
      <w:r w:rsidR="008B25EF" w:rsidRPr="00B64A51">
        <w:rPr>
          <w:rFonts w:ascii="Times New Roman" w:hAnsi="Times New Roman"/>
          <w:sz w:val="24"/>
          <w:szCs w:val="24"/>
        </w:rPr>
        <w:t xml:space="preserve">.) önkormányzati rendelet (a továbbiakban: </w:t>
      </w:r>
      <w:r w:rsidRPr="00B64A51">
        <w:rPr>
          <w:rFonts w:ascii="Times New Roman" w:hAnsi="Times New Roman"/>
          <w:sz w:val="24"/>
          <w:szCs w:val="24"/>
          <w:lang w:val="x-none"/>
        </w:rPr>
        <w:t>Ör.</w:t>
      </w:r>
      <w:r w:rsidR="008B25EF" w:rsidRPr="00B64A51">
        <w:rPr>
          <w:rFonts w:ascii="Times New Roman" w:hAnsi="Times New Roman"/>
          <w:sz w:val="24"/>
          <w:szCs w:val="24"/>
        </w:rPr>
        <w:t>)</w:t>
      </w:r>
      <w:r w:rsidR="004436E6">
        <w:rPr>
          <w:rFonts w:ascii="Times New Roman" w:hAnsi="Times New Roman"/>
          <w:sz w:val="24"/>
          <w:szCs w:val="24"/>
          <w:lang w:val="x-none"/>
        </w:rPr>
        <w:t xml:space="preserve"> 1. §</w:t>
      </w:r>
      <w:r w:rsidR="00086EDC">
        <w:rPr>
          <w:rFonts w:ascii="Times New Roman" w:hAnsi="Times New Roman"/>
          <w:sz w:val="24"/>
          <w:szCs w:val="24"/>
        </w:rPr>
        <w:t>-a helyébe</w:t>
      </w:r>
      <w:r w:rsidR="004436E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sz w:val="24"/>
          <w:szCs w:val="24"/>
        </w:rPr>
        <w:t>következő rendelkezés lép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01C11" w:rsidRPr="00351DA8" w:rsidRDefault="00101C11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351DA8">
        <w:rPr>
          <w:rFonts w:ascii="Times New Roman" w:hAnsi="Times New Roman"/>
          <w:b/>
          <w:sz w:val="24"/>
          <w:szCs w:val="24"/>
        </w:rPr>
        <w:t>„1.§</w:t>
      </w:r>
    </w:p>
    <w:p w:rsidR="008610FC" w:rsidRPr="00B64A51" w:rsidRDefault="008610FC" w:rsidP="008610FC">
      <w:pPr>
        <w:widowControl w:val="0"/>
        <w:spacing w:after="0"/>
        <w:ind w:left="285"/>
        <w:jc w:val="both"/>
        <w:rPr>
          <w:i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9B3C94">
        <w:rPr>
          <w:rFonts w:ascii="Times New Roman" w:hAnsi="Times New Roman"/>
          <w:i/>
          <w:sz w:val="24"/>
          <w:szCs w:val="24"/>
        </w:rPr>
        <w:t>2024</w:t>
      </w:r>
      <w:r w:rsidRPr="00B64A51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B64A51" w:rsidRDefault="008610FC" w:rsidP="008610FC">
      <w:pPr>
        <w:widowControl w:val="0"/>
        <w:spacing w:after="0"/>
        <w:rPr>
          <w:i/>
        </w:rPr>
      </w:pPr>
    </w:p>
    <w:p w:rsidR="004436E6" w:rsidRPr="004436E6" w:rsidRDefault="009B3C94" w:rsidP="004436E6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27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601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673</w:t>
      </w:r>
      <w:r w:rsidR="004436E6" w:rsidRPr="004436E6">
        <w:rPr>
          <w:rFonts w:ascii="Times New Roman" w:hAnsi="Times New Roman"/>
          <w:i/>
          <w:sz w:val="28"/>
          <w:szCs w:val="28"/>
        </w:rPr>
        <w:t xml:space="preserve"> 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i/>
          <w:sz w:val="24"/>
          <w:szCs w:val="24"/>
        </w:rPr>
        <w:t>huszon</w:t>
      </w:r>
      <w:r w:rsidR="009B3C94"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9B3C94">
        <w:rPr>
          <w:rFonts w:ascii="Times New Roman" w:hAnsi="Times New Roman"/>
          <w:i/>
          <w:sz w:val="24"/>
          <w:szCs w:val="24"/>
        </w:rPr>
        <w:t>hat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9B3C94">
        <w:rPr>
          <w:rFonts w:ascii="Times New Roman" w:hAnsi="Times New Roman"/>
          <w:i/>
          <w:sz w:val="24"/>
          <w:szCs w:val="24"/>
        </w:rPr>
        <w:t>egye</w:t>
      </w:r>
      <w:r w:rsidRPr="004436E6">
        <w:rPr>
          <w:rFonts w:ascii="Times New Roman" w:hAnsi="Times New Roman"/>
          <w:i/>
          <w:sz w:val="24"/>
          <w:szCs w:val="24"/>
        </w:rPr>
        <w:t>zer-</w:t>
      </w:r>
      <w:r w:rsidR="009B3C94">
        <w:rPr>
          <w:rFonts w:ascii="Times New Roman" w:hAnsi="Times New Roman"/>
          <w:i/>
          <w:sz w:val="24"/>
          <w:szCs w:val="24"/>
        </w:rPr>
        <w:t>hatszázhetvenhárom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4436E6">
        <w:rPr>
          <w:rFonts w:ascii="Times New Roman" w:hAnsi="Times New Roman"/>
          <w:i/>
          <w:sz w:val="24"/>
          <w:szCs w:val="24"/>
        </w:rPr>
        <w:t>(továbbiakban: Áht.)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ba) a 6. § (7) bekezdés a) pont aa) alpont szerinti összegét</w:t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 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i/>
          <w:sz w:val="24"/>
          <w:szCs w:val="24"/>
        </w:rPr>
        <w:t>nulla ezer Ft-ban,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bb) a 6. § (7) bekezdés a) pont ab) alpont szerinti szabad pénzeszközök betétként való</w:t>
      </w:r>
      <w:r w:rsidR="009B3C94">
        <w:rPr>
          <w:rFonts w:ascii="Times New Roman" w:hAnsi="Times New Roman"/>
          <w:b/>
          <w:i/>
          <w:sz w:val="24"/>
          <w:szCs w:val="24"/>
        </w:rPr>
        <w:t xml:space="preserve"> visszavonása előirányzatát </w:t>
      </w:r>
      <w:r w:rsidR="009B3C94">
        <w:rPr>
          <w:rFonts w:ascii="Times New Roman" w:hAnsi="Times New Roman"/>
          <w:b/>
          <w:i/>
          <w:sz w:val="24"/>
          <w:szCs w:val="24"/>
        </w:rPr>
        <w:tab/>
        <w:t xml:space="preserve">  7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871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688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9B3C94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hét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nyolc</w:t>
      </w:r>
      <w:r w:rsidR="004436E6" w:rsidRPr="004436E6">
        <w:rPr>
          <w:rFonts w:ascii="Times New Roman" w:hAnsi="Times New Roman"/>
          <w:i/>
          <w:sz w:val="24"/>
          <w:szCs w:val="24"/>
        </w:rPr>
        <w:t>százhetven</w:t>
      </w:r>
      <w:r>
        <w:rPr>
          <w:rFonts w:ascii="Times New Roman" w:hAnsi="Times New Roman"/>
          <w:i/>
          <w:sz w:val="24"/>
          <w:szCs w:val="24"/>
        </w:rPr>
        <w:t>egye</w:t>
      </w:r>
      <w:r w:rsidR="004436E6" w:rsidRPr="004436E6">
        <w:rPr>
          <w:rFonts w:ascii="Times New Roman" w:hAnsi="Times New Roman"/>
          <w:i/>
          <w:sz w:val="24"/>
          <w:szCs w:val="24"/>
        </w:rPr>
        <w:t>zer-</w:t>
      </w:r>
      <w:r>
        <w:rPr>
          <w:rFonts w:ascii="Times New Roman" w:hAnsi="Times New Roman"/>
          <w:i/>
          <w:sz w:val="24"/>
          <w:szCs w:val="24"/>
        </w:rPr>
        <w:t>hatszáznyolcvannyolc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bc) a 6. § (7) bekezdés a) pont ac) alpont szerinti költségvetési </w:t>
      </w:r>
      <w:r w:rsidR="009B3C94">
        <w:rPr>
          <w:rFonts w:ascii="Times New Roman" w:hAnsi="Times New Roman"/>
          <w:b/>
          <w:i/>
          <w:sz w:val="24"/>
          <w:szCs w:val="24"/>
        </w:rPr>
        <w:t>maradvány összegét</w:t>
      </w:r>
      <w:r w:rsidR="009B3C94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ab/>
        <w:t xml:space="preserve">       3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198</w:t>
      </w:r>
      <w:r w:rsidR="00C26D67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812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9B3C94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három</w:t>
      </w:r>
      <w:r w:rsidR="00C26D67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egy</w:t>
      </w:r>
      <w:r w:rsidR="00C26D67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kilencvennyolc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nyolc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tizenkettő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c)</w:t>
      </w:r>
      <w:r w:rsidRPr="004436E6"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b/>
          <w:i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4436E6">
        <w:rPr>
          <w:rFonts w:ascii="Times New Roman" w:hAnsi="Times New Roman"/>
          <w:i/>
          <w:sz w:val="24"/>
          <w:szCs w:val="24"/>
        </w:rPr>
        <w:t xml:space="preserve"> (továbbiakban: Mötv.)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4436E6" w:rsidP="004436E6">
      <w:pPr>
        <w:widowControl w:val="0"/>
        <w:tabs>
          <w:tab w:val="left" w:pos="5954"/>
          <w:tab w:val="right" w:pos="9356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i/>
          <w:sz w:val="24"/>
          <w:szCs w:val="24"/>
        </w:rPr>
        <w:t>nulla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lastRenderedPageBreak/>
        <w:t>d) költségvetési kiadási előirányzatát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3B0897">
        <w:rPr>
          <w:rFonts w:ascii="Times New Roman" w:hAnsi="Times New Roman"/>
          <w:b/>
          <w:i/>
          <w:sz w:val="24"/>
          <w:szCs w:val="24"/>
        </w:rPr>
        <w:tab/>
        <w:t>38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B0897">
        <w:rPr>
          <w:rFonts w:ascii="Times New Roman" w:hAnsi="Times New Roman"/>
          <w:b/>
          <w:i/>
          <w:sz w:val="24"/>
          <w:szCs w:val="24"/>
        </w:rPr>
        <w:t>559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B0897">
        <w:rPr>
          <w:rFonts w:ascii="Times New Roman" w:hAnsi="Times New Roman"/>
          <w:b/>
          <w:i/>
          <w:sz w:val="24"/>
          <w:szCs w:val="24"/>
        </w:rPr>
        <w:t>793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4436E6">
        <w:rPr>
          <w:rFonts w:ascii="Times New Roman" w:hAnsi="Times New Roman"/>
          <w:i/>
          <w:sz w:val="24"/>
          <w:szCs w:val="24"/>
        </w:rPr>
        <w:t>, azaz</w:t>
      </w:r>
    </w:p>
    <w:p w:rsidR="004436E6" w:rsidRPr="004436E6" w:rsidRDefault="007C249D" w:rsidP="004436E6">
      <w:pPr>
        <w:widowControl w:val="0"/>
        <w:spacing w:after="0" w:line="240" w:lineRule="auto"/>
        <w:ind w:left="1275" w:right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harminc</w:t>
      </w:r>
      <w:r w:rsidR="003B0897">
        <w:rPr>
          <w:rFonts w:ascii="Times New Roman" w:hAnsi="Times New Roman"/>
          <w:i/>
          <w:sz w:val="24"/>
          <w:szCs w:val="24"/>
        </w:rPr>
        <w:t>nyolc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3B0897">
        <w:rPr>
          <w:rFonts w:ascii="Times New Roman" w:hAnsi="Times New Roman"/>
          <w:i/>
          <w:sz w:val="24"/>
          <w:szCs w:val="24"/>
        </w:rPr>
        <w:t>öt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3B0897">
        <w:rPr>
          <w:rFonts w:ascii="Times New Roman" w:hAnsi="Times New Roman"/>
          <w:i/>
          <w:sz w:val="24"/>
          <w:szCs w:val="24"/>
        </w:rPr>
        <w:t>ötvenkilenc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3B0897">
        <w:rPr>
          <w:rFonts w:ascii="Times New Roman" w:hAnsi="Times New Roman"/>
          <w:i/>
          <w:sz w:val="24"/>
          <w:szCs w:val="24"/>
        </w:rPr>
        <w:t>hét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3B0897">
        <w:rPr>
          <w:rFonts w:ascii="Times New Roman" w:hAnsi="Times New Roman"/>
          <w:i/>
          <w:sz w:val="24"/>
          <w:szCs w:val="24"/>
        </w:rPr>
        <w:t>kilencvenhárom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e) finanszírozási kiadások és bevételek az Áht. 6. § (7) bekezdés a) pont ad) alpontja szerinti: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ea) az irányító szervi támogatás finanszírozási 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>9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960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711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26D67" w:rsidRPr="004436E6">
        <w:rPr>
          <w:rFonts w:ascii="Times New Roman" w:hAnsi="Times New Roman"/>
          <w:i/>
          <w:sz w:val="24"/>
          <w:szCs w:val="24"/>
        </w:rPr>
        <w:t>azaz</w:t>
      </w:r>
    </w:p>
    <w:p w:rsidR="00C26D67" w:rsidRPr="004436E6" w:rsidRDefault="00C26D67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9B3C94"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</w:t>
      </w:r>
      <w:r w:rsidR="009B3C94">
        <w:rPr>
          <w:rFonts w:ascii="Times New Roman" w:hAnsi="Times New Roman"/>
          <w:i/>
          <w:sz w:val="24"/>
          <w:szCs w:val="24"/>
        </w:rPr>
        <w:t>hatvan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9B3C94"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9B3C94">
        <w:rPr>
          <w:rFonts w:ascii="Times New Roman" w:hAnsi="Times New Roman"/>
          <w:i/>
          <w:sz w:val="24"/>
          <w:szCs w:val="24"/>
        </w:rPr>
        <w:t>tizenegy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eb) az irányító szervi támogatás folyósításának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finanszírozási előirányzatát 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>9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960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711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9B3C94" w:rsidRPr="004436E6">
        <w:rPr>
          <w:rFonts w:ascii="Times New Roman" w:hAnsi="Times New Roman"/>
          <w:i/>
          <w:sz w:val="24"/>
          <w:szCs w:val="24"/>
        </w:rPr>
        <w:t>azaz</w:t>
      </w:r>
    </w:p>
    <w:p w:rsidR="009B3C94" w:rsidRPr="004436E6" w:rsidRDefault="009B3C94" w:rsidP="009B3C94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zázhatvan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 xml:space="preserve">tizenegy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Default="004436E6" w:rsidP="00E96FC7">
      <w:pPr>
        <w:widowControl w:val="0"/>
        <w:tabs>
          <w:tab w:val="right" w:pos="8220"/>
        </w:tabs>
        <w:spacing w:after="0" w:line="240" w:lineRule="auto"/>
        <w:ind w:left="1275" w:right="855"/>
        <w:rPr>
          <w:rFonts w:ascii="Times New Roman" w:hAnsi="Times New Roman"/>
          <w:b/>
          <w:i/>
          <w:sz w:val="24"/>
          <w:szCs w:val="24"/>
        </w:rPr>
      </w:pPr>
    </w:p>
    <w:p w:rsidR="00350E86" w:rsidRPr="004436E6" w:rsidRDefault="00350E86" w:rsidP="00350E8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f) </w:t>
      </w:r>
      <w:r w:rsidRPr="007D4F7C">
        <w:rPr>
          <w:rFonts w:ascii="Times New Roman" w:hAnsi="Times New Roman"/>
          <w:b/>
          <w:i/>
          <w:sz w:val="24"/>
          <w:szCs w:val="24"/>
        </w:rPr>
        <w:t>államháztartáson belüli megelőlegezés</w:t>
      </w:r>
      <w:r>
        <w:rPr>
          <w:rFonts w:ascii="Times New Roman" w:hAnsi="Times New Roman"/>
          <w:b/>
          <w:i/>
          <w:sz w:val="24"/>
          <w:szCs w:val="24"/>
        </w:rPr>
        <w:t>ek</w:t>
      </w:r>
      <w:r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</w:p>
    <w:p w:rsidR="00350E86" w:rsidRPr="004436E6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>454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372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350E86" w:rsidRPr="004436E6" w:rsidRDefault="009B3C94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négy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ötvennégy</w:t>
      </w:r>
      <w:r w:rsidR="00350E8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három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hetvenkettő</w:t>
      </w:r>
      <w:r w:rsidR="00350E8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50E8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g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</w:t>
      </w:r>
    </w:p>
    <w:p w:rsidR="004436E6" w:rsidRPr="004436E6" w:rsidRDefault="003B0897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566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752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4436E6" w:rsidRPr="004436E6" w:rsidRDefault="003B0897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öt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hatvanhat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hét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ötvenkettő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h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) a bevételi előirányzatok főösszegét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 xml:space="preserve"> 49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087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256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C26D67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negyven</w:t>
      </w:r>
      <w:r w:rsidR="009B3C94">
        <w:rPr>
          <w:rFonts w:ascii="Times New Roman" w:hAnsi="Times New Roman"/>
          <w:i/>
          <w:sz w:val="24"/>
          <w:szCs w:val="24"/>
        </w:rPr>
        <w:t>kilenc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9B3C94">
        <w:rPr>
          <w:rFonts w:ascii="Times New Roman" w:hAnsi="Times New Roman"/>
          <w:i/>
          <w:sz w:val="24"/>
          <w:szCs w:val="24"/>
        </w:rPr>
        <w:t>nyolcvanhét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9B3C94">
        <w:rPr>
          <w:rFonts w:ascii="Times New Roman" w:hAnsi="Times New Roman"/>
          <w:i/>
          <w:sz w:val="24"/>
          <w:szCs w:val="24"/>
        </w:rPr>
        <w:t>kettő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9B3C94">
        <w:rPr>
          <w:rFonts w:ascii="Times New Roman" w:hAnsi="Times New Roman"/>
          <w:i/>
          <w:sz w:val="24"/>
          <w:szCs w:val="24"/>
        </w:rPr>
        <w:t>ötvenhat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) a kiadási előirányzatok főösszegét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B3C94">
        <w:rPr>
          <w:rFonts w:ascii="Times New Roman" w:hAnsi="Times New Roman"/>
          <w:b/>
          <w:i/>
          <w:sz w:val="24"/>
          <w:szCs w:val="24"/>
        </w:rPr>
        <w:t>49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087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256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9B3C94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9B3C94" w:rsidRPr="004436E6" w:rsidRDefault="009B3C94" w:rsidP="009B3C94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negyvenkilenc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nyolcvanhét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kettő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ötvenhat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állapítja meg.</w:t>
      </w:r>
    </w:p>
    <w:p w:rsidR="008B25EF" w:rsidRDefault="008B25EF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86EDC" w:rsidRPr="00086EDC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t>(2) Az (1) bekezdés a) pontjában megállapított költségvetési bevételi előirányzatát, továbbá a b) pontjában megállapított belső finanszírozású tételek, az ea) pont szerinti finanszírozási bevételek és a g) pont szerinti bevételi főösszeg előirányzat-csoportonkénti és kiemelt előirányzatonkénti összegeit az 1. melléklet szerint határozza meg.</w:t>
      </w:r>
    </w:p>
    <w:p w:rsidR="00086EDC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086EDC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t>(3) Az (1) bekezdés d) pontjában megállapított költségvetési kiadási előirányzatát, továbbá az eb) pontjában megállapított finanszírozási kiadások, az f) pontjában megállapított államháztartáson belüli megelőlegezés visszafizetése előirányzatát és a h) pont szerinti kiadási főösszeg előirányzat-csoportonkénti összegeit a 4. melléklet szerint határozza meg.</w:t>
      </w:r>
    </w:p>
    <w:p w:rsidR="00086EDC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086EDC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t>(4) Az (1) bekezdésben megállapított főösszegen belül a helyi önkormányzat összesített költségvetési mérlegét - működési és a felhalmozási bevételi és kiadási előirányzatokat egymástól elkülönítetten, a finanszírozási bevételeket és kiadásokat is figyelembe véve - tájékoztató jelleggel a 21. melléklet tartalmazza.</w:t>
      </w:r>
    </w:p>
    <w:p w:rsidR="00086EDC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086EDC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lastRenderedPageBreak/>
        <w:t>(5) Az (1) bekezdésben megállapított bevételi és kiadási főösszeg várható teljesüléséről készített előirányzat felhasználási tervet a 23. melléklet tartalmazza.</w:t>
      </w:r>
    </w:p>
    <w:p w:rsidR="00086EDC" w:rsidRPr="000C18AE" w:rsidRDefault="00086EDC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41993" w:rsidRPr="0033463B" w:rsidRDefault="00657991" w:rsidP="00E41993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33463B">
        <w:rPr>
          <w:rFonts w:ascii="Times New Roman" w:hAnsi="Times New Roman"/>
          <w:i/>
          <w:sz w:val="24"/>
          <w:szCs w:val="24"/>
        </w:rPr>
        <w:t xml:space="preserve">(6) </w:t>
      </w:r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>Az (1) bekezdés b) pontjában megállapított, az Áht. 23. § (2) bekezdés d) pontja és a 6. § (7) bekezdés a) pont ac) alpont szerinti belső finanszírozás, a költség</w:t>
      </w:r>
      <w:r w:rsidR="004C22EA" w:rsidRPr="0033463B">
        <w:rPr>
          <w:rFonts w:ascii="Times New Roman" w:eastAsia="Arial" w:hAnsi="Times New Roman" w:cs="Arial"/>
          <w:i/>
          <w:sz w:val="24"/>
          <w:szCs w:val="24"/>
        </w:rPr>
        <w:t xml:space="preserve">vetési maradvány igénybevétele </w:t>
      </w:r>
      <w:r w:rsidR="00ED1CDF" w:rsidRPr="0033463B">
        <w:rPr>
          <w:rFonts w:ascii="Times New Roman" w:eastAsia="Arial" w:hAnsi="Times New Roman" w:cs="Arial"/>
          <w:i/>
          <w:sz w:val="24"/>
          <w:szCs w:val="24"/>
        </w:rPr>
        <w:t>3</w:t>
      </w:r>
      <w:r w:rsidR="00644689" w:rsidRPr="0033463B">
        <w:rPr>
          <w:rFonts w:ascii="Times New Roman" w:eastAsia="Arial" w:hAnsi="Times New Roman" w:cs="Arial"/>
          <w:i/>
          <w:sz w:val="24"/>
          <w:szCs w:val="24"/>
        </w:rPr>
        <w:t>.</w:t>
      </w:r>
      <w:r w:rsidR="00ED1CDF" w:rsidRPr="0033463B">
        <w:rPr>
          <w:rFonts w:ascii="Times New Roman" w:eastAsia="Arial" w:hAnsi="Times New Roman" w:cs="Arial"/>
          <w:i/>
          <w:sz w:val="24"/>
          <w:szCs w:val="24"/>
        </w:rPr>
        <w:t>198</w:t>
      </w:r>
      <w:r w:rsidR="00C4061E" w:rsidRPr="0033463B">
        <w:rPr>
          <w:rFonts w:ascii="Times New Roman" w:hAnsi="Times New Roman"/>
          <w:i/>
          <w:sz w:val="24"/>
          <w:szCs w:val="24"/>
        </w:rPr>
        <w:t>.</w:t>
      </w:r>
      <w:r w:rsidR="00ED1CDF" w:rsidRPr="0033463B">
        <w:rPr>
          <w:rFonts w:ascii="Times New Roman" w:hAnsi="Times New Roman"/>
          <w:i/>
          <w:sz w:val="24"/>
          <w:szCs w:val="24"/>
        </w:rPr>
        <w:t>812</w:t>
      </w:r>
      <w:r w:rsidR="00C4061E" w:rsidRPr="0033463B">
        <w:rPr>
          <w:rFonts w:ascii="Times New Roman" w:hAnsi="Times New Roman"/>
          <w:i/>
          <w:sz w:val="24"/>
          <w:szCs w:val="24"/>
        </w:rPr>
        <w:t xml:space="preserve"> ezer Ft</w:t>
      </w:r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>, az Áht. 6. § (7) bekezdés a) pont ab) alpont szerinti lekö</w:t>
      </w:r>
      <w:r w:rsidR="004C22EA" w:rsidRPr="0033463B">
        <w:rPr>
          <w:rFonts w:ascii="Times New Roman" w:eastAsia="Arial" w:hAnsi="Times New Roman" w:cs="Arial"/>
          <w:i/>
          <w:sz w:val="24"/>
          <w:szCs w:val="24"/>
        </w:rPr>
        <w:t xml:space="preserve">tött bankbetétek megszüntetése </w:t>
      </w:r>
      <w:r w:rsidR="00ED1CDF" w:rsidRPr="0033463B">
        <w:rPr>
          <w:rFonts w:ascii="Times New Roman" w:hAnsi="Times New Roman"/>
          <w:i/>
          <w:sz w:val="24"/>
          <w:szCs w:val="24"/>
        </w:rPr>
        <w:t>7</w:t>
      </w:r>
      <w:r w:rsidR="00C4061E" w:rsidRPr="0033463B">
        <w:rPr>
          <w:rFonts w:ascii="Times New Roman" w:hAnsi="Times New Roman"/>
          <w:i/>
          <w:sz w:val="24"/>
          <w:szCs w:val="24"/>
        </w:rPr>
        <w:t>.</w:t>
      </w:r>
      <w:r w:rsidR="00ED1CDF" w:rsidRPr="0033463B">
        <w:rPr>
          <w:rFonts w:ascii="Times New Roman" w:hAnsi="Times New Roman"/>
          <w:i/>
          <w:sz w:val="24"/>
          <w:szCs w:val="24"/>
        </w:rPr>
        <w:t>871</w:t>
      </w:r>
      <w:r w:rsidR="00C4061E" w:rsidRPr="0033463B">
        <w:rPr>
          <w:rFonts w:ascii="Times New Roman" w:hAnsi="Times New Roman"/>
          <w:i/>
          <w:sz w:val="24"/>
          <w:szCs w:val="24"/>
        </w:rPr>
        <w:t>.</w:t>
      </w:r>
      <w:r w:rsidR="00ED1CDF" w:rsidRPr="0033463B">
        <w:rPr>
          <w:rFonts w:ascii="Times New Roman" w:hAnsi="Times New Roman"/>
          <w:i/>
          <w:sz w:val="24"/>
          <w:szCs w:val="24"/>
        </w:rPr>
        <w:t>688</w:t>
      </w:r>
      <w:r w:rsidR="00C4061E" w:rsidRPr="0033463B">
        <w:rPr>
          <w:rFonts w:ascii="Times New Roman" w:hAnsi="Times New Roman"/>
          <w:i/>
          <w:sz w:val="24"/>
          <w:szCs w:val="24"/>
        </w:rPr>
        <w:t xml:space="preserve"> ezer Ft</w:t>
      </w:r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>.</w:t>
      </w:r>
    </w:p>
    <w:p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6EDC" w:rsidRPr="00086EDC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t>(7) A (6) bekezdés szerinti tervezett költségvetési maradvány igénybevételét és a lekötött bankbetétek megszüntetéséből származó bevétel felhasználási cél szerinti tagolásban a 22. melléklet határozza meg.</w:t>
      </w:r>
      <w:r w:rsidR="0033463B">
        <w:rPr>
          <w:rFonts w:ascii="Times New Roman" w:hAnsi="Times New Roman"/>
          <w:sz w:val="24"/>
          <w:szCs w:val="24"/>
        </w:rPr>
        <w:t>”</w:t>
      </w:r>
    </w:p>
    <w:p w:rsidR="00086EDC" w:rsidRPr="00B64A51" w:rsidRDefault="00086EDC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B64A51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B64A51" w:rsidRDefault="00434BF6" w:rsidP="000E1DC2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Ör.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>. §</w:t>
      </w:r>
      <w:r w:rsidR="003F72A4" w:rsidRPr="00B64A51">
        <w:rPr>
          <w:rFonts w:ascii="Times New Roman" w:hAnsi="Times New Roman"/>
          <w:sz w:val="24"/>
          <w:szCs w:val="24"/>
        </w:rPr>
        <w:t xml:space="preserve">-a </w:t>
      </w:r>
      <w:r w:rsidRPr="00B64A51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B64A51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C4061E" w:rsidRPr="00B64A51" w:rsidRDefault="00C4061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E2071" w:rsidRPr="008E2071" w:rsidRDefault="008E2071" w:rsidP="008E2071">
      <w:pPr>
        <w:widowControl w:val="0"/>
        <w:tabs>
          <w:tab w:val="left" w:pos="855"/>
        </w:tabs>
        <w:autoSpaceDE w:val="0"/>
        <w:autoSpaceDN w:val="0"/>
        <w:adjustRightInd w:val="0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A40F7A">
        <w:rPr>
          <w:rFonts w:ascii="Times New Roman" w:hAnsi="Times New Roman"/>
          <w:sz w:val="24"/>
          <w:szCs w:val="24"/>
        </w:rPr>
        <w:t xml:space="preserve">(1) </w:t>
      </w:r>
      <w:r w:rsidRPr="00A40F7A">
        <w:rPr>
          <w:rFonts w:ascii="Times New Roman" w:hAnsi="Times New Roman"/>
          <w:sz w:val="24"/>
          <w:szCs w:val="24"/>
        </w:rPr>
        <w:tab/>
      </w:r>
      <w:r w:rsidRPr="00A40F7A">
        <w:rPr>
          <w:rFonts w:ascii="Times New Roman" w:hAnsi="Times New Roman"/>
          <w:sz w:val="24"/>
          <w:szCs w:val="24"/>
          <w:lang w:val="x-none"/>
        </w:rPr>
        <w:t>Az 1. §</w:t>
      </w:r>
      <w:r w:rsidRPr="00A40F7A">
        <w:rPr>
          <w:rFonts w:ascii="Times New Roman" w:hAnsi="Times New Roman"/>
          <w:sz w:val="24"/>
          <w:szCs w:val="24"/>
        </w:rPr>
        <w:t xml:space="preserve"> (2) bekezdésében</w:t>
      </w:r>
      <w:r w:rsidRPr="00A40F7A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A40F7A">
        <w:rPr>
          <w:rFonts w:ascii="Times New Roman" w:hAnsi="Times New Roman"/>
          <w:sz w:val="24"/>
          <w:szCs w:val="24"/>
        </w:rPr>
        <w:t xml:space="preserve">kiemelt </w:t>
      </w:r>
      <w:r w:rsidRPr="00A40F7A">
        <w:rPr>
          <w:rFonts w:ascii="Times New Roman" w:hAnsi="Times New Roman"/>
          <w:sz w:val="24"/>
          <w:szCs w:val="24"/>
          <w:lang w:val="x-none"/>
        </w:rPr>
        <w:t xml:space="preserve">előirányzatok a Magyarország 2024. évi központi költségvetéséről szóló </w:t>
      </w:r>
      <w:r w:rsidRPr="00A40F7A">
        <w:rPr>
          <w:rFonts w:ascii="Times New Roman" w:hAnsi="Times New Roman"/>
          <w:sz w:val="24"/>
          <w:szCs w:val="24"/>
        </w:rPr>
        <w:t xml:space="preserve">2023. évi LV. </w:t>
      </w:r>
      <w:r w:rsidRPr="00A40F7A">
        <w:rPr>
          <w:rFonts w:ascii="Times New Roman" w:hAnsi="Times New Roman"/>
          <w:sz w:val="24"/>
          <w:szCs w:val="24"/>
          <w:lang w:val="x-none"/>
        </w:rPr>
        <w:t>törvény</w:t>
      </w:r>
      <w:r w:rsidRPr="00A40F7A">
        <w:rPr>
          <w:rFonts w:ascii="Times New Roman" w:hAnsi="Times New Roman"/>
          <w:sz w:val="24"/>
          <w:szCs w:val="24"/>
        </w:rPr>
        <w:t xml:space="preserve"> </w:t>
      </w:r>
      <w:r w:rsidRPr="00A40F7A">
        <w:rPr>
          <w:rFonts w:ascii="Times New Roman" w:hAnsi="Times New Roman"/>
          <w:sz w:val="24"/>
          <w:szCs w:val="24"/>
          <w:lang w:val="x-none"/>
        </w:rPr>
        <w:t>(továbbiakban</w:t>
      </w:r>
      <w:r w:rsidRPr="00A40F7A">
        <w:rPr>
          <w:rFonts w:ascii="Times New Roman" w:hAnsi="Times New Roman"/>
          <w:sz w:val="24"/>
          <w:szCs w:val="24"/>
        </w:rPr>
        <w:t>: költségvetési törvény</w:t>
      </w:r>
      <w:r w:rsidRPr="00A40F7A">
        <w:rPr>
          <w:rFonts w:ascii="Times New Roman" w:hAnsi="Times New Roman"/>
          <w:sz w:val="24"/>
          <w:szCs w:val="24"/>
          <w:lang w:val="x-none"/>
        </w:rPr>
        <w:t>)</w:t>
      </w:r>
      <w:r w:rsidRPr="00A40F7A">
        <w:rPr>
          <w:rFonts w:ascii="Times New Roman" w:hAnsi="Times New Roman"/>
          <w:sz w:val="24"/>
          <w:szCs w:val="24"/>
        </w:rPr>
        <w:t xml:space="preserve"> 2. mellékletében</w:t>
      </w:r>
      <w:r w:rsidRPr="00A40F7A">
        <w:rPr>
          <w:rFonts w:ascii="Times New Roman" w:hAnsi="Times New Roman"/>
          <w:sz w:val="24"/>
          <w:szCs w:val="24"/>
          <w:lang w:val="x-none"/>
        </w:rPr>
        <w:t xml:space="preserve"> megállapított</w:t>
      </w:r>
      <w:r w:rsidRPr="00A40F7A">
        <w:rPr>
          <w:rFonts w:ascii="Times New Roman" w:hAnsi="Times New Roman"/>
          <w:sz w:val="24"/>
          <w:szCs w:val="24"/>
        </w:rPr>
        <w:t>,</w:t>
      </w:r>
      <w:r w:rsidRPr="00A40F7A">
        <w:rPr>
          <w:rFonts w:ascii="Times New Roman" w:hAnsi="Times New Roman"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8E2071" w:rsidRPr="00A40F7A" w:rsidRDefault="008E2071" w:rsidP="008E2071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 xml:space="preserve">a)  Települési önkormányzatok egyes köznevelési </w:t>
      </w:r>
    </w:p>
    <w:p w:rsidR="008E2071" w:rsidRPr="00A40F7A" w:rsidRDefault="008E2071" w:rsidP="008E2071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>feladatainak támogatása                                                             1.050.326.620 Ft,</w:t>
      </w:r>
      <w:r w:rsidRPr="00A40F7A">
        <w:rPr>
          <w:rFonts w:ascii="Times New Roman" w:hAnsi="Times New Roman"/>
          <w:i/>
          <w:sz w:val="24"/>
          <w:szCs w:val="24"/>
        </w:rPr>
        <w:tab/>
      </w:r>
    </w:p>
    <w:p w:rsidR="008E2071" w:rsidRPr="00A40F7A" w:rsidRDefault="008E2071" w:rsidP="008E2071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8E2071" w:rsidRPr="00A40F7A" w:rsidRDefault="008E2071" w:rsidP="008E2071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 xml:space="preserve"> </w:t>
      </w:r>
      <w:r w:rsidRPr="00A40F7A">
        <w:rPr>
          <w:rFonts w:ascii="Times New Roman" w:hAnsi="Times New Roman"/>
          <w:i/>
          <w:sz w:val="24"/>
          <w:szCs w:val="24"/>
        </w:rPr>
        <w:tab/>
      </w:r>
      <w:r w:rsidRPr="00A40F7A">
        <w:rPr>
          <w:rFonts w:ascii="Times New Roman" w:hAnsi="Times New Roman"/>
          <w:i/>
          <w:sz w:val="24"/>
          <w:szCs w:val="24"/>
        </w:rPr>
        <w:tab/>
        <w:t>gyermekjóléti feladatainak támogatá</w:t>
      </w:r>
      <w:r w:rsidR="00A256F2">
        <w:rPr>
          <w:rFonts w:ascii="Times New Roman" w:hAnsi="Times New Roman"/>
          <w:i/>
          <w:sz w:val="24"/>
          <w:szCs w:val="24"/>
        </w:rPr>
        <w:t>sa</w:t>
      </w:r>
      <w:r w:rsidR="00A256F2">
        <w:rPr>
          <w:rFonts w:ascii="Times New Roman" w:hAnsi="Times New Roman"/>
          <w:i/>
          <w:sz w:val="24"/>
          <w:szCs w:val="24"/>
        </w:rPr>
        <w:tab/>
        <w:t>1</w:t>
      </w:r>
      <w:r w:rsidRPr="00A40F7A">
        <w:rPr>
          <w:rFonts w:ascii="Times New Roman" w:hAnsi="Times New Roman"/>
          <w:i/>
          <w:sz w:val="24"/>
          <w:szCs w:val="24"/>
        </w:rPr>
        <w:t>.</w:t>
      </w:r>
      <w:r w:rsidR="00A256F2">
        <w:rPr>
          <w:rFonts w:ascii="Times New Roman" w:hAnsi="Times New Roman"/>
          <w:i/>
          <w:sz w:val="24"/>
          <w:szCs w:val="24"/>
        </w:rPr>
        <w:t>125</w:t>
      </w:r>
      <w:r w:rsidRPr="00A40F7A">
        <w:rPr>
          <w:rFonts w:ascii="Times New Roman" w:hAnsi="Times New Roman"/>
          <w:i/>
          <w:sz w:val="24"/>
          <w:szCs w:val="24"/>
        </w:rPr>
        <w:t>.</w:t>
      </w:r>
      <w:r w:rsidR="00A256F2">
        <w:rPr>
          <w:rFonts w:ascii="Times New Roman" w:hAnsi="Times New Roman"/>
          <w:i/>
          <w:sz w:val="24"/>
          <w:szCs w:val="24"/>
        </w:rPr>
        <w:t>550</w:t>
      </w:r>
      <w:r w:rsidRPr="00A40F7A">
        <w:rPr>
          <w:rFonts w:ascii="Times New Roman" w:hAnsi="Times New Roman"/>
          <w:i/>
          <w:sz w:val="24"/>
          <w:szCs w:val="24"/>
        </w:rPr>
        <w:t>.</w:t>
      </w:r>
      <w:r w:rsidR="00A256F2">
        <w:rPr>
          <w:rFonts w:ascii="Times New Roman" w:hAnsi="Times New Roman"/>
          <w:i/>
          <w:sz w:val="24"/>
          <w:szCs w:val="24"/>
        </w:rPr>
        <w:t>516</w:t>
      </w:r>
      <w:r w:rsidRPr="00A40F7A">
        <w:rPr>
          <w:rFonts w:ascii="Times New Roman" w:hAnsi="Times New Roman"/>
          <w:i/>
          <w:sz w:val="24"/>
          <w:szCs w:val="24"/>
        </w:rPr>
        <w:t xml:space="preserve"> Ft,</w:t>
      </w:r>
    </w:p>
    <w:p w:rsidR="008E2071" w:rsidRPr="00A40F7A" w:rsidRDefault="008E2071" w:rsidP="008E2071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8E2071" w:rsidRPr="00A40F7A" w:rsidRDefault="008E2071" w:rsidP="008E2071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8E2071" w:rsidRPr="00A40F7A" w:rsidRDefault="008E2071" w:rsidP="008E2071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ab/>
      </w:r>
      <w:r w:rsidRPr="00A40F7A">
        <w:rPr>
          <w:rFonts w:ascii="Times New Roman" w:hAnsi="Times New Roman"/>
          <w:i/>
          <w:sz w:val="24"/>
          <w:szCs w:val="24"/>
        </w:rPr>
        <w:tab/>
        <w:t>feladata</w:t>
      </w:r>
      <w:r w:rsidR="00A256F2">
        <w:rPr>
          <w:rFonts w:ascii="Times New Roman" w:hAnsi="Times New Roman"/>
          <w:i/>
          <w:sz w:val="24"/>
          <w:szCs w:val="24"/>
        </w:rPr>
        <w:t xml:space="preserve">inak támogatása    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A40F7A">
        <w:rPr>
          <w:rFonts w:ascii="Times New Roman" w:hAnsi="Times New Roman"/>
          <w:i/>
          <w:sz w:val="24"/>
          <w:szCs w:val="24"/>
        </w:rPr>
        <w:t xml:space="preserve">         287.621.044 Ft,</w:t>
      </w:r>
    </w:p>
    <w:p w:rsidR="008E2071" w:rsidRPr="00A40F7A" w:rsidRDefault="008E2071" w:rsidP="008E2071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8E2071" w:rsidRPr="00A40F7A" w:rsidRDefault="008E2071" w:rsidP="008E2071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8E2071" w:rsidRPr="00A40F7A" w:rsidRDefault="008E2071" w:rsidP="008E2071">
      <w:pPr>
        <w:pStyle w:val="Listaszerbekezds"/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ab/>
        <w:t>feladatainak támogatása</w:t>
      </w:r>
      <w:r w:rsidRPr="00A40F7A">
        <w:rPr>
          <w:rFonts w:ascii="Times New Roman" w:hAnsi="Times New Roman"/>
          <w:i/>
          <w:sz w:val="24"/>
          <w:szCs w:val="24"/>
        </w:rPr>
        <w:tab/>
        <w:t>27.392.936 Ft.</w:t>
      </w:r>
    </w:p>
    <w:p w:rsidR="008E2071" w:rsidRPr="00A40F7A" w:rsidRDefault="008E2071" w:rsidP="008E2071">
      <w:pPr>
        <w:widowControl w:val="0"/>
        <w:tabs>
          <w:tab w:val="left" w:pos="855"/>
          <w:tab w:val="right" w:pos="9214"/>
        </w:tabs>
        <w:jc w:val="both"/>
        <w:rPr>
          <w:rFonts w:ascii="Times New Roman" w:hAnsi="Times New Roman"/>
          <w:sz w:val="24"/>
          <w:szCs w:val="24"/>
        </w:rPr>
      </w:pPr>
    </w:p>
    <w:p w:rsidR="003F72A4" w:rsidRPr="008E2071" w:rsidRDefault="008E2071" w:rsidP="008E2071">
      <w:pPr>
        <w:widowControl w:val="0"/>
        <w:tabs>
          <w:tab w:val="left" w:pos="855"/>
        </w:tabs>
        <w:ind w:left="705" w:hanging="420"/>
        <w:jc w:val="both"/>
      </w:pPr>
      <w:r w:rsidRPr="00A40F7A">
        <w:rPr>
          <w:rFonts w:ascii="Times New Roman" w:hAnsi="Times New Roman"/>
          <w:sz w:val="24"/>
          <w:szCs w:val="24"/>
        </w:rPr>
        <w:t xml:space="preserve">(2) </w:t>
      </w:r>
      <w:r w:rsidRPr="00A40F7A">
        <w:rPr>
          <w:rFonts w:ascii="Times New Roman" w:hAnsi="Times New Roman"/>
          <w:sz w:val="24"/>
          <w:szCs w:val="24"/>
        </w:rPr>
        <w:tab/>
        <w:t xml:space="preserve">A központi költségvetésből származó támogatások kizárólag a költségvetési törvény 2. mellékletében szabályozott módon </w:t>
      </w:r>
      <w:r>
        <w:rPr>
          <w:rFonts w:ascii="Times New Roman" w:hAnsi="Times New Roman"/>
          <w:sz w:val="24"/>
          <w:szCs w:val="24"/>
        </w:rPr>
        <w:t>használhatók fel.”</w:t>
      </w: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B64A51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Pr="00B64A51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Ör. 6. § (2) </w:t>
      </w:r>
      <w:r w:rsidR="00B9388E" w:rsidRPr="00B64A51">
        <w:rPr>
          <w:rFonts w:ascii="Times New Roman" w:hAnsi="Times New Roman"/>
          <w:sz w:val="24"/>
          <w:szCs w:val="24"/>
        </w:rPr>
        <w:t xml:space="preserve">és (3) </w:t>
      </w:r>
      <w:r w:rsidRPr="00B64A51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B64A51">
        <w:rPr>
          <w:rFonts w:ascii="Times New Roman" w:hAnsi="Times New Roman"/>
          <w:sz w:val="24"/>
          <w:szCs w:val="24"/>
        </w:rPr>
        <w:t>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B64A51">
        <w:rPr>
          <w:rFonts w:ascii="Times New Roman" w:hAnsi="Times New Roman"/>
          <w:sz w:val="24"/>
          <w:szCs w:val="24"/>
        </w:rPr>
        <w:t xml:space="preserve">ek </w:t>
      </w:r>
      <w:r w:rsidRPr="00B64A51">
        <w:rPr>
          <w:rFonts w:ascii="Times New Roman" w:hAnsi="Times New Roman"/>
          <w:sz w:val="24"/>
          <w:szCs w:val="24"/>
        </w:rPr>
        <w:t>lép</w:t>
      </w:r>
      <w:r w:rsidR="00B9388E" w:rsidRPr="00B64A51">
        <w:rPr>
          <w:rFonts w:ascii="Times New Roman" w:hAnsi="Times New Roman"/>
          <w:sz w:val="24"/>
          <w:szCs w:val="24"/>
        </w:rPr>
        <w:t>nek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B64A51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</w:rPr>
        <w:t>„(2)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DB6A24">
        <w:rPr>
          <w:rFonts w:ascii="Times New Roman" w:hAnsi="Times New Roman"/>
          <w:i/>
          <w:sz w:val="24"/>
          <w:szCs w:val="24"/>
        </w:rPr>
        <w:t>2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641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547</w:t>
      </w:r>
      <w:r w:rsidR="00782301">
        <w:rPr>
          <w:rFonts w:ascii="Times New Roman" w:hAnsi="Times New Roman"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ezer Ft, felhalmozási előirányzata </w:t>
      </w:r>
      <w:r w:rsidR="00DB6A24">
        <w:rPr>
          <w:rFonts w:ascii="Times New Roman" w:hAnsi="Times New Roman"/>
          <w:i/>
          <w:sz w:val="24"/>
          <w:szCs w:val="24"/>
        </w:rPr>
        <w:t>2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823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2</w:t>
      </w:r>
      <w:r w:rsidR="000C18AE">
        <w:rPr>
          <w:rFonts w:ascii="Times New Roman" w:hAnsi="Times New Roman"/>
          <w:i/>
          <w:sz w:val="24"/>
          <w:szCs w:val="24"/>
        </w:rPr>
        <w:t>23</w:t>
      </w:r>
      <w:r w:rsidR="00782301"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>ezer Ft.</w:t>
      </w:r>
    </w:p>
    <w:p w:rsidR="00C4061E" w:rsidRPr="00782301" w:rsidRDefault="00C4061E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i/>
        </w:rPr>
      </w:pPr>
      <w:r w:rsidRPr="00782301">
        <w:rPr>
          <w:rFonts w:ascii="Times New Roman" w:hAnsi="Times New Roman"/>
          <w:i/>
          <w:sz w:val="24"/>
          <w:szCs w:val="24"/>
        </w:rPr>
        <w:t>(3)</w:t>
      </w:r>
      <w:r w:rsidRPr="007823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b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</w:rPr>
        <w:t xml:space="preserve">A jóváhagyott kiadásból: 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DB6A24">
        <w:rPr>
          <w:rFonts w:ascii="Times New Roman" w:hAnsi="Times New Roman"/>
          <w:i/>
          <w:sz w:val="24"/>
          <w:szCs w:val="24"/>
        </w:rPr>
        <w:t>2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535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068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DB6A24">
        <w:rPr>
          <w:rFonts w:ascii="Times New Roman" w:hAnsi="Times New Roman"/>
          <w:i/>
          <w:sz w:val="24"/>
          <w:szCs w:val="24"/>
        </w:rPr>
        <w:t>1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918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9</w:t>
      </w:r>
      <w:r w:rsidR="000C18AE">
        <w:rPr>
          <w:rFonts w:ascii="Times New Roman" w:hAnsi="Times New Roman"/>
          <w:i/>
          <w:sz w:val="24"/>
          <w:szCs w:val="24"/>
        </w:rPr>
        <w:t>24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782301">
        <w:rPr>
          <w:rFonts w:ascii="Times New Roman" w:hAnsi="Times New Roman"/>
          <w:i/>
          <w:sz w:val="24"/>
          <w:szCs w:val="24"/>
        </w:rPr>
        <w:t>,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yellow"/>
          <w:lang w:val="x-none"/>
        </w:rPr>
      </w:pPr>
    </w:p>
    <w:p w:rsidR="00E84A2C" w:rsidRPr="00E96FC7" w:rsidRDefault="00C4061E" w:rsidP="00E96FC7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560" w:hanging="436"/>
        <w:jc w:val="both"/>
        <w:rPr>
          <w:rFonts w:ascii="Times New Roman" w:hAnsi="Times New Roman"/>
          <w:i/>
          <w:sz w:val="24"/>
          <w:szCs w:val="24"/>
        </w:rPr>
      </w:pPr>
      <w:r w:rsidRPr="00E96FC7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Pr="00E96FC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E96FC7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DB6A24" w:rsidRPr="00E96FC7">
        <w:rPr>
          <w:rFonts w:ascii="Times New Roman" w:hAnsi="Times New Roman"/>
          <w:i/>
          <w:sz w:val="24"/>
          <w:szCs w:val="24"/>
        </w:rPr>
        <w:t>106</w:t>
      </w:r>
      <w:r w:rsidRPr="00E96FC7">
        <w:rPr>
          <w:rFonts w:ascii="Times New Roman" w:hAnsi="Times New Roman"/>
          <w:i/>
          <w:sz w:val="24"/>
          <w:szCs w:val="24"/>
        </w:rPr>
        <w:t>.</w:t>
      </w:r>
      <w:r w:rsidR="00DB6A24" w:rsidRPr="00E96FC7">
        <w:rPr>
          <w:rFonts w:ascii="Times New Roman" w:hAnsi="Times New Roman"/>
          <w:i/>
          <w:sz w:val="24"/>
          <w:szCs w:val="24"/>
        </w:rPr>
        <w:t>479</w:t>
      </w:r>
      <w:r w:rsidRPr="00E96FC7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DB6A24" w:rsidRPr="00E96FC7">
        <w:rPr>
          <w:rFonts w:ascii="Times New Roman" w:hAnsi="Times New Roman"/>
          <w:i/>
          <w:sz w:val="24"/>
          <w:szCs w:val="24"/>
        </w:rPr>
        <w:t>904</w:t>
      </w:r>
      <w:r w:rsidRPr="00E96FC7">
        <w:rPr>
          <w:rFonts w:ascii="Times New Roman" w:hAnsi="Times New Roman"/>
          <w:i/>
          <w:sz w:val="24"/>
          <w:szCs w:val="24"/>
        </w:rPr>
        <w:t>.</w:t>
      </w:r>
      <w:r w:rsidR="00DB6A24" w:rsidRPr="00E96FC7">
        <w:rPr>
          <w:rFonts w:ascii="Times New Roman" w:hAnsi="Times New Roman"/>
          <w:i/>
          <w:sz w:val="24"/>
          <w:szCs w:val="24"/>
        </w:rPr>
        <w:t>299</w:t>
      </w:r>
      <w:r w:rsidRPr="00E96FC7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Pr="00E96FC7">
        <w:rPr>
          <w:rFonts w:ascii="Times New Roman" w:hAnsi="Times New Roman"/>
          <w:i/>
          <w:sz w:val="24"/>
          <w:szCs w:val="24"/>
        </w:rPr>
        <w:t>t.”</w:t>
      </w:r>
    </w:p>
    <w:p w:rsidR="00867B34" w:rsidRPr="00B64A51" w:rsidRDefault="00867B34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067DB1" w:rsidRPr="00B64A51" w:rsidRDefault="00067DB1" w:rsidP="00067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067DB1" w:rsidRDefault="00067DB1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067DB1" w:rsidRPr="00B64A51" w:rsidRDefault="00067DB1" w:rsidP="00067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D73599">
        <w:rPr>
          <w:rFonts w:ascii="Times New Roman" w:hAnsi="Times New Roman"/>
          <w:sz w:val="24"/>
          <w:szCs w:val="24"/>
        </w:rPr>
        <w:t xml:space="preserve">Ör. </w:t>
      </w:r>
      <w:r>
        <w:rPr>
          <w:rFonts w:ascii="Times New Roman" w:hAnsi="Times New Roman"/>
          <w:sz w:val="24"/>
          <w:szCs w:val="24"/>
        </w:rPr>
        <w:t>13</w:t>
      </w:r>
      <w:r w:rsidRPr="00D73599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4</w:t>
      </w:r>
      <w:r w:rsidRPr="00D73599">
        <w:rPr>
          <w:rFonts w:ascii="Times New Roman" w:hAnsi="Times New Roman"/>
          <w:sz w:val="24"/>
          <w:szCs w:val="24"/>
        </w:rPr>
        <w:t>) bekezdése helyébe a következő rendelkezés lép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067DB1" w:rsidRDefault="00067DB1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067DB1" w:rsidRPr="00D73599" w:rsidRDefault="00F878F5" w:rsidP="00067DB1">
      <w:pPr>
        <w:widowControl w:val="0"/>
        <w:ind w:left="705" w:hanging="420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067DB1" w:rsidRPr="00D73599">
        <w:rPr>
          <w:rFonts w:ascii="Times New Roman" w:hAnsi="Times New Roman"/>
          <w:i/>
          <w:sz w:val="24"/>
          <w:szCs w:val="24"/>
        </w:rPr>
        <w:t xml:space="preserve">(4) </w:t>
      </w:r>
      <w:r w:rsidR="00067DB1" w:rsidRPr="00D73599">
        <w:rPr>
          <w:rFonts w:ascii="Times New Roman" w:hAnsi="Times New Roman"/>
          <w:i/>
          <w:sz w:val="24"/>
          <w:szCs w:val="24"/>
        </w:rPr>
        <w:tab/>
        <w:t xml:space="preserve">Az Önkormányzat e rendeletében biztosított jogkörében a Pénzügyi és Kerületfejlesztési Bizottság dönt a </w:t>
      </w:r>
      <w:r w:rsidR="00067DB1" w:rsidRPr="00D73599">
        <w:rPr>
          <w:rFonts w:ascii="Times New Roman" w:hAnsi="Times New Roman"/>
          <w:b/>
          <w:i/>
          <w:sz w:val="24"/>
          <w:szCs w:val="24"/>
        </w:rPr>
        <w:t xml:space="preserve">„6501 Egyéb felhalmozási célú támogatások államháztartáson kívülre” cím Társasházi közgyűlés határozata alapján célbefizetés </w:t>
      </w:r>
      <w:r w:rsidR="00067DB1" w:rsidRPr="00D73599">
        <w:rPr>
          <w:rFonts w:ascii="Times New Roman" w:hAnsi="Times New Roman"/>
          <w:i/>
          <w:sz w:val="24"/>
          <w:szCs w:val="24"/>
        </w:rPr>
        <w:t xml:space="preserve">100 ezer Ft feletti befizetéshez kapcsolódó előirányzat, valamint a </w:t>
      </w:r>
      <w:r w:rsidR="00067DB1" w:rsidRPr="00D73599">
        <w:rPr>
          <w:rFonts w:ascii="Times New Roman" w:hAnsi="Times New Roman"/>
          <w:b/>
          <w:i/>
          <w:sz w:val="24"/>
          <w:szCs w:val="24"/>
        </w:rPr>
        <w:t>Parkolóhely megváltásból származó bevétellel összefüggő társasház felújítási pályázat</w:t>
      </w:r>
      <w:r w:rsidR="00067DB1" w:rsidRPr="00D73599">
        <w:rPr>
          <w:rFonts w:ascii="Times New Roman" w:hAnsi="Times New Roman"/>
          <w:i/>
          <w:sz w:val="24"/>
          <w:szCs w:val="24"/>
        </w:rPr>
        <w:t xml:space="preserve"> előirányzat felhasználásáról.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067DB1" w:rsidRDefault="00067DB1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067DB1" w:rsidRPr="00B64A51" w:rsidRDefault="00067DB1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B64A51" w:rsidRDefault="00067DB1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(1)  Az Ör</w:t>
      </w:r>
      <w:r w:rsidRPr="00B64A51">
        <w:rPr>
          <w:rFonts w:ascii="Times New Roman" w:hAnsi="Times New Roman"/>
          <w:sz w:val="24"/>
          <w:szCs w:val="24"/>
        </w:rPr>
        <w:t xml:space="preserve">. </w:t>
      </w:r>
      <w:r w:rsidRPr="00B64A51">
        <w:rPr>
          <w:rFonts w:ascii="Times New Roman" w:hAnsi="Times New Roman"/>
          <w:sz w:val="24"/>
          <w:szCs w:val="24"/>
          <w:lang w:val="x-none"/>
        </w:rPr>
        <w:t>1.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1.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="00AD1E39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>helyébe  a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77142A" w:rsidRPr="00B64A51" w:rsidRDefault="0077142A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Az Ör. </w:t>
      </w:r>
      <w:r w:rsidR="000C18AE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5E2621"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B64A51">
        <w:rPr>
          <w:rFonts w:ascii="Times New Roman" w:hAnsi="Times New Roman"/>
          <w:sz w:val="24"/>
          <w:szCs w:val="24"/>
        </w:rPr>
        <w:t xml:space="preserve"> helyébe </w:t>
      </w:r>
      <w:r w:rsidR="00224DA4" w:rsidRPr="00B64A51">
        <w:rPr>
          <w:rFonts w:ascii="Times New Roman" w:hAnsi="Times New Roman"/>
          <w:sz w:val="24"/>
          <w:szCs w:val="24"/>
        </w:rPr>
        <w:t xml:space="preserve">a </w:t>
      </w:r>
      <w:r w:rsidR="0077142A" w:rsidRPr="00B64A51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="003066BC" w:rsidRPr="00B64A51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DA5892" w:rsidRPr="00B64A51" w:rsidRDefault="00DA5892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71251" w:rsidRPr="00B64A51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0C18AE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B64A51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B64A51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B64A51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>
        <w:rPr>
          <w:rFonts w:ascii="Times New Roman" w:hAnsi="Times New Roman"/>
          <w:sz w:val="24"/>
          <w:szCs w:val="24"/>
        </w:rPr>
        <w:t>22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22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BD21E0" w:rsidRPr="00B64A51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067DB1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Pr="00A01DAA" w:rsidRDefault="00274DDF" w:rsidP="005B45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5B45EE" w:rsidRPr="00A01DAA">
        <w:rPr>
          <w:rFonts w:ascii="Times New Roman" w:hAnsi="Times New Roman"/>
          <w:sz w:val="24"/>
          <w:szCs w:val="24"/>
        </w:rPr>
        <w:t xml:space="preserve">atályát veszti a Budapest Főváros VII. kerület </w:t>
      </w:r>
      <w:r w:rsidR="004656D6">
        <w:rPr>
          <w:rFonts w:ascii="Times New Roman" w:hAnsi="Times New Roman"/>
          <w:sz w:val="24"/>
          <w:szCs w:val="24"/>
        </w:rPr>
        <w:t>Erzsébetváros Önkormányzata 2023. évi költségvetéséről szóló 3</w:t>
      </w:r>
      <w:r w:rsidR="005B45EE" w:rsidRPr="00A01DAA">
        <w:rPr>
          <w:rFonts w:ascii="Times New Roman" w:hAnsi="Times New Roman"/>
          <w:sz w:val="24"/>
          <w:szCs w:val="24"/>
        </w:rPr>
        <w:t>/</w:t>
      </w:r>
      <w:r w:rsidR="004656D6">
        <w:rPr>
          <w:rFonts w:ascii="Times New Roman" w:hAnsi="Times New Roman"/>
          <w:sz w:val="24"/>
          <w:szCs w:val="24"/>
        </w:rPr>
        <w:t>2023</w:t>
      </w:r>
      <w:r w:rsidR="005B45EE" w:rsidRPr="00A01DAA">
        <w:rPr>
          <w:rFonts w:ascii="Times New Roman" w:hAnsi="Times New Roman"/>
          <w:sz w:val="24"/>
          <w:szCs w:val="24"/>
        </w:rPr>
        <w:t>. (</w:t>
      </w:r>
      <w:r w:rsidR="004656D6">
        <w:rPr>
          <w:rFonts w:ascii="Times New Roman" w:hAnsi="Times New Roman"/>
          <w:sz w:val="24"/>
          <w:szCs w:val="24"/>
        </w:rPr>
        <w:t>II</w:t>
      </w:r>
      <w:r w:rsidR="005B45EE" w:rsidRPr="00A01DAA">
        <w:rPr>
          <w:rFonts w:ascii="Times New Roman" w:hAnsi="Times New Roman"/>
          <w:sz w:val="24"/>
          <w:szCs w:val="24"/>
        </w:rPr>
        <w:t xml:space="preserve">. </w:t>
      </w:r>
      <w:r w:rsidR="004656D6">
        <w:rPr>
          <w:rFonts w:ascii="Times New Roman" w:hAnsi="Times New Roman"/>
          <w:sz w:val="24"/>
          <w:szCs w:val="24"/>
        </w:rPr>
        <w:t>15</w:t>
      </w:r>
      <w:r w:rsidR="005B45EE" w:rsidRPr="00A01DAA">
        <w:rPr>
          <w:rFonts w:ascii="Times New Roman" w:hAnsi="Times New Roman"/>
          <w:sz w:val="24"/>
          <w:szCs w:val="24"/>
        </w:rPr>
        <w:t>.) önkormányzati rendelet</w:t>
      </w:r>
      <w:r w:rsidR="005B45EE">
        <w:rPr>
          <w:rFonts w:ascii="Times New Roman" w:hAnsi="Times New Roman"/>
          <w:sz w:val="24"/>
          <w:szCs w:val="24"/>
        </w:rPr>
        <w:t>.</w:t>
      </w:r>
    </w:p>
    <w:p w:rsidR="005B45EE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Pr="00B64A51" w:rsidRDefault="00067DB1" w:rsidP="005B4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5B45EE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B45EE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>
        <w:rPr>
          <w:rFonts w:ascii="Times New Roman" w:hAnsi="Times New Roman"/>
          <w:sz w:val="24"/>
          <w:szCs w:val="24"/>
        </w:rPr>
        <w:t>, és a kihirdetését követő második napon hatályát veszti.</w:t>
      </w: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B64A51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4656D6">
        <w:rPr>
          <w:rFonts w:ascii="Times New Roman" w:hAnsi="Times New Roman"/>
          <w:b/>
          <w:bCs/>
          <w:sz w:val="24"/>
          <w:szCs w:val="24"/>
        </w:rPr>
        <w:t>Tóth János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B64A51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Pr="00B64A51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B64A51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Pr="00B64A51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</w:t>
      </w:r>
      <w:r w:rsidR="004656D6">
        <w:rPr>
          <w:rFonts w:ascii="Times New Roman" w:hAnsi="Times New Roman"/>
          <w:sz w:val="24"/>
          <w:szCs w:val="24"/>
        </w:rPr>
        <w:t>kihirdetése 2024</w:t>
      </w:r>
      <w:r w:rsidR="00AD371D" w:rsidRPr="00B64A51">
        <w:rPr>
          <w:rFonts w:ascii="Times New Roman" w:hAnsi="Times New Roman"/>
          <w:sz w:val="24"/>
          <w:szCs w:val="24"/>
        </w:rPr>
        <w:t>. ………. napján a Szervezeti és Működési Szabályzat szerint a Polgármesteri Hivatal hirdetőtábláján megtörtént.</w:t>
      </w:r>
    </w:p>
    <w:p w:rsidR="00AD371D" w:rsidRPr="00B64A51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64A5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B64A5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Tó</w:t>
      </w:r>
      <w:r w:rsidR="00274DDF">
        <w:rPr>
          <w:rFonts w:ascii="Times New Roman" w:hAnsi="Times New Roman"/>
          <w:b/>
          <w:sz w:val="24"/>
          <w:szCs w:val="24"/>
        </w:rPr>
        <w:t>t</w:t>
      </w:r>
      <w:r w:rsidR="004656D6">
        <w:rPr>
          <w:rFonts w:ascii="Times New Roman" w:hAnsi="Times New Roman"/>
          <w:b/>
          <w:sz w:val="24"/>
          <w:szCs w:val="24"/>
        </w:rPr>
        <w:t>h János</w:t>
      </w:r>
    </w:p>
    <w:p w:rsidR="00172D8F" w:rsidRPr="00B64A51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4A51">
        <w:rPr>
          <w:rFonts w:ascii="Times New Roman" w:hAnsi="Times New Roman" w:cs="Times New Roman"/>
          <w:sz w:val="24"/>
          <w:szCs w:val="24"/>
        </w:rPr>
        <w:t xml:space="preserve">  </w:t>
      </w:r>
      <w:r w:rsidR="00AD371D" w:rsidRPr="00B64A51">
        <w:rPr>
          <w:rFonts w:ascii="Times New Roman" w:hAnsi="Times New Roman" w:cs="Times New Roman"/>
          <w:sz w:val="24"/>
          <w:szCs w:val="24"/>
        </w:rPr>
        <w:t>jegyző</w:t>
      </w:r>
    </w:p>
    <w:p w:rsidR="00274DDF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601A9C">
        <w:rPr>
          <w:rFonts w:ascii="Times New Roman" w:hAnsi="Times New Roman"/>
          <w:sz w:val="24"/>
          <w:szCs w:val="24"/>
        </w:rPr>
        <w:t>2024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601A9C">
        <w:rPr>
          <w:rFonts w:ascii="Times New Roman" w:hAnsi="Times New Roman"/>
          <w:sz w:val="24"/>
          <w:szCs w:val="24"/>
        </w:rPr>
        <w:t>6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601A9C">
        <w:rPr>
          <w:rFonts w:ascii="Times New Roman" w:hAnsi="Times New Roman"/>
          <w:sz w:val="24"/>
          <w:szCs w:val="24"/>
        </w:rPr>
        <w:t>2024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601A9C">
        <w:rPr>
          <w:rFonts w:ascii="Times New Roman" w:hAnsi="Times New Roman"/>
          <w:sz w:val="24"/>
          <w:szCs w:val="24"/>
        </w:rPr>
        <w:t>II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01A9C">
        <w:rPr>
          <w:rFonts w:ascii="Times New Roman" w:hAnsi="Times New Roman"/>
          <w:sz w:val="24"/>
          <w:szCs w:val="24"/>
        </w:rPr>
        <w:t>21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B64A51">
        <w:rPr>
          <w:rFonts w:ascii="Times New Roman" w:hAnsi="Times New Roman"/>
          <w:sz w:val="24"/>
          <w:szCs w:val="24"/>
          <w:lang w:val="x-none"/>
        </w:rPr>
        <w:t>23. és 24. §-ai alapján előirányzat-átcsoportosítások</w:t>
      </w:r>
      <w:r w:rsidR="00B47A14" w:rsidRPr="00B64A51">
        <w:rPr>
          <w:rFonts w:ascii="Times New Roman" w:hAnsi="Times New Roman"/>
          <w:sz w:val="24"/>
          <w:szCs w:val="24"/>
        </w:rPr>
        <w:t xml:space="preserve">, </w:t>
      </w:r>
      <w:r w:rsidR="00601A9C">
        <w:rPr>
          <w:rFonts w:ascii="Times New Roman" w:hAnsi="Times New Roman"/>
          <w:sz w:val="24"/>
          <w:szCs w:val="24"/>
          <w:lang w:val="x-none"/>
        </w:rPr>
        <w:t>a 2023</w:t>
      </w:r>
      <w:r w:rsidR="00B47A14" w:rsidRPr="00B64A51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="00B47A14" w:rsidRPr="00B64A51">
        <w:rPr>
          <w:rFonts w:ascii="Times New Roman" w:hAnsi="Times New Roman"/>
          <w:sz w:val="24"/>
          <w:szCs w:val="24"/>
        </w:rPr>
        <w:t xml:space="preserve">költségvetési </w:t>
      </w:r>
      <w:r w:rsidR="00B47A14" w:rsidRPr="00B64A51">
        <w:rPr>
          <w:rFonts w:ascii="Times New Roman" w:hAnsi="Times New Roman"/>
          <w:sz w:val="24"/>
          <w:szCs w:val="24"/>
          <w:lang w:val="x-none"/>
        </w:rPr>
        <w:t>maradvány jóváhagyása</w:t>
      </w:r>
      <w:r w:rsidR="00B47A14" w:rsidRPr="00B64A51">
        <w:rPr>
          <w:rFonts w:ascii="Times New Roman" w:hAnsi="Times New Roman"/>
          <w:sz w:val="24"/>
          <w:szCs w:val="24"/>
        </w:rPr>
        <w:t xml:space="preserve"> </w:t>
      </w:r>
      <w:r w:rsidR="00B77B86" w:rsidRPr="00B64A51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B64A51">
        <w:rPr>
          <w:rFonts w:ascii="Times New Roman" w:hAnsi="Times New Roman"/>
          <w:sz w:val="24"/>
          <w:szCs w:val="24"/>
        </w:rPr>
        <w:t>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 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01A9C">
        <w:rPr>
          <w:rFonts w:ascii="Times New Roman" w:hAnsi="Times New Roman"/>
          <w:sz w:val="24"/>
          <w:szCs w:val="24"/>
        </w:rPr>
        <w:t>2024</w:t>
      </w:r>
      <w:r w:rsidRPr="00B64A51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Pr="00B64A51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B64A51">
        <w:rPr>
          <w:rFonts w:ascii="Times New Roman" w:hAnsi="Times New Roman"/>
          <w:sz w:val="24"/>
          <w:szCs w:val="24"/>
        </w:rPr>
        <w:t>z alaprendelet 2. §-ának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067DB1" w:rsidRPr="00067DB1" w:rsidRDefault="00067DB1" w:rsidP="00067D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az alaprendelet</w:t>
      </w:r>
      <w:r>
        <w:rPr>
          <w:rFonts w:ascii="Times New Roman" w:hAnsi="Times New Roman"/>
          <w:sz w:val="24"/>
          <w:szCs w:val="24"/>
        </w:rPr>
        <w:t xml:space="preserve"> 13. §-ának változását mutatja.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067DB1" w:rsidRPr="00067DB1">
        <w:rPr>
          <w:rFonts w:ascii="Times New Roman" w:hAnsi="Times New Roman"/>
          <w:b/>
          <w:sz w:val="24"/>
          <w:szCs w:val="24"/>
        </w:rPr>
        <w:t>5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>in</w:t>
      </w:r>
      <w:r w:rsidR="00274DDF">
        <w:rPr>
          <w:rFonts w:ascii="Times New Roman" w:hAnsi="Times New Roman"/>
          <w:sz w:val="24"/>
          <w:szCs w:val="24"/>
        </w:rPr>
        <w:t>e</w:t>
      </w:r>
      <w:r w:rsidRPr="00B64A51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5B45EE" w:rsidRPr="00B64A51" w:rsidRDefault="005B45EE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Pr="00B64A51">
        <w:rPr>
          <w:rFonts w:ascii="Times New Roman" w:hAnsi="Times New Roman"/>
          <w:sz w:val="24"/>
          <w:szCs w:val="24"/>
        </w:rPr>
        <w:t>z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67DB1">
        <w:rPr>
          <w:rFonts w:ascii="Times New Roman" w:hAnsi="Times New Roman"/>
          <w:b/>
          <w:sz w:val="24"/>
          <w:szCs w:val="24"/>
        </w:rPr>
        <w:t>6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601A9C">
        <w:rPr>
          <w:rFonts w:ascii="Times New Roman" w:hAnsi="Times New Roman"/>
          <w:sz w:val="24"/>
          <w:szCs w:val="24"/>
        </w:rPr>
        <w:t xml:space="preserve"> a 2023</w:t>
      </w:r>
      <w:r w:rsidRPr="00A01DAA">
        <w:rPr>
          <w:rFonts w:ascii="Times New Roman" w:hAnsi="Times New Roman"/>
          <w:sz w:val="24"/>
          <w:szCs w:val="24"/>
        </w:rPr>
        <w:t>. évi költségvetésről szóló rendelet hatályon kívül helyezéséről intézkedik.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067DB1">
        <w:rPr>
          <w:rFonts w:ascii="Times New Roman" w:hAnsi="Times New Roman"/>
          <w:b/>
          <w:sz w:val="24"/>
          <w:szCs w:val="24"/>
        </w:rPr>
        <w:t>7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rendelet-módosítás hatályba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B64A51">
        <w:rPr>
          <w:rFonts w:ascii="Times New Roman" w:hAnsi="Times New Roman"/>
          <w:sz w:val="24"/>
          <w:lang w:val="x-none"/>
        </w:rPr>
        <w:tab/>
      </w:r>
    </w:p>
    <w:sectPr w:rsidR="00943AB1" w:rsidRPr="00B64A51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CA5" w:rsidRDefault="00D84CA5">
      <w:pPr>
        <w:spacing w:after="0" w:line="240" w:lineRule="auto"/>
      </w:pPr>
      <w:r>
        <w:separator/>
      </w:r>
    </w:p>
  </w:endnote>
  <w:endnote w:type="continuationSeparator" w:id="0">
    <w:p w:rsidR="00D84CA5" w:rsidRDefault="00D84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1A6BFA" w:rsidP="00E96FC7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A161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CA5" w:rsidRDefault="00D84CA5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D84CA5" w:rsidRDefault="00D84CA5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D9A4A53"/>
    <w:multiLevelType w:val="hybridMultilevel"/>
    <w:tmpl w:val="27D21F6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9"/>
  </w:num>
  <w:num w:numId="4">
    <w:abstractNumId w:val="30"/>
  </w:num>
  <w:num w:numId="5">
    <w:abstractNumId w:val="19"/>
  </w:num>
  <w:num w:numId="6">
    <w:abstractNumId w:val="3"/>
  </w:num>
  <w:num w:numId="7">
    <w:abstractNumId w:val="8"/>
  </w:num>
  <w:num w:numId="8">
    <w:abstractNumId w:val="11"/>
  </w:num>
  <w:num w:numId="9">
    <w:abstractNumId w:val="26"/>
  </w:num>
  <w:num w:numId="10">
    <w:abstractNumId w:val="24"/>
  </w:num>
  <w:num w:numId="11">
    <w:abstractNumId w:val="4"/>
  </w:num>
  <w:num w:numId="12">
    <w:abstractNumId w:val="28"/>
  </w:num>
  <w:num w:numId="13">
    <w:abstractNumId w:val="16"/>
  </w:num>
  <w:num w:numId="14">
    <w:abstractNumId w:val="32"/>
  </w:num>
  <w:num w:numId="15">
    <w:abstractNumId w:val="22"/>
  </w:num>
  <w:num w:numId="16">
    <w:abstractNumId w:val="18"/>
  </w:num>
  <w:num w:numId="17">
    <w:abstractNumId w:val="6"/>
  </w:num>
  <w:num w:numId="18">
    <w:abstractNumId w:val="0"/>
  </w:num>
  <w:num w:numId="19">
    <w:abstractNumId w:val="21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1"/>
  </w:num>
  <w:num w:numId="26">
    <w:abstractNumId w:val="2"/>
  </w:num>
  <w:num w:numId="27">
    <w:abstractNumId w:val="14"/>
  </w:num>
  <w:num w:numId="28">
    <w:abstractNumId w:val="10"/>
  </w:num>
  <w:num w:numId="29">
    <w:abstractNumId w:val="12"/>
  </w:num>
  <w:num w:numId="30">
    <w:abstractNumId w:val="15"/>
  </w:num>
  <w:num w:numId="31">
    <w:abstractNumId w:val="27"/>
  </w:num>
  <w:num w:numId="32">
    <w:abstractNumId w:val="5"/>
  </w:num>
  <w:num w:numId="33">
    <w:abstractNumId w:val="13"/>
  </w:num>
  <w:num w:numId="34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67DB1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6EDC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4FEC"/>
    <w:rsid w:val="000B5C82"/>
    <w:rsid w:val="000B78F9"/>
    <w:rsid w:val="000B7E87"/>
    <w:rsid w:val="000C0CC8"/>
    <w:rsid w:val="000C18AE"/>
    <w:rsid w:val="000C4D03"/>
    <w:rsid w:val="000C503D"/>
    <w:rsid w:val="000C7275"/>
    <w:rsid w:val="000D01B0"/>
    <w:rsid w:val="000D252A"/>
    <w:rsid w:val="000D4976"/>
    <w:rsid w:val="000D53DE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4A22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24E2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53B65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161D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30ACF"/>
    <w:rsid w:val="00331037"/>
    <w:rsid w:val="00331735"/>
    <w:rsid w:val="00333487"/>
    <w:rsid w:val="0033463B"/>
    <w:rsid w:val="00335979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897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542A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6F2"/>
    <w:rsid w:val="004518EA"/>
    <w:rsid w:val="004519CE"/>
    <w:rsid w:val="0045429F"/>
    <w:rsid w:val="00455121"/>
    <w:rsid w:val="00455C95"/>
    <w:rsid w:val="004563F0"/>
    <w:rsid w:val="00456C6D"/>
    <w:rsid w:val="00464C61"/>
    <w:rsid w:val="004656D6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12B9"/>
    <w:rsid w:val="004A3BA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2779"/>
    <w:rsid w:val="004D36E2"/>
    <w:rsid w:val="004D5E6E"/>
    <w:rsid w:val="004E0F29"/>
    <w:rsid w:val="004E6517"/>
    <w:rsid w:val="004F462C"/>
    <w:rsid w:val="004F7C71"/>
    <w:rsid w:val="005009B2"/>
    <w:rsid w:val="005027CC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530C"/>
    <w:rsid w:val="00556E53"/>
    <w:rsid w:val="005654A7"/>
    <w:rsid w:val="0057041C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1A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45EE"/>
    <w:rsid w:val="005B5E59"/>
    <w:rsid w:val="005B6097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A9C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4689"/>
    <w:rsid w:val="006456E2"/>
    <w:rsid w:val="0064638B"/>
    <w:rsid w:val="0065011C"/>
    <w:rsid w:val="00651C7F"/>
    <w:rsid w:val="00654835"/>
    <w:rsid w:val="00654DC3"/>
    <w:rsid w:val="0065594D"/>
    <w:rsid w:val="0065659C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82301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249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027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71"/>
    <w:rsid w:val="008E20E0"/>
    <w:rsid w:val="008E59DA"/>
    <w:rsid w:val="008E67C9"/>
    <w:rsid w:val="008E72DB"/>
    <w:rsid w:val="008E75BB"/>
    <w:rsid w:val="008F051C"/>
    <w:rsid w:val="008F25AB"/>
    <w:rsid w:val="008F5385"/>
    <w:rsid w:val="008F5BB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3C94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56F2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33E1"/>
    <w:rsid w:val="00C65561"/>
    <w:rsid w:val="00C65C1D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CA5"/>
    <w:rsid w:val="00D84F8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B6A24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6FC7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4EDB"/>
    <w:rsid w:val="00EC5BC1"/>
    <w:rsid w:val="00EC6C7D"/>
    <w:rsid w:val="00EC70D4"/>
    <w:rsid w:val="00EC70EF"/>
    <w:rsid w:val="00EC791C"/>
    <w:rsid w:val="00ED0BFA"/>
    <w:rsid w:val="00ED1AAA"/>
    <w:rsid w:val="00ED1B92"/>
    <w:rsid w:val="00ED1CDF"/>
    <w:rsid w:val="00ED3971"/>
    <w:rsid w:val="00ED517A"/>
    <w:rsid w:val="00ED6CDF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329C"/>
    <w:rsid w:val="00F6480D"/>
    <w:rsid w:val="00F648FF"/>
    <w:rsid w:val="00F739BE"/>
    <w:rsid w:val="00F7690E"/>
    <w:rsid w:val="00F7752B"/>
    <w:rsid w:val="00F80E43"/>
    <w:rsid w:val="00F81FC5"/>
    <w:rsid w:val="00F85BD3"/>
    <w:rsid w:val="00F874FB"/>
    <w:rsid w:val="00F878F5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3429-15C7-4D93-B360-2A36C7C6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1225</Words>
  <Characters>8672</Characters>
  <Application>Microsoft Office Word</Application>
  <DocSecurity>4</DocSecurity>
  <Lines>72</Lines>
  <Paragraphs>19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Bodzsár Tímea</cp:lastModifiedBy>
  <cp:revision>2</cp:revision>
  <cp:lastPrinted>2021-02-02T10:52:00Z</cp:lastPrinted>
  <dcterms:created xsi:type="dcterms:W3CDTF">2024-05-14T06:45:00Z</dcterms:created>
  <dcterms:modified xsi:type="dcterms:W3CDTF">2024-05-14T06:45:00Z</dcterms:modified>
</cp:coreProperties>
</file>