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586D51">
        <w:rPr>
          <w:b/>
          <w:i/>
          <w:sz w:val="32"/>
        </w:rPr>
        <w:t>Szerb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r w:rsidRPr="000F6270">
        <w:rPr>
          <w:szCs w:val="24"/>
        </w:rPr>
        <w:t>székhely: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adószám</w:t>
      </w:r>
      <w:proofErr w:type="gramEnd"/>
      <w:r w:rsidRPr="000F6270">
        <w:rPr>
          <w:szCs w:val="24"/>
        </w:rPr>
        <w:t xml:space="preserve">: </w:t>
      </w:r>
      <w:r w:rsidR="00586D51">
        <w:rPr>
          <w:szCs w:val="24"/>
        </w:rPr>
        <w:t>15779564-1-42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törzskönyvi</w:t>
      </w:r>
      <w:proofErr w:type="gramEnd"/>
      <w:r w:rsidRPr="000F6270">
        <w:rPr>
          <w:szCs w:val="24"/>
        </w:rPr>
        <w:t xml:space="preserve"> nyilvántartási szám: </w:t>
      </w:r>
      <w:r w:rsidR="00586D51">
        <w:rPr>
          <w:szCs w:val="24"/>
        </w:rPr>
        <w:t>779562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képviseli</w:t>
      </w:r>
      <w:proofErr w:type="gramEnd"/>
      <w:r w:rsidRPr="000F6270">
        <w:rPr>
          <w:szCs w:val="24"/>
        </w:rPr>
        <w:t xml:space="preserve">: </w:t>
      </w:r>
      <w:proofErr w:type="spellStart"/>
      <w:r w:rsidR="00586D51">
        <w:rPr>
          <w:sz w:val="26"/>
          <w:szCs w:val="26"/>
        </w:rPr>
        <w:t>Dujmov</w:t>
      </w:r>
      <w:proofErr w:type="spellEnd"/>
      <w:r w:rsidR="00586D51">
        <w:rPr>
          <w:sz w:val="26"/>
          <w:szCs w:val="26"/>
        </w:rPr>
        <w:t xml:space="preserve"> </w:t>
      </w:r>
      <w:proofErr w:type="spellStart"/>
      <w:r w:rsidR="00586D51">
        <w:rPr>
          <w:sz w:val="26"/>
          <w:szCs w:val="26"/>
        </w:rPr>
        <w:t>Dragomir</w:t>
      </w:r>
      <w:proofErr w:type="spellEnd"/>
      <w:r w:rsidR="00586D51">
        <w:rPr>
          <w:sz w:val="26"/>
          <w:szCs w:val="26"/>
        </w:rPr>
        <w:t xml:space="preserve"> elnök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(továbbiakban: nemzetiségi önkormányzat) 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 xml:space="preserve">(együttesen:Felek)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38231B" w:rsidRPr="000F6270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lastRenderedPageBreak/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586D51">
        <w:t>Szerb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586D51">
        <w:t>Szerb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r>
        <w:t xml:space="preserve">vonatkozó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586D51">
        <w:t>Szerb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0A5FAC" w:rsidRDefault="000A5FAC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586D51">
        <w:t>Szerb</w:t>
      </w:r>
      <w:r w:rsidR="00FB43BC">
        <w:t xml:space="preserve"> </w:t>
      </w:r>
      <w:r>
        <w:t xml:space="preserve">Nemzetiségi Önkormányzat elnöke. Az Erzsébetvárosi </w:t>
      </w:r>
      <w:r w:rsidR="00586D51">
        <w:t>Szerb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586D51">
        <w:t>Szerb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586D51">
        <w:t>Szerb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586D51">
        <w:t>Szerb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586D51">
        <w:t>Szerb</w:t>
      </w:r>
      <w:r w:rsidR="00FB43BC">
        <w:t xml:space="preserve"> </w:t>
      </w:r>
      <w:r>
        <w:t xml:space="preserve">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586D51">
        <w:t>Szerb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586D51">
        <w:t>Szerb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586D51">
        <w:t>Szerb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586D51">
        <w:t>Szerb</w:t>
      </w:r>
      <w:r w:rsidR="00FB43BC">
        <w:t xml:space="preserve"> </w:t>
      </w:r>
      <w:r>
        <w:t xml:space="preserve">Nemzetiségi Önkormányzat előirányzatai az Erzsébetvárosi </w:t>
      </w:r>
      <w:r w:rsidR="00586D51">
        <w:t>Szerb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586D51">
        <w:t>Szerb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586D51">
        <w:t>Szerb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586D51">
        <w:t>Szerb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</w:t>
      </w:r>
      <w:r w:rsidRPr="00A00A11">
        <w:lastRenderedPageBreak/>
        <w:t xml:space="preserve">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586D51">
        <w:t>Szerb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586D51">
        <w:t>Szerb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586D51">
        <w:t>Szerb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0F6270">
      <w:pPr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586D51">
        <w:t>Szerb</w:t>
      </w:r>
      <w:r w:rsidR="00FB43BC">
        <w:t xml:space="preserve">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586D51">
        <w:t>Szerb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586D51">
        <w:t>Szerb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586D51">
        <w:t>Szerb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586D51">
        <w:t>Szerb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586D51">
        <w:t>Szerb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-a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586D51">
        <w:t>Szerb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586D51">
        <w:t>Szerb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lastRenderedPageBreak/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8.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F62796" w:rsidP="0038231B">
      <w:pPr>
        <w:pStyle w:val="Szvegtrzs"/>
        <w:ind w:left="284"/>
      </w:pPr>
      <w:r>
        <w:t xml:space="preserve">9.2. Az Erzsébetvárosi </w:t>
      </w:r>
      <w:r w:rsidR="00586D51">
        <w:t>Szerb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586D51">
        <w:t>Szerb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586D51">
        <w:t>Szerb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586D51">
        <w:t>Szerb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586D51">
        <w:t>Szerb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586D51">
        <w:t>Szerb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586D51">
        <w:t>Szerb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586D51">
        <w:t>Szerb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586D51">
        <w:t>Szerb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586D51">
        <w:t>Szerb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586D51">
        <w:t>Szerb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0F6270" w:rsidRPr="008C72DB" w:rsidRDefault="000F6270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586D51">
        <w:t>Szerb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586D51">
        <w:t>Szerb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586D51">
        <w:t>Szerb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lastRenderedPageBreak/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586D51">
        <w:t>Szerb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586D51">
        <w:t>Szerb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586D51">
        <w:t>Szerb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586D51">
        <w:t>Szerb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0A5FAC" w:rsidRDefault="000A5FAC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a.)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70139C">
        <w:rPr>
          <w:rFonts w:ascii="Times New Roman" w:hAnsi="Times New Roman"/>
          <w:b w:val="0"/>
          <w:i w:val="0"/>
          <w:szCs w:val="24"/>
        </w:rPr>
        <w:t>1</w:t>
      </w:r>
      <w:r w:rsidR="008E23BA">
        <w:rPr>
          <w:rFonts w:ascii="Times New Roman" w:hAnsi="Times New Roman"/>
          <w:b w:val="0"/>
          <w:i w:val="0"/>
          <w:szCs w:val="24"/>
        </w:rPr>
        <w:t>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r w:rsidR="000F6270">
        <w:rPr>
          <w:rFonts w:ascii="Times New Roman" w:hAnsi="Times New Roman"/>
          <w:b w:val="0"/>
          <w:i w:val="0"/>
        </w:rPr>
        <w:t xml:space="preserve">a </w:t>
      </w:r>
      <w:r w:rsidR="00586D51">
        <w:rPr>
          <w:rFonts w:ascii="Times New Roman" w:hAnsi="Times New Roman"/>
          <w:b w:val="0"/>
          <w:i w:val="0"/>
        </w:rPr>
        <w:t>Szerb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586D51" w:rsidP="00CF6E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Dujmov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Dragomir</w:t>
            </w:r>
            <w:proofErr w:type="spellEnd"/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586D51">
              <w:rPr>
                <w:i/>
              </w:rPr>
              <w:t>Szerb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bookmarkStart w:id="0" w:name="_GoBack"/>
      <w:bookmarkEnd w:id="0"/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0F" w:rsidRDefault="00A8450F">
      <w:r>
        <w:separator/>
      </w:r>
    </w:p>
  </w:endnote>
  <w:endnote w:type="continuationSeparator" w:id="0">
    <w:p w:rsidR="00A8450F" w:rsidRDefault="00A8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F62796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62796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0F" w:rsidRDefault="00A8450F">
      <w:r>
        <w:separator/>
      </w:r>
    </w:p>
  </w:footnote>
  <w:footnote w:type="continuationSeparator" w:id="0">
    <w:p w:rsidR="00A8450F" w:rsidRDefault="00A84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586D51">
      <w:rPr>
        <w:b w:val="0"/>
        <w:bCs/>
        <w:i w:val="0"/>
        <w:sz w:val="18"/>
      </w:rPr>
      <w:t>Szerb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5FAC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988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86D51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6F7647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E23BA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450F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2796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2881-8F45-4A1A-A95C-EC3EF7B4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4043</Words>
  <Characters>27901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4</cp:revision>
  <cp:lastPrinted>2018-01-15T09:22:00Z</cp:lastPrinted>
  <dcterms:created xsi:type="dcterms:W3CDTF">2021-12-21T11:17:00Z</dcterms:created>
  <dcterms:modified xsi:type="dcterms:W3CDTF">2021-12-22T08:12:00Z</dcterms:modified>
</cp:coreProperties>
</file>