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72FED" w14:textId="2E36361C" w:rsidR="00BE3DCC" w:rsidRPr="006D4556" w:rsidRDefault="00BE3DCC" w:rsidP="00BE3DCC">
      <w:pPr>
        <w:spacing w:after="0" w:line="240" w:lineRule="auto"/>
        <w:rPr>
          <w:rFonts w:ascii="Garamond" w:eastAsia="Times New Roman" w:hAnsi="Garamond"/>
          <w:b/>
          <w:bCs/>
        </w:rPr>
      </w:pPr>
      <w:r w:rsidRPr="006D4556">
        <w:rPr>
          <w:rFonts w:ascii="Garamond" w:eastAsia="Times New Roman" w:hAnsi="Garamond"/>
          <w:b/>
          <w:bCs/>
        </w:rPr>
        <w:t xml:space="preserve"> </w:t>
      </w:r>
    </w:p>
    <w:p w14:paraId="7995DEE8" w14:textId="746965C5" w:rsidR="00E72D76" w:rsidRPr="00BE3DCC" w:rsidRDefault="00E72D76" w:rsidP="00BE3DCC">
      <w:pPr>
        <w:jc w:val="center"/>
        <w:rPr>
          <w:rFonts w:ascii="Garamond" w:eastAsia="Times New Roman" w:hAnsi="Garamond"/>
          <w:b/>
          <w:bCs/>
        </w:rPr>
      </w:pPr>
      <w:r w:rsidRPr="002722B8">
        <w:rPr>
          <w:rFonts w:ascii="Garamond" w:hAnsi="Garamond"/>
          <w:b/>
          <w:smallCaps/>
          <w:szCs w:val="28"/>
        </w:rPr>
        <w:t>adásvételi szerződés</w:t>
      </w:r>
    </w:p>
    <w:p w14:paraId="19541807" w14:textId="77777777" w:rsidR="00BC1AC0" w:rsidRPr="002722B8" w:rsidRDefault="00BC1AC0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</w:p>
    <w:p w14:paraId="4A2A8641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 Péter polgármester</w:t>
      </w:r>
    </w:p>
    <w:p w14:paraId="27D08477" w14:textId="13A06EA3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BC09F9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2B538EC8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A15A2B" w:rsidRPr="00A15A2B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Agrolánc Ipari, Mezőgazdasági, Kereskedelmi és Szolgáltató Kft.</w:t>
      </w:r>
    </w:p>
    <w:p w14:paraId="7AB93571" w14:textId="12394271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="00A15A2B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2151 Fót, Jedlik Ányos utca 35.</w:t>
      </w:r>
    </w:p>
    <w:p w14:paraId="2E441AC0" w14:textId="0F01594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  <w:r w:rsidR="00A15A2B" w:rsidRPr="00A15A2B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10476015-2-13</w:t>
      </w:r>
    </w:p>
    <w:p w14:paraId="05C3046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5D55DE5C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  <w:r w:rsidR="00A15A2B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A15A2B" w:rsidRPr="00A15A2B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13-09-109395</w:t>
      </w:r>
    </w:p>
    <w:p w14:paraId="223A0AAE" w14:textId="2BDD1A2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A15A2B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Szemerei Károly</w:t>
      </w:r>
    </w:p>
    <w:p w14:paraId="27B867D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2722B8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2722B8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2722B8">
        <w:rPr>
          <w:rFonts w:ascii="Garamond" w:hAnsi="Garamond"/>
        </w:rPr>
        <w:t>I</w:t>
      </w:r>
      <w:r w:rsidRPr="002722B8">
        <w:rPr>
          <w:rFonts w:ascii="Garamond" w:hAnsi="Garamond"/>
          <w:b/>
        </w:rPr>
        <w:t xml:space="preserve">. </w:t>
      </w:r>
      <w:r w:rsidRPr="002722B8">
        <w:rPr>
          <w:rFonts w:ascii="Garamond" w:hAnsi="Garamond"/>
        </w:rPr>
        <w:t>Előzmények, a szerződés célja</w:t>
      </w:r>
    </w:p>
    <w:p w14:paraId="29B669A0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2722B8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4E8BF444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</w:rPr>
        <w:t>F</w:t>
      </w:r>
      <w:r w:rsidRPr="002722B8">
        <w:rPr>
          <w:rFonts w:ascii="Garamond" w:hAnsi="Garamond"/>
          <w:bCs/>
        </w:rPr>
        <w:t xml:space="preserve">elek megállapítják, hogy </w:t>
      </w:r>
      <w:r w:rsidR="00DE2DA9">
        <w:rPr>
          <w:rFonts w:ascii="Garamond" w:hAnsi="Garamond"/>
          <w:bCs/>
        </w:rPr>
        <w:t>Üzemeltető</w:t>
      </w:r>
      <w:r w:rsidR="00185AEF">
        <w:rPr>
          <w:rFonts w:ascii="Garamond" w:hAnsi="Garamond"/>
          <w:bCs/>
        </w:rPr>
        <w:t xml:space="preserve"> és </w:t>
      </w:r>
      <w:r w:rsidR="00F36592">
        <w:rPr>
          <w:rFonts w:ascii="Garamond" w:hAnsi="Garamond"/>
          <w:bCs/>
        </w:rPr>
        <w:t xml:space="preserve"> Vevő </w:t>
      </w:r>
      <w:r w:rsidR="00185AEF">
        <w:rPr>
          <w:rFonts w:ascii="Garamond" w:hAnsi="Garamond"/>
          <w:bCs/>
        </w:rPr>
        <w:t xml:space="preserve"> a Kbt. 29.§ (2) bekezdése alapján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0A18EC" w:rsidRPr="000A18EC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1 db Járdatakarítógép beszerzése 202</w:t>
      </w:r>
      <w:r w:rsidR="00E76F39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3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”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2722B8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lastRenderedPageBreak/>
        <w:t>Felek rögzítik, hogy a fenti eljárásban beszerzett eszköz Vevő tulajdonába és</w:t>
      </w:r>
      <w:r w:rsidR="00185AEF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4D5ED959" w14:textId="60457FCE" w:rsidR="00E924FD" w:rsidRPr="002722B8" w:rsidRDefault="00E924FD" w:rsidP="00E72D76">
      <w:pPr>
        <w:pStyle w:val="Szvegtrzs"/>
        <w:rPr>
          <w:rFonts w:ascii="Garamond" w:hAnsi="Garamond"/>
        </w:rPr>
      </w:pPr>
    </w:p>
    <w:p w14:paraId="0FBF3597" w14:textId="77777777" w:rsidR="00E72D76" w:rsidRPr="002722B8" w:rsidRDefault="00E72D76" w:rsidP="00E72D76">
      <w:pPr>
        <w:pStyle w:val="Szvegtrzs"/>
        <w:jc w:val="center"/>
        <w:rPr>
          <w:rFonts w:ascii="Garamond" w:hAnsi="Garamond"/>
          <w:b w:val="0"/>
        </w:rPr>
      </w:pPr>
      <w:r w:rsidRPr="002722B8">
        <w:rPr>
          <w:rFonts w:ascii="Garamond" w:hAnsi="Garamond"/>
          <w:b w:val="0"/>
        </w:rPr>
        <w:t>II. A szerződés tárgya</w:t>
      </w:r>
    </w:p>
    <w:p w14:paraId="35779A34" w14:textId="77777777" w:rsidR="00E72D76" w:rsidRPr="002722B8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1B18DDA9" w:rsidR="00E72D76" w:rsidRPr="00A733FC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B546F7">
        <w:rPr>
          <w:rFonts w:ascii="Garamond" w:hAnsi="Garamond"/>
          <w:b w:val="0"/>
          <w:sz w:val="22"/>
          <w:szCs w:val="22"/>
          <w:lang w:val="hu-HU"/>
        </w:rPr>
        <w:t>a járdatakarító gépet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(a továbbiakban: Eszköz) 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2722B8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2722B8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2722B8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</w:t>
      </w:r>
      <w:r w:rsidR="00F1642B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2722B8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2722B8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449734C5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>
        <w:rPr>
          <w:rFonts w:ascii="Garamond" w:hAnsi="Garamond"/>
          <w:b w:val="0"/>
          <w:sz w:val="22"/>
          <w:szCs w:val="22"/>
        </w:rPr>
        <w:t>Eszköz</w:t>
      </w:r>
      <w:r w:rsidRPr="002722B8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6B120D">
        <w:rPr>
          <w:rFonts w:ascii="Garamond" w:hAnsi="Garamond"/>
          <w:b w:val="0"/>
          <w:sz w:val="22"/>
          <w:szCs w:val="22"/>
        </w:rPr>
        <w:t xml:space="preserve">, mely magában foglalja az eszköz forgalomba helyezését is. </w:t>
      </w:r>
      <w:r w:rsidRPr="002722B8">
        <w:rPr>
          <w:rFonts w:ascii="Garamond" w:hAnsi="Garamond"/>
          <w:b w:val="0"/>
          <w:sz w:val="22"/>
          <w:szCs w:val="22"/>
        </w:rPr>
        <w:t>Felek rögzítik, hogy a leszállítással, átadással,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2722B8">
        <w:rPr>
          <w:rFonts w:ascii="Garamond" w:hAnsi="Garamond"/>
          <w:b w:val="0"/>
          <w:sz w:val="22"/>
          <w:szCs w:val="22"/>
        </w:rPr>
        <w:t xml:space="preserve"> beüzemeléssel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2722B8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06FE4775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>
        <w:rPr>
          <w:rFonts w:ascii="Garamond" w:hAnsi="Garamond"/>
          <w:b w:val="0"/>
          <w:sz w:val="22"/>
          <w:szCs w:val="22"/>
        </w:rPr>
        <w:t xml:space="preserve">rtama alatt </w:t>
      </w:r>
      <w:r w:rsidR="00D319DE">
        <w:rPr>
          <w:rFonts w:ascii="Garamond" w:hAnsi="Garamond"/>
          <w:b w:val="0"/>
          <w:sz w:val="22"/>
          <w:szCs w:val="22"/>
          <w:lang w:val="hu-HU"/>
        </w:rPr>
        <w:t>jelen szerződés tárgya szerinti</w:t>
      </w:r>
      <w:r w:rsidR="00B546F7">
        <w:rPr>
          <w:rFonts w:ascii="Garamond" w:hAnsi="Garamond"/>
          <w:b w:val="0"/>
          <w:sz w:val="22"/>
          <w:szCs w:val="22"/>
        </w:rPr>
        <w:t xml:space="preserve"> </w:t>
      </w:r>
      <w:r w:rsidR="00EF365D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2722B8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2722B8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3A478A97" w:rsidR="00DF0988" w:rsidRPr="002722B8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az általa leszállított árut </w:t>
      </w:r>
      <w:r w:rsidR="00DE2DA9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2722B8">
        <w:rPr>
          <w:rFonts w:ascii="Garamond" w:hAnsi="Garamond"/>
          <w:b w:val="0"/>
          <w:sz w:val="22"/>
          <w:szCs w:val="22"/>
        </w:rPr>
        <w:t>tulajdonába adja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="00DA728E">
        <w:rPr>
          <w:rFonts w:ascii="Garamond" w:hAnsi="Garamond"/>
          <w:b w:val="0"/>
          <w:sz w:val="22"/>
          <w:szCs w:val="22"/>
          <w:lang w:val="hu-HU"/>
        </w:rPr>
        <w:t xml:space="preserve">az </w:t>
      </w:r>
      <w:r w:rsidRPr="002722B8">
        <w:rPr>
          <w:rFonts w:ascii="Garamond" w:hAnsi="Garamond"/>
          <w:b w:val="0"/>
          <w:sz w:val="22"/>
          <w:szCs w:val="22"/>
        </w:rPr>
        <w:t>átadás-átvételi eljárás</w:t>
      </w:r>
      <w:r w:rsidR="00F1642B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DE2DA9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2722B8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56783A91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2722B8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</w:t>
      </w:r>
      <w:r w:rsidR="00DA728E">
        <w:rPr>
          <w:rFonts w:ascii="Garamond" w:hAnsi="Garamond"/>
          <w:b w:val="0"/>
          <w:sz w:val="22"/>
          <w:szCs w:val="22"/>
          <w:lang w:val="hu-HU"/>
        </w:rPr>
        <w:t xml:space="preserve">szerződés megkötését követően, az </w:t>
      </w:r>
      <w:r w:rsidRPr="002722B8">
        <w:rPr>
          <w:rFonts w:ascii="Garamond" w:hAnsi="Garamond"/>
          <w:b w:val="0"/>
          <w:sz w:val="22"/>
          <w:szCs w:val="22"/>
        </w:rPr>
        <w:t>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2722B8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III.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2722B8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08DC6D0A" w:rsidR="00E72D76" w:rsidRPr="002722B8" w:rsidRDefault="00B546F7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</w:t>
      </w:r>
      <w:r w:rsidR="00A15A2B">
        <w:rPr>
          <w:rFonts w:ascii="Garamond" w:hAnsi="Garamond"/>
          <w:b w:val="0"/>
          <w:sz w:val="22"/>
          <w:szCs w:val="22"/>
          <w:lang w:val="hu-HU"/>
        </w:rPr>
        <w:t xml:space="preserve"> 22 300 000,-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HUF+Áfa, azaz </w:t>
      </w:r>
      <w:r w:rsidR="00C45A72">
        <w:rPr>
          <w:rFonts w:ascii="Garamond" w:hAnsi="Garamond"/>
          <w:b w:val="0"/>
          <w:sz w:val="22"/>
          <w:szCs w:val="22"/>
          <w:lang w:val="hu-HU"/>
        </w:rPr>
        <w:t xml:space="preserve">huszonkettőmillió-háromszázezer magyar forint plusz általános forgalmi adó </w:t>
      </w:r>
      <w:bookmarkStart w:id="0" w:name="_GoBack"/>
      <w:bookmarkEnd w:id="0"/>
      <w:r w:rsidR="00C45A72">
        <w:rPr>
          <w:rFonts w:ascii="Garamond" w:hAnsi="Garamond"/>
          <w:b w:val="0"/>
          <w:sz w:val="22"/>
          <w:szCs w:val="22"/>
          <w:lang w:val="hu-HU"/>
        </w:rPr>
        <w:t xml:space="preserve">(bruttó </w:t>
      </w:r>
      <w:r w:rsidR="00A15A2B">
        <w:rPr>
          <w:rFonts w:ascii="Garamond" w:hAnsi="Garamond"/>
          <w:b w:val="0"/>
          <w:sz w:val="22"/>
          <w:szCs w:val="22"/>
          <w:lang w:val="hu-HU"/>
        </w:rPr>
        <w:t xml:space="preserve">28 321 000,- </w:t>
      </w:r>
      <w:r w:rsidR="00E72D76" w:rsidRPr="002722B8">
        <w:rPr>
          <w:rFonts w:ascii="Garamond" w:hAnsi="Garamond"/>
          <w:b w:val="0"/>
          <w:sz w:val="22"/>
          <w:szCs w:val="22"/>
        </w:rPr>
        <w:t>HUF</w:t>
      </w:r>
      <w:r w:rsidR="00C45A72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összegben állapítják meg. </w:t>
      </w:r>
    </w:p>
    <w:p w14:paraId="71D0F217" w14:textId="77777777" w:rsidR="0037285E" w:rsidRPr="002722B8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2722B8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2722B8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71F8C48F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és leszállított eszközök</w:t>
      </w:r>
      <w:r w:rsidR="00A733FC">
        <w:rPr>
          <w:rFonts w:ascii="Garamond" w:hAnsi="Garamond"/>
          <w:b w:val="0"/>
          <w:sz w:val="22"/>
          <w:szCs w:val="22"/>
          <w:lang w:val="hu-HU"/>
        </w:rPr>
        <w:t xml:space="preserve"> (alapgép és adapterek)</w:t>
      </w:r>
      <w:r w:rsidRPr="002722B8">
        <w:rPr>
          <w:rFonts w:ascii="Garamond" w:hAnsi="Garamond"/>
          <w:b w:val="0"/>
          <w:sz w:val="22"/>
          <w:szCs w:val="22"/>
        </w:rPr>
        <w:t xml:space="preserve"> ellenértéke megfizetésének feltétele, hogy a hiány- és hibamentes teljesítést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7C7AF5F8" w:rsidR="007F0068" w:rsidRPr="000E731D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F0116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eszközök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2722B8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§ (1)-(2) bek. szerint, a teljesítésigazolást követően benyújtott számla ellenében átutalással fizeti meg Eladó részére, a számla kézhezvételétől számított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659CA1A3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EF365D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2722B8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</w:rPr>
        <w:t xml:space="preserve"> eszköz leszállításra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="00BD7807">
        <w:rPr>
          <w:rFonts w:ascii="Garamond" w:hAnsi="Garamond"/>
          <w:b w:val="0"/>
          <w:sz w:val="22"/>
          <w:szCs w:val="22"/>
          <w:lang w:val="hu-HU"/>
        </w:rPr>
        <w:t xml:space="preserve"> mely a forgalomba helyezést is tartalmazza,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77777777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eszközök fentebb meghatározott ellenértéke magában foglal valamennyi, a jelen szerződés teljesítésével kapcsolatos költséget. Eladó az eszköz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44F1E1CD" w:rsidR="00B13B85" w:rsidRPr="00F0116D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F0116D">
        <w:rPr>
          <w:rFonts w:ascii="Garamond" w:hAnsi="Garamond"/>
          <w:b w:val="0"/>
          <w:sz w:val="22"/>
          <w:szCs w:val="22"/>
        </w:rPr>
        <w:t xml:space="preserve">Az Eladó a </w:t>
      </w:r>
      <w:r w:rsidRPr="00F0116D">
        <w:rPr>
          <w:rFonts w:ascii="Garamond" w:hAnsi="Garamond"/>
          <w:bCs w:val="0"/>
        </w:rPr>
        <w:t xml:space="preserve">szerződés tárgyát képező eszközöket legkésőbb a jelen szerződés </w:t>
      </w:r>
      <w:r w:rsidR="00E60662" w:rsidRPr="00F0116D">
        <w:rPr>
          <w:rFonts w:ascii="Garamond" w:hAnsi="Garamond"/>
          <w:bCs w:val="0"/>
        </w:rPr>
        <w:t xml:space="preserve">hatálybalépésétől </w:t>
      </w:r>
      <w:r w:rsidR="00F35477" w:rsidRPr="00F0116D">
        <w:rPr>
          <w:rFonts w:ascii="Garamond" w:hAnsi="Garamond"/>
          <w:bCs w:val="0"/>
        </w:rPr>
        <w:t>számított</w:t>
      </w:r>
      <w:r w:rsidR="00294562">
        <w:rPr>
          <w:rFonts w:ascii="Garamond" w:hAnsi="Garamond"/>
          <w:bCs w:val="0"/>
          <w:lang w:val="hu-HU"/>
        </w:rPr>
        <w:t xml:space="preserve"> </w:t>
      </w:r>
      <w:r w:rsidR="00916943">
        <w:rPr>
          <w:rFonts w:ascii="Garamond" w:hAnsi="Garamond"/>
          <w:bCs w:val="0"/>
          <w:lang w:val="hu-HU"/>
        </w:rPr>
        <w:t xml:space="preserve"> </w:t>
      </w:r>
      <w:r w:rsidR="006141C4">
        <w:rPr>
          <w:rFonts w:ascii="Garamond" w:hAnsi="Garamond"/>
          <w:bCs w:val="0"/>
          <w:lang w:val="hu-HU"/>
        </w:rPr>
        <w:t>18</w:t>
      </w:r>
      <w:r w:rsidR="00916943">
        <w:rPr>
          <w:rFonts w:ascii="Garamond" w:hAnsi="Garamond"/>
          <w:bCs w:val="0"/>
          <w:lang w:val="hu-HU"/>
        </w:rPr>
        <w:t>0 napon</w:t>
      </w:r>
      <w:r w:rsidRPr="00F0116D">
        <w:rPr>
          <w:rFonts w:ascii="Garamond" w:hAnsi="Garamond"/>
          <w:bCs w:val="0"/>
        </w:rPr>
        <w:t xml:space="preserve"> </w:t>
      </w:r>
      <w:r w:rsidRPr="00F0116D">
        <w:rPr>
          <w:rFonts w:ascii="Garamond" w:hAnsi="Garamond"/>
          <w:b w:val="0"/>
          <w:sz w:val="22"/>
          <w:szCs w:val="22"/>
        </w:rPr>
        <w:t xml:space="preserve">belül köteles leszállítani. A leszállítás azt jelenti, hogy az eszközöket beüzemelt állapotban átadja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F0116D">
        <w:rPr>
          <w:rFonts w:ascii="Garamond" w:hAnsi="Garamond"/>
          <w:bCs w:val="0"/>
        </w:rPr>
        <w:t xml:space="preserve"> </w:t>
      </w:r>
      <w:r w:rsidR="00DE2DA9" w:rsidRPr="00D0239E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2722B8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2722B8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2722B8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2722B8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9DEA1BF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saját (vagy más) megfelelő fuvareszközön köteles biztosítani az eszközöknek a teljesítés helyére történő szállítását. A szállítás módszerének (alkalmazott eszköznek) olyannak kell lennie, hogy az eszközök ne sérüljenek, a jogszabályoknak, szabványoknak mindenben megfeleljenek. A lerakodás és a telepítési helyre történő beszállítás az Eladó kötelezettsége. Eladó köteles a lerakodáshoz a megfelelő személyi, ill. tárgyi feltételeket biztosítani.</w:t>
      </w:r>
    </w:p>
    <w:p w14:paraId="13C71625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közösen ellenőrzik az eszközök szemmel látható tulajdonágait, és azok szerződésszerűségét.</w:t>
      </w:r>
    </w:p>
    <w:p w14:paraId="13B527F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06ADE206" w:rsidR="00E72D76" w:rsidRPr="002722B8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során az Eladó átadja az eszközök használati útmutatóit, </w:t>
      </w:r>
      <w:r w:rsidR="00931FDA" w:rsidRPr="00931FDA">
        <w:rPr>
          <w:rFonts w:ascii="Garamond" w:hAnsi="Garamond"/>
          <w:b w:val="0"/>
          <w:sz w:val="22"/>
          <w:szCs w:val="22"/>
        </w:rPr>
        <w:t>alkatrész kataló</w:t>
      </w:r>
      <w:r w:rsidR="00931FDA">
        <w:rPr>
          <w:rFonts w:ascii="Garamond" w:hAnsi="Garamond"/>
          <w:b w:val="0"/>
          <w:sz w:val="22"/>
          <w:szCs w:val="22"/>
        </w:rPr>
        <w:t xml:space="preserve">gust, </w:t>
      </w:r>
      <w:r w:rsidRPr="002722B8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2722B8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eszköz 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forgalomba hozatal</w:t>
      </w:r>
      <w:r w:rsidR="00931FDA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hoz szükséges CE megfel</w:t>
      </w:r>
      <w:r w:rsidR="00916943">
        <w:rPr>
          <w:rFonts w:ascii="Garamond" w:hAnsi="Garamond"/>
          <w:b w:val="0"/>
          <w:sz w:val="22"/>
          <w:szCs w:val="22"/>
          <w:lang w:val="hu-HU"/>
        </w:rPr>
        <w:t>előség értékelési tanúsítványát.</w:t>
      </w:r>
    </w:p>
    <w:p w14:paraId="4ADFA8AB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654F8BD0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hibamentesen átadni az eszközöket. Az átadás-átvétel időpontjáról az Eladó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t legalább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5</w:t>
      </w:r>
      <w:r w:rsidRPr="002722B8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37B3A0E0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csak legális, a vonatkozó jogszabályoknak megfelelő forrásból szerezheti be az eszközöket, melyet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012F83F3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megrendelés teljesítése akkor történik meg, amikor az eszköz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a jótállás időtartama alatt az eszközök gyártó, forgalmazó által előírt kötelező karbantartási feladatait köteles ellátni, melynek költségét a vételár tartalmazza. A kötelező karbantartási feladatokra az eszközök terméktájékoztatóiban megfogalmazottak, ill. a gyártómű, ill. forgalmazó előírásai az irányadóak. A kötelező karbantartás során felhasznált anyagok, alkatrészek költségét a vételár tartalmazza.</w:t>
      </w:r>
    </w:p>
    <w:p w14:paraId="60A527EA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6E57EB0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>Késedelmi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</w:t>
      </w:r>
      <w:r w:rsidR="00291F40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vételára. </w:t>
      </w:r>
      <w:r w:rsidR="00E72D76" w:rsidRPr="002722B8">
        <w:rPr>
          <w:rFonts w:ascii="Garamond" w:hAnsi="Garamond"/>
          <w:b w:val="0"/>
          <w:sz w:val="22"/>
          <w:szCs w:val="22"/>
        </w:rPr>
        <w:t>A kése</w:t>
      </w:r>
      <w:r w:rsidR="003268FF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2056E4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2722B8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2722B8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550A83B1" w:rsidR="00E374AB" w:rsidRPr="002722B8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Hibás teljesítési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</w:t>
      </w:r>
      <w:r w:rsidR="00291F40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ellenértékének 5 %-a.</w:t>
      </w:r>
    </w:p>
    <w:p w14:paraId="65A97273" w14:textId="16537F5D" w:rsidR="00E374AB" w:rsidRPr="002722B8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2722B8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2722B8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s</w:t>
      </w:r>
      <w:r w:rsidRPr="002722B8">
        <w:rPr>
          <w:rFonts w:ascii="Garamond" w:hAnsi="Garamond"/>
          <w:b w:val="0"/>
          <w:sz w:val="22"/>
          <w:szCs w:val="22"/>
        </w:rPr>
        <w:t>vételi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2722B8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2722B8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2722B8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2722B8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 (6) bek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2722B8">
        <w:rPr>
          <w:rFonts w:ascii="Garamond" w:hAnsi="Garamond"/>
          <w:b w:val="0"/>
          <w:sz w:val="22"/>
          <w:szCs w:val="22"/>
        </w:rPr>
        <w:t xml:space="preserve"> feltétel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ek</w:t>
      </w:r>
      <w:r w:rsidRPr="002722B8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2722B8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2722B8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2722B8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2722B8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>VII. S</w:t>
      </w:r>
      <w:r w:rsidR="005D7A8E" w:rsidRPr="002722B8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2722B8">
        <w:rPr>
          <w:rFonts w:ascii="Garamond" w:hAnsi="Garamond"/>
          <w:lang w:eastAsia="x-none"/>
        </w:rPr>
        <w:t xml:space="preserve">a </w:t>
      </w:r>
      <w:r w:rsidRPr="002722B8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2722B8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7E1B1ED6" w:rsidR="00AE6D11" w:rsidRPr="002722B8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</w:rPr>
        <w:lastRenderedPageBreak/>
        <w:t>Felek megá</w:t>
      </w:r>
      <w:r w:rsidR="00AE6D11" w:rsidRPr="002722B8">
        <w:rPr>
          <w:rFonts w:ascii="Garamond" w:hAnsi="Garamond"/>
        </w:rPr>
        <w:t>llapodnak abban, hogy Eladó az E</w:t>
      </w:r>
      <w:r w:rsidRPr="002722B8">
        <w:rPr>
          <w:rFonts w:ascii="Garamond" w:hAnsi="Garamond"/>
        </w:rPr>
        <w:t>szközökre jótállást vállal</w:t>
      </w:r>
      <w:r w:rsidR="00AE6D11" w:rsidRPr="002722B8">
        <w:rPr>
          <w:rFonts w:ascii="Garamond" w:hAnsi="Garamond"/>
        </w:rPr>
        <w:t xml:space="preserve"> az Eszközök üzembe helyezésétől számított – általános - </w:t>
      </w:r>
      <w:r w:rsidR="00A15A2B">
        <w:rPr>
          <w:rFonts w:ascii="Garamond" w:hAnsi="Garamond"/>
        </w:rPr>
        <w:t>36</w:t>
      </w:r>
      <w:r w:rsidR="001641F9">
        <w:rPr>
          <w:rStyle w:val="Lbjegyzet-hivatkozs"/>
          <w:rFonts w:ascii="Garamond" w:hAnsi="Garamond"/>
        </w:rPr>
        <w:footnoteReference w:id="1"/>
      </w:r>
      <w:r w:rsidR="001641F9">
        <w:rPr>
          <w:rFonts w:ascii="Garamond" w:hAnsi="Garamond"/>
        </w:rPr>
        <w:t>.</w:t>
      </w:r>
      <w:r w:rsidR="00AE6D11" w:rsidRPr="002722B8">
        <w:rPr>
          <w:rFonts w:ascii="Garamond" w:hAnsi="Garamond"/>
        </w:rPr>
        <w:t>hónapi időtartamra</w:t>
      </w:r>
      <w:r w:rsidRPr="002722B8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>
        <w:rPr>
          <w:rFonts w:ascii="Garamond" w:hAnsi="Garamond"/>
        </w:rPr>
        <w:t>z</w:t>
      </w:r>
      <w:r w:rsidRPr="002722B8">
        <w:rPr>
          <w:rFonts w:ascii="Garamond" w:hAnsi="Garamond"/>
        </w:rPr>
        <w:t xml:space="preserve"> </w:t>
      </w:r>
      <w:r w:rsidR="00DE2DA9">
        <w:rPr>
          <w:rFonts w:ascii="Garamond" w:hAnsi="Garamond"/>
        </w:rPr>
        <w:t>Üzemeltető</w:t>
      </w:r>
      <w:r w:rsidRPr="002722B8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2722B8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2722B8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2722B8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2722B8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  <w:lang w:val="x-none" w:eastAsia="x-none"/>
        </w:rPr>
        <w:t xml:space="preserve">Az Eladó teljes és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2722B8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Default="00E72D76" w:rsidP="00E72D76">
      <w:pPr>
        <w:rPr>
          <w:rFonts w:ascii="Garamond" w:hAnsi="Garamond"/>
        </w:rPr>
      </w:pPr>
    </w:p>
    <w:p w14:paraId="486B258D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3448D6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10</w:t>
      </w:r>
      <w:r w:rsidRPr="002722B8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Ennek okán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rögzítik, hogy Ennek érdekében a szerződés teljesítésének teljes időtartama alatt Eladó tulajdonosi szerkezetét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2722B8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2722B8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a fentieken értik az elektronikus levelezés e-mail és a fax formáját is.</w:t>
      </w:r>
    </w:p>
    <w:p w14:paraId="63AFC4C2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>Felek képviseletére (jognyilatkozat tételére) az ott megjelölt esetleges korlátozásokkal az alábbi személyek jogosultak kizárólagosan:</w:t>
      </w:r>
    </w:p>
    <w:p w14:paraId="738E7602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2722B8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Üzemeltető</w:t>
      </w:r>
      <w:r w:rsidR="00E72D76" w:rsidRPr="002722B8">
        <w:rPr>
          <w:rFonts w:ascii="Garamond" w:hAnsi="Garamond"/>
          <w:sz w:val="22"/>
          <w:szCs w:val="22"/>
        </w:rPr>
        <w:t xml:space="preserve">  részéről:</w:t>
      </w:r>
    </w:p>
    <w:p w14:paraId="58C48F89" w14:textId="5DFBBF2A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 xml:space="preserve">Név, beosztás: </w:t>
      </w:r>
      <w:r w:rsidR="00A15A2B">
        <w:rPr>
          <w:rFonts w:ascii="Garamond" w:hAnsi="Garamond"/>
        </w:rPr>
        <w:t>Galambos András György ügyvezető</w:t>
      </w:r>
    </w:p>
    <w:p w14:paraId="07C36A44" w14:textId="540080A1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 xml:space="preserve">Elérhetőségei (levélcím, tel, fax): </w:t>
      </w:r>
      <w:hyperlink r:id="rId8" w:history="1">
        <w:r w:rsidR="00A15A2B" w:rsidRPr="00667EF6">
          <w:rPr>
            <w:rStyle w:val="Hiperhivatkozs"/>
            <w:rFonts w:ascii="Garamond" w:hAnsi="Garamond"/>
          </w:rPr>
          <w:t>galambos.andras@efebe.hu</w:t>
        </w:r>
      </w:hyperlink>
      <w:r w:rsidR="00A15A2B">
        <w:rPr>
          <w:rFonts w:ascii="Garamond" w:hAnsi="Garamond"/>
        </w:rPr>
        <w:t>; +36-30/900.1197</w:t>
      </w:r>
    </w:p>
    <w:p w14:paraId="4D8AB1C2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2722B8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2722B8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60B69886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2722B8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BB4D17" w:rsidRPr="002722B8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egyező</w:t>
      </w:r>
      <w:r w:rsidRPr="002722B8">
        <w:rPr>
          <w:rFonts w:ascii="Garamond" w:hAnsi="Garamond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2722B8">
        <w:rPr>
          <w:rFonts w:ascii="Garamond" w:hAnsi="Garamond"/>
          <w:b w:val="0"/>
          <w:sz w:val="22"/>
          <w:szCs w:val="22"/>
        </w:rPr>
        <w:t xml:space="preserve">ikötik </w:t>
      </w: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2722B8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 xml:space="preserve">Jelen szerződésben nem szabályozott kérdésekben Magyarország hatályos jogszabályai, különös tekintettel a Polgári Törvénykönyv (Ptk.), illetőleg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2722B8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ó</w:t>
      </w:r>
      <w:r w:rsidRPr="002722B8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258E1539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Budapest</w:t>
      </w:r>
      <w:r w:rsidRPr="002722B8">
        <w:rPr>
          <w:rFonts w:ascii="Garamond" w:hAnsi="Garamond"/>
          <w:sz w:val="22"/>
          <w:szCs w:val="22"/>
        </w:rPr>
        <w:t>, 20</w:t>
      </w:r>
      <w:r w:rsidR="00E76F39">
        <w:rPr>
          <w:rFonts w:ascii="Garamond" w:hAnsi="Garamond"/>
          <w:sz w:val="22"/>
          <w:szCs w:val="22"/>
          <w:lang w:val="hu-HU"/>
        </w:rPr>
        <w:t>23</w:t>
      </w:r>
      <w:r w:rsidRPr="002722B8">
        <w:rPr>
          <w:rFonts w:ascii="Garamond" w:hAnsi="Garamond"/>
          <w:sz w:val="22"/>
          <w:szCs w:val="22"/>
        </w:rPr>
        <w:t xml:space="preserve">. </w:t>
      </w:r>
      <w:r w:rsidRPr="002722B8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2722B8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2722B8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DE2DA9" w:rsidRPr="00C520ED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Vevő</w:t>
            </w:r>
            <w:r w:rsidRPr="002722B8">
              <w:rPr>
                <w:rFonts w:ascii="Garamond" w:hAnsi="Garamond"/>
              </w:rPr>
              <w:t xml:space="preserve">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75E5AD2B" w14:textId="77777777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C520ED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2722B8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2722B8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2722B8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E72D76" w:rsidRPr="00C520ED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2722B8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Üzemeltető</w:t>
            </w:r>
            <w:r w:rsidR="00E72D76" w:rsidRPr="002722B8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2722B8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2722B8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melléklet</w:t>
            </w:r>
            <w:r w:rsidR="007731F5" w:rsidRPr="002722B8">
              <w:rPr>
                <w:rFonts w:ascii="Garamond" w:hAnsi="Garamond"/>
              </w:rPr>
              <w:t>: átláthatósági nyilatkozat</w:t>
            </w:r>
            <w:r w:rsidRPr="002722B8">
              <w:rPr>
                <w:rFonts w:ascii="Garamond" w:hAnsi="Garamond"/>
              </w:rPr>
              <w:tab/>
            </w:r>
          </w:p>
          <w:p w14:paraId="4500B562" w14:textId="77777777" w:rsidR="00E72D76" w:rsidRPr="002722B8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Eladó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48504679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C520ED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Default="00ED77AF"/>
    <w:sectPr w:rsidR="00ED77AF" w:rsidSect="00CC7C2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32D9B" w14:textId="77777777" w:rsidR="00A64A43" w:rsidRDefault="00A64A43" w:rsidP="00BC1AC0">
      <w:pPr>
        <w:spacing w:after="0" w:line="240" w:lineRule="auto"/>
      </w:pPr>
      <w:r>
        <w:separator/>
      </w:r>
    </w:p>
  </w:endnote>
  <w:endnote w:type="continuationSeparator" w:id="0">
    <w:p w14:paraId="102E5774" w14:textId="77777777" w:rsidR="00A64A43" w:rsidRDefault="00A64A43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ED0EE" w14:textId="77777777" w:rsidR="00A64A43" w:rsidRDefault="00A64A43" w:rsidP="00BC1AC0">
      <w:pPr>
        <w:spacing w:after="0" w:line="240" w:lineRule="auto"/>
      </w:pPr>
      <w:r>
        <w:separator/>
      </w:r>
    </w:p>
  </w:footnote>
  <w:footnote w:type="continuationSeparator" w:id="0">
    <w:p w14:paraId="3997085E" w14:textId="77777777" w:rsidR="00A64A43" w:rsidRDefault="00A64A43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2056E4"/>
    <w:rsid w:val="00207F0B"/>
    <w:rsid w:val="00213E1B"/>
    <w:rsid w:val="00216793"/>
    <w:rsid w:val="002611D0"/>
    <w:rsid w:val="002722B8"/>
    <w:rsid w:val="00274126"/>
    <w:rsid w:val="00291F40"/>
    <w:rsid w:val="00294562"/>
    <w:rsid w:val="002970B3"/>
    <w:rsid w:val="002B0540"/>
    <w:rsid w:val="00303171"/>
    <w:rsid w:val="00315F69"/>
    <w:rsid w:val="003268FF"/>
    <w:rsid w:val="00334841"/>
    <w:rsid w:val="00342CB3"/>
    <w:rsid w:val="003448D6"/>
    <w:rsid w:val="003615A4"/>
    <w:rsid w:val="00363BC0"/>
    <w:rsid w:val="003677D3"/>
    <w:rsid w:val="0037285E"/>
    <w:rsid w:val="0037645E"/>
    <w:rsid w:val="003A68F5"/>
    <w:rsid w:val="003C092B"/>
    <w:rsid w:val="0041392E"/>
    <w:rsid w:val="0045283B"/>
    <w:rsid w:val="00452B07"/>
    <w:rsid w:val="00465251"/>
    <w:rsid w:val="00482D45"/>
    <w:rsid w:val="004A323E"/>
    <w:rsid w:val="004B3E72"/>
    <w:rsid w:val="004C4965"/>
    <w:rsid w:val="0051417E"/>
    <w:rsid w:val="00531892"/>
    <w:rsid w:val="0057711F"/>
    <w:rsid w:val="005A36E6"/>
    <w:rsid w:val="005A6B66"/>
    <w:rsid w:val="005D7A8E"/>
    <w:rsid w:val="00613ED0"/>
    <w:rsid w:val="006141C4"/>
    <w:rsid w:val="00616CF4"/>
    <w:rsid w:val="00672E60"/>
    <w:rsid w:val="00685D8F"/>
    <w:rsid w:val="00686DB2"/>
    <w:rsid w:val="00692255"/>
    <w:rsid w:val="006A036E"/>
    <w:rsid w:val="006B120D"/>
    <w:rsid w:val="006C7EE3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715C"/>
    <w:rsid w:val="007F0068"/>
    <w:rsid w:val="00821426"/>
    <w:rsid w:val="008268A7"/>
    <w:rsid w:val="00832DDA"/>
    <w:rsid w:val="008911EB"/>
    <w:rsid w:val="008D60B4"/>
    <w:rsid w:val="00910253"/>
    <w:rsid w:val="00916943"/>
    <w:rsid w:val="0092018C"/>
    <w:rsid w:val="00931FDA"/>
    <w:rsid w:val="009351FC"/>
    <w:rsid w:val="009456DA"/>
    <w:rsid w:val="009C6BDE"/>
    <w:rsid w:val="009F150C"/>
    <w:rsid w:val="009F409D"/>
    <w:rsid w:val="00A15A2B"/>
    <w:rsid w:val="00A300CD"/>
    <w:rsid w:val="00A34B09"/>
    <w:rsid w:val="00A64A43"/>
    <w:rsid w:val="00A67993"/>
    <w:rsid w:val="00A727BA"/>
    <w:rsid w:val="00A733FC"/>
    <w:rsid w:val="00A82BBF"/>
    <w:rsid w:val="00AE6D11"/>
    <w:rsid w:val="00B00EFB"/>
    <w:rsid w:val="00B015C6"/>
    <w:rsid w:val="00B1090A"/>
    <w:rsid w:val="00B10E9A"/>
    <w:rsid w:val="00B13B85"/>
    <w:rsid w:val="00B3424B"/>
    <w:rsid w:val="00B546F7"/>
    <w:rsid w:val="00BB4D17"/>
    <w:rsid w:val="00BC09F9"/>
    <w:rsid w:val="00BC1AC0"/>
    <w:rsid w:val="00BD7807"/>
    <w:rsid w:val="00BE3DCC"/>
    <w:rsid w:val="00BE58A3"/>
    <w:rsid w:val="00C45A72"/>
    <w:rsid w:val="00C469AB"/>
    <w:rsid w:val="00C561DC"/>
    <w:rsid w:val="00C76089"/>
    <w:rsid w:val="00C8606B"/>
    <w:rsid w:val="00CC7145"/>
    <w:rsid w:val="00CC7C22"/>
    <w:rsid w:val="00CD48A4"/>
    <w:rsid w:val="00D02171"/>
    <w:rsid w:val="00D0239E"/>
    <w:rsid w:val="00D319DE"/>
    <w:rsid w:val="00DA728E"/>
    <w:rsid w:val="00DE2DA9"/>
    <w:rsid w:val="00DF0988"/>
    <w:rsid w:val="00DF5EF3"/>
    <w:rsid w:val="00E255AE"/>
    <w:rsid w:val="00E34269"/>
    <w:rsid w:val="00E374AB"/>
    <w:rsid w:val="00E60662"/>
    <w:rsid w:val="00E72D76"/>
    <w:rsid w:val="00E74313"/>
    <w:rsid w:val="00E76F39"/>
    <w:rsid w:val="00E924FD"/>
    <w:rsid w:val="00EC059F"/>
    <w:rsid w:val="00ED1954"/>
    <w:rsid w:val="00ED234B"/>
    <w:rsid w:val="00ED6DA3"/>
    <w:rsid w:val="00ED77AF"/>
    <w:rsid w:val="00EF365D"/>
    <w:rsid w:val="00F0116D"/>
    <w:rsid w:val="00F0227E"/>
    <w:rsid w:val="00F1642B"/>
    <w:rsid w:val="00F25618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ambos.andras@efeb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2C5CB-E8F4-47BC-AC0D-C4187FB9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2487</Words>
  <Characters>17166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Szász Eleonóra dr.</cp:lastModifiedBy>
  <cp:revision>5</cp:revision>
  <cp:lastPrinted>2023-07-26T13:08:00Z</cp:lastPrinted>
  <dcterms:created xsi:type="dcterms:W3CDTF">2023-09-27T15:38:00Z</dcterms:created>
  <dcterms:modified xsi:type="dcterms:W3CDTF">2023-09-28T09:46:00Z</dcterms:modified>
</cp:coreProperties>
</file>