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00839" w14:textId="77777777" w:rsidR="0076420C" w:rsidRDefault="009D7BF2">
      <w:pPr>
        <w:pStyle w:val="Szvegtrzs"/>
        <w:rPr>
          <w:rFonts w:ascii="Times New Roman"/>
          <w:sz w:val="20"/>
        </w:rPr>
      </w:pPr>
      <w:r>
        <w:rPr>
          <w:noProof/>
        </w:rPr>
        <w:drawing>
          <wp:anchor distT="0" distB="0" distL="0" distR="0" simplePos="0" relativeHeight="487312896" behindDoc="1" locked="0" layoutInCell="1" allowOverlap="1" wp14:anchorId="3E3A68DB" wp14:editId="61D55E6A">
            <wp:simplePos x="0" y="0"/>
            <wp:positionH relativeFrom="page">
              <wp:posOffset>0</wp:posOffset>
            </wp:positionH>
            <wp:positionV relativeFrom="page">
              <wp:posOffset>7271003</wp:posOffset>
            </wp:positionV>
            <wp:extent cx="7555992" cy="342137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7555992" cy="3421379"/>
                    </a:xfrm>
                    <a:prstGeom prst="rect">
                      <a:avLst/>
                    </a:prstGeom>
                  </pic:spPr>
                </pic:pic>
              </a:graphicData>
            </a:graphic>
          </wp:anchor>
        </w:drawing>
      </w:r>
    </w:p>
    <w:p w14:paraId="7D085AC7" w14:textId="77777777" w:rsidR="0076420C" w:rsidRDefault="0076420C">
      <w:pPr>
        <w:pStyle w:val="Szvegtrzs"/>
        <w:rPr>
          <w:rFonts w:ascii="Times New Roman"/>
          <w:sz w:val="20"/>
        </w:rPr>
      </w:pPr>
    </w:p>
    <w:p w14:paraId="448F8FF6" w14:textId="77777777" w:rsidR="0076420C" w:rsidRDefault="0076420C">
      <w:pPr>
        <w:pStyle w:val="Szvegtrzs"/>
        <w:rPr>
          <w:rFonts w:ascii="Times New Roman"/>
          <w:sz w:val="20"/>
        </w:rPr>
      </w:pPr>
    </w:p>
    <w:p w14:paraId="52929A05" w14:textId="77777777" w:rsidR="0076420C" w:rsidRDefault="0076420C">
      <w:pPr>
        <w:pStyle w:val="Szvegtrzs"/>
        <w:rPr>
          <w:rFonts w:ascii="Times New Roman"/>
          <w:sz w:val="20"/>
        </w:rPr>
      </w:pPr>
    </w:p>
    <w:p w14:paraId="5D2BA0DC" w14:textId="77777777" w:rsidR="0076420C" w:rsidRDefault="0076420C">
      <w:pPr>
        <w:pStyle w:val="Szvegtrzs"/>
        <w:rPr>
          <w:rFonts w:ascii="Times New Roman"/>
          <w:sz w:val="20"/>
        </w:rPr>
      </w:pPr>
    </w:p>
    <w:p w14:paraId="6DC6F91A" w14:textId="77777777" w:rsidR="0076420C" w:rsidRDefault="0076420C">
      <w:pPr>
        <w:pStyle w:val="Szvegtrzs"/>
        <w:rPr>
          <w:rFonts w:ascii="Times New Roman"/>
          <w:sz w:val="20"/>
        </w:rPr>
      </w:pPr>
    </w:p>
    <w:p w14:paraId="054F4AD7" w14:textId="77777777" w:rsidR="0076420C" w:rsidRDefault="0076420C">
      <w:pPr>
        <w:pStyle w:val="Szvegtrzs"/>
        <w:rPr>
          <w:rFonts w:ascii="Times New Roman"/>
          <w:sz w:val="20"/>
        </w:rPr>
      </w:pPr>
    </w:p>
    <w:p w14:paraId="4DF6DF44" w14:textId="77777777" w:rsidR="0076420C" w:rsidRDefault="0076420C">
      <w:pPr>
        <w:pStyle w:val="Szvegtrzs"/>
        <w:rPr>
          <w:rFonts w:ascii="Times New Roman"/>
          <w:sz w:val="20"/>
        </w:rPr>
      </w:pPr>
    </w:p>
    <w:p w14:paraId="12E00048" w14:textId="77777777" w:rsidR="0076420C" w:rsidRDefault="0076420C">
      <w:pPr>
        <w:pStyle w:val="Szvegtrzs"/>
        <w:rPr>
          <w:rFonts w:ascii="Times New Roman"/>
          <w:sz w:val="20"/>
        </w:rPr>
      </w:pPr>
    </w:p>
    <w:p w14:paraId="3677960F" w14:textId="77777777" w:rsidR="0076420C" w:rsidRDefault="0076420C">
      <w:pPr>
        <w:pStyle w:val="Szvegtrzs"/>
        <w:rPr>
          <w:rFonts w:ascii="Times New Roman"/>
          <w:sz w:val="20"/>
        </w:rPr>
      </w:pPr>
    </w:p>
    <w:p w14:paraId="24C4975D" w14:textId="77777777" w:rsidR="0076420C" w:rsidRDefault="0076420C">
      <w:pPr>
        <w:pStyle w:val="Szvegtrzs"/>
        <w:rPr>
          <w:rFonts w:ascii="Times New Roman"/>
          <w:sz w:val="20"/>
        </w:rPr>
      </w:pPr>
    </w:p>
    <w:p w14:paraId="24EFA36D" w14:textId="77777777" w:rsidR="0076420C" w:rsidRDefault="0076420C">
      <w:pPr>
        <w:pStyle w:val="Szvegtrzs"/>
        <w:spacing w:before="9"/>
        <w:rPr>
          <w:rFonts w:ascii="Times New Roman"/>
          <w:sz w:val="18"/>
        </w:rPr>
      </w:pPr>
    </w:p>
    <w:p w14:paraId="6E1967F6" w14:textId="77777777" w:rsidR="00CB6B02" w:rsidRPr="002111DE" w:rsidRDefault="009D7BF2" w:rsidP="00CB6B02">
      <w:pPr>
        <w:jc w:val="center"/>
        <w:rPr>
          <w:b/>
          <w:bCs/>
          <w:sz w:val="28"/>
          <w:szCs w:val="28"/>
        </w:rPr>
      </w:pPr>
      <w:r w:rsidRPr="002111DE">
        <w:rPr>
          <w:b/>
          <w:bCs/>
          <w:sz w:val="28"/>
          <w:szCs w:val="28"/>
        </w:rPr>
        <w:t xml:space="preserve">EVIN Erzsébetvárosi Ingatlangazdálkodási Nonprofit </w:t>
      </w:r>
    </w:p>
    <w:p w14:paraId="185D61DE" w14:textId="405A952B" w:rsidR="0076420C" w:rsidRPr="002111DE" w:rsidRDefault="009D7BF2" w:rsidP="00CB6B02">
      <w:pPr>
        <w:jc w:val="center"/>
        <w:rPr>
          <w:b/>
          <w:bCs/>
          <w:sz w:val="28"/>
          <w:szCs w:val="28"/>
        </w:rPr>
      </w:pPr>
      <w:r w:rsidRPr="002111DE">
        <w:rPr>
          <w:b/>
          <w:bCs/>
          <w:sz w:val="28"/>
          <w:szCs w:val="28"/>
        </w:rPr>
        <w:t>Zártkörűen Működő Részvénytársaság</w:t>
      </w:r>
    </w:p>
    <w:p w14:paraId="5180503F" w14:textId="77777777" w:rsidR="0076420C" w:rsidRDefault="0076420C">
      <w:pPr>
        <w:pStyle w:val="Szvegtrzs"/>
        <w:rPr>
          <w:b/>
          <w:sz w:val="26"/>
        </w:rPr>
      </w:pPr>
    </w:p>
    <w:p w14:paraId="42936F7B" w14:textId="77777777" w:rsidR="0076420C" w:rsidRDefault="0076420C">
      <w:pPr>
        <w:pStyle w:val="Szvegtrzs"/>
        <w:spacing w:before="3"/>
        <w:rPr>
          <w:b/>
          <w:sz w:val="32"/>
        </w:rPr>
      </w:pPr>
    </w:p>
    <w:p w14:paraId="0A78AEA1" w14:textId="77777777" w:rsidR="0076420C" w:rsidRDefault="0076420C">
      <w:pPr>
        <w:pStyle w:val="Szvegtrzs"/>
        <w:rPr>
          <w:b/>
          <w:sz w:val="26"/>
        </w:rPr>
      </w:pPr>
    </w:p>
    <w:p w14:paraId="52D01966" w14:textId="77777777" w:rsidR="0076420C" w:rsidRDefault="0076420C">
      <w:pPr>
        <w:pStyle w:val="Szvegtrzs"/>
        <w:spacing w:before="6"/>
        <w:rPr>
          <w:b/>
          <w:sz w:val="35"/>
        </w:rPr>
      </w:pPr>
    </w:p>
    <w:p w14:paraId="146B3FC4" w14:textId="106D22BB" w:rsidR="0076420C" w:rsidRDefault="009D7BF2">
      <w:pPr>
        <w:ind w:right="582"/>
        <w:jc w:val="center"/>
        <w:rPr>
          <w:b/>
        </w:rPr>
      </w:pPr>
      <w:r>
        <w:rPr>
          <w:b/>
        </w:rPr>
        <w:t>202</w:t>
      </w:r>
      <w:r w:rsidR="004C3E56">
        <w:rPr>
          <w:b/>
        </w:rPr>
        <w:t>2</w:t>
      </w:r>
      <w:r>
        <w:rPr>
          <w:b/>
        </w:rPr>
        <w:t>. évre vonatkozó</w:t>
      </w:r>
    </w:p>
    <w:p w14:paraId="7179F048" w14:textId="77777777" w:rsidR="0076420C" w:rsidRDefault="0076420C">
      <w:pPr>
        <w:pStyle w:val="Szvegtrzs"/>
        <w:rPr>
          <w:b/>
          <w:sz w:val="26"/>
        </w:rPr>
      </w:pPr>
    </w:p>
    <w:p w14:paraId="6E03EF31" w14:textId="0D3F63BB" w:rsidR="0076420C" w:rsidRPr="004000E7" w:rsidRDefault="004000E7" w:rsidP="004000E7">
      <w:pPr>
        <w:ind w:right="578"/>
        <w:jc w:val="center"/>
        <w:rPr>
          <w:b/>
        </w:rPr>
      </w:pPr>
      <w:r>
        <w:rPr>
          <w:b/>
        </w:rPr>
        <w:t>MÓDOSÍTOTT</w:t>
      </w:r>
    </w:p>
    <w:p w14:paraId="27FC2084" w14:textId="77777777" w:rsidR="0076420C" w:rsidRDefault="009D7BF2">
      <w:pPr>
        <w:ind w:right="578"/>
        <w:jc w:val="center"/>
        <w:rPr>
          <w:b/>
        </w:rPr>
      </w:pPr>
      <w:r>
        <w:rPr>
          <w:b/>
        </w:rPr>
        <w:t>ÜZLETI TERVE</w:t>
      </w:r>
    </w:p>
    <w:p w14:paraId="0E782938" w14:textId="77777777" w:rsidR="0076420C" w:rsidRDefault="0076420C">
      <w:pPr>
        <w:pStyle w:val="Szvegtrzs"/>
        <w:rPr>
          <w:b/>
          <w:sz w:val="26"/>
        </w:rPr>
      </w:pPr>
    </w:p>
    <w:p w14:paraId="32D204D7" w14:textId="77777777" w:rsidR="0076420C" w:rsidRDefault="0076420C">
      <w:pPr>
        <w:pStyle w:val="Szvegtrzs"/>
        <w:rPr>
          <w:b/>
          <w:sz w:val="26"/>
        </w:rPr>
      </w:pPr>
    </w:p>
    <w:p w14:paraId="3E106820" w14:textId="77777777" w:rsidR="0076420C" w:rsidRDefault="0076420C">
      <w:pPr>
        <w:pStyle w:val="Szvegtrzs"/>
        <w:rPr>
          <w:b/>
          <w:sz w:val="26"/>
        </w:rPr>
      </w:pPr>
    </w:p>
    <w:p w14:paraId="16775A0F" w14:textId="77777777" w:rsidR="0076420C" w:rsidRDefault="0076420C">
      <w:pPr>
        <w:pStyle w:val="Szvegtrzs"/>
        <w:rPr>
          <w:b/>
          <w:sz w:val="26"/>
        </w:rPr>
      </w:pPr>
    </w:p>
    <w:p w14:paraId="7BC6C165" w14:textId="77777777" w:rsidR="0076420C" w:rsidRDefault="0076420C">
      <w:pPr>
        <w:pStyle w:val="Szvegtrzs"/>
        <w:rPr>
          <w:b/>
          <w:sz w:val="26"/>
        </w:rPr>
      </w:pPr>
    </w:p>
    <w:p w14:paraId="12F638A1" w14:textId="77777777" w:rsidR="0076420C" w:rsidRDefault="0076420C">
      <w:pPr>
        <w:pStyle w:val="Szvegtrzs"/>
        <w:rPr>
          <w:b/>
          <w:sz w:val="26"/>
        </w:rPr>
      </w:pPr>
    </w:p>
    <w:p w14:paraId="0AE73290" w14:textId="77777777" w:rsidR="0076420C" w:rsidRDefault="0076420C">
      <w:pPr>
        <w:pStyle w:val="Szvegtrzs"/>
        <w:rPr>
          <w:b/>
          <w:sz w:val="26"/>
        </w:rPr>
      </w:pPr>
    </w:p>
    <w:p w14:paraId="628B6905" w14:textId="77777777" w:rsidR="0076420C" w:rsidRDefault="0076420C">
      <w:pPr>
        <w:pStyle w:val="Szvegtrzs"/>
        <w:rPr>
          <w:b/>
          <w:sz w:val="26"/>
        </w:rPr>
      </w:pPr>
    </w:p>
    <w:p w14:paraId="1948D330" w14:textId="77777777" w:rsidR="0076420C" w:rsidRDefault="0076420C">
      <w:pPr>
        <w:pStyle w:val="Szvegtrzs"/>
        <w:rPr>
          <w:b/>
          <w:sz w:val="26"/>
        </w:rPr>
      </w:pPr>
    </w:p>
    <w:p w14:paraId="19DAA145" w14:textId="77777777" w:rsidR="0076420C" w:rsidRDefault="0076420C">
      <w:pPr>
        <w:pStyle w:val="Szvegtrzs"/>
        <w:rPr>
          <w:b/>
          <w:sz w:val="26"/>
        </w:rPr>
      </w:pPr>
    </w:p>
    <w:p w14:paraId="73699CD2" w14:textId="77777777" w:rsidR="0076420C" w:rsidRDefault="0076420C">
      <w:pPr>
        <w:pStyle w:val="Szvegtrzs"/>
        <w:rPr>
          <w:b/>
          <w:sz w:val="26"/>
        </w:rPr>
      </w:pPr>
    </w:p>
    <w:p w14:paraId="35B20C71" w14:textId="77777777" w:rsidR="0076420C" w:rsidRDefault="0076420C">
      <w:pPr>
        <w:pStyle w:val="Szvegtrzs"/>
        <w:rPr>
          <w:b/>
          <w:sz w:val="26"/>
        </w:rPr>
      </w:pPr>
    </w:p>
    <w:p w14:paraId="0A94111D" w14:textId="77777777" w:rsidR="0076420C" w:rsidRDefault="0076420C">
      <w:pPr>
        <w:pStyle w:val="Szvegtrzs"/>
        <w:rPr>
          <w:b/>
          <w:sz w:val="26"/>
        </w:rPr>
      </w:pPr>
    </w:p>
    <w:p w14:paraId="6D6132A4" w14:textId="77777777" w:rsidR="0076420C" w:rsidRDefault="0076420C">
      <w:pPr>
        <w:pStyle w:val="Szvegtrzs"/>
        <w:rPr>
          <w:b/>
          <w:sz w:val="26"/>
        </w:rPr>
      </w:pPr>
    </w:p>
    <w:p w14:paraId="44E0A4C1" w14:textId="77777777" w:rsidR="0076420C" w:rsidRDefault="0076420C">
      <w:pPr>
        <w:pStyle w:val="Szvegtrzs"/>
        <w:spacing w:before="8"/>
        <w:rPr>
          <w:b/>
          <w:sz w:val="31"/>
        </w:rPr>
      </w:pPr>
    </w:p>
    <w:p w14:paraId="791D5E98" w14:textId="262693FF" w:rsidR="0076420C" w:rsidRDefault="009D7BF2">
      <w:pPr>
        <w:pStyle w:val="Szvegtrzs"/>
        <w:ind w:right="580"/>
        <w:jc w:val="center"/>
      </w:pPr>
      <w:r>
        <w:t>Készült: Budapest, 202</w:t>
      </w:r>
      <w:r w:rsidR="00FB05FC">
        <w:t>2</w:t>
      </w:r>
      <w:r>
        <w:t>.</w:t>
      </w:r>
      <w:r w:rsidR="004000E7">
        <w:t>08</w:t>
      </w:r>
      <w:r w:rsidR="00A857F9">
        <w:t>.</w:t>
      </w:r>
      <w:r w:rsidR="004000E7">
        <w:t>31</w:t>
      </w:r>
      <w:r>
        <w:t>.</w:t>
      </w:r>
    </w:p>
    <w:p w14:paraId="76C2EF4B" w14:textId="77777777" w:rsidR="0076420C" w:rsidRDefault="0076420C">
      <w:pPr>
        <w:pStyle w:val="Szvegtrzs"/>
        <w:rPr>
          <w:sz w:val="26"/>
        </w:rPr>
      </w:pPr>
    </w:p>
    <w:p w14:paraId="2F62F6AD" w14:textId="77777777" w:rsidR="0076420C" w:rsidRDefault="0076420C">
      <w:pPr>
        <w:pStyle w:val="Szvegtrzs"/>
        <w:rPr>
          <w:sz w:val="26"/>
        </w:rPr>
      </w:pPr>
    </w:p>
    <w:p w14:paraId="029E0A04" w14:textId="77777777" w:rsidR="0076420C" w:rsidRDefault="0076420C">
      <w:pPr>
        <w:pStyle w:val="Szvegtrzs"/>
        <w:rPr>
          <w:sz w:val="26"/>
        </w:rPr>
      </w:pPr>
    </w:p>
    <w:p w14:paraId="03F2F3A7" w14:textId="77777777" w:rsidR="0076420C" w:rsidRDefault="0076420C">
      <w:pPr>
        <w:pStyle w:val="Szvegtrzs"/>
        <w:spacing w:before="2"/>
        <w:rPr>
          <w:sz w:val="25"/>
        </w:rPr>
      </w:pPr>
    </w:p>
    <w:p w14:paraId="1A7A09FD" w14:textId="77777777" w:rsidR="0076420C" w:rsidRDefault="009D7BF2">
      <w:pPr>
        <w:pStyle w:val="Szvegtrzs"/>
        <w:spacing w:line="453" w:lineRule="auto"/>
        <w:ind w:left="3704" w:right="4281"/>
        <w:jc w:val="center"/>
      </w:pPr>
      <w:r>
        <w:t>Dr. Halmai Gyula vezérigazgató</w:t>
      </w:r>
    </w:p>
    <w:p w14:paraId="56DE01D8" w14:textId="77777777" w:rsidR="0076420C" w:rsidRDefault="0076420C">
      <w:pPr>
        <w:spacing w:line="453" w:lineRule="auto"/>
        <w:jc w:val="center"/>
        <w:sectPr w:rsidR="0076420C">
          <w:headerReference w:type="default" r:id="rId9"/>
          <w:type w:val="continuous"/>
          <w:pgSz w:w="11910" w:h="16840"/>
          <w:pgMar w:top="1660" w:right="720" w:bottom="0" w:left="1300" w:header="696" w:footer="708" w:gutter="0"/>
          <w:cols w:space="708"/>
        </w:sectPr>
      </w:pPr>
    </w:p>
    <w:p w14:paraId="1DF9AF59" w14:textId="77777777" w:rsidR="0076420C" w:rsidRDefault="009D7BF2">
      <w:pPr>
        <w:pStyle w:val="Szvegtrzs"/>
        <w:spacing w:before="3"/>
        <w:rPr>
          <w:sz w:val="17"/>
        </w:rPr>
      </w:pPr>
      <w:r>
        <w:rPr>
          <w:noProof/>
        </w:rPr>
        <w:lastRenderedPageBreak/>
        <w:drawing>
          <wp:anchor distT="0" distB="0" distL="0" distR="0" simplePos="0" relativeHeight="487313408" behindDoc="1" locked="0" layoutInCell="1" allowOverlap="1" wp14:anchorId="519405F0" wp14:editId="36B4A493">
            <wp:simplePos x="0" y="0"/>
            <wp:positionH relativeFrom="page">
              <wp:posOffset>0</wp:posOffset>
            </wp:positionH>
            <wp:positionV relativeFrom="page">
              <wp:posOffset>7271003</wp:posOffset>
            </wp:positionV>
            <wp:extent cx="7555992" cy="3421379"/>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7555992" cy="3421379"/>
                    </a:xfrm>
                    <a:prstGeom prst="rect">
                      <a:avLst/>
                    </a:prstGeom>
                  </pic:spPr>
                </pic:pic>
              </a:graphicData>
            </a:graphic>
          </wp:anchor>
        </w:drawing>
      </w:r>
    </w:p>
    <w:p w14:paraId="27987191" w14:textId="77777777" w:rsidR="00CB6B02" w:rsidRDefault="009D7BF2" w:rsidP="00CB6B02">
      <w:pPr>
        <w:pStyle w:val="Tartalomjegyzkcmsora"/>
        <w:rPr>
          <w:rFonts w:ascii="Times New Roman" w:hAnsi="Times New Roman"/>
          <w:spacing w:val="-56"/>
          <w:u w:val="thick"/>
        </w:rPr>
      </w:pPr>
      <w:r>
        <w:rPr>
          <w:rFonts w:ascii="Times New Roman" w:hAnsi="Times New Roman"/>
          <w:spacing w:val="-56"/>
          <w:u w:val="thick"/>
        </w:rPr>
        <w:t xml:space="preserve"> </w:t>
      </w:r>
    </w:p>
    <w:sdt>
      <w:sdtPr>
        <w:rPr>
          <w:rFonts w:asciiTheme="minorHAnsi" w:eastAsiaTheme="minorHAnsi" w:hAnsiTheme="minorHAnsi" w:cstheme="minorBidi"/>
          <w:color w:val="auto"/>
          <w:sz w:val="22"/>
          <w:szCs w:val="22"/>
          <w:lang w:eastAsia="en-US"/>
        </w:rPr>
        <w:id w:val="-262071900"/>
        <w:docPartObj>
          <w:docPartGallery w:val="Table of Contents"/>
          <w:docPartUnique/>
        </w:docPartObj>
      </w:sdtPr>
      <w:sdtEndPr>
        <w:rPr>
          <w:rFonts w:ascii="Verdana" w:eastAsia="Verdana" w:hAnsi="Verdana" w:cs="Verdana"/>
        </w:rPr>
      </w:sdtEndPr>
      <w:sdtContent>
        <w:p w14:paraId="6B2862B3" w14:textId="1E0B03AB" w:rsidR="00CB6B02" w:rsidRPr="00785DF6" w:rsidRDefault="00CB6B02" w:rsidP="00CB6B02">
          <w:pPr>
            <w:pStyle w:val="Tartalomjegyzkcmsora"/>
            <w:rPr>
              <w:b/>
              <w:bCs/>
              <w:color w:val="auto"/>
            </w:rPr>
          </w:pPr>
          <w:r w:rsidRPr="00785DF6">
            <w:rPr>
              <w:b/>
              <w:bCs/>
              <w:color w:val="auto"/>
            </w:rPr>
            <w:t>Tartalomjegyzék</w:t>
          </w:r>
        </w:p>
        <w:p w14:paraId="075F58EE" w14:textId="77777777" w:rsidR="00CB6B02" w:rsidRPr="00CB6B02" w:rsidRDefault="00CB6B02" w:rsidP="00CB6B02">
          <w:pPr>
            <w:rPr>
              <w:lang w:eastAsia="hu-HU"/>
            </w:rPr>
          </w:pPr>
        </w:p>
        <w:p w14:paraId="06F43C07" w14:textId="4B33BB31" w:rsidR="0016274B" w:rsidRDefault="00CB6B02">
          <w:pPr>
            <w:pStyle w:val="TJ1"/>
            <w:rPr>
              <w:rFonts w:asciiTheme="minorHAnsi" w:hAnsiTheme="minorHAnsi" w:cstheme="minorBidi"/>
              <w:b w:val="0"/>
              <w:bCs w:val="0"/>
            </w:rPr>
          </w:pPr>
          <w:r w:rsidRPr="00CB6B02">
            <w:fldChar w:fldCharType="begin"/>
          </w:r>
          <w:r w:rsidRPr="00CB6B02">
            <w:instrText xml:space="preserve"> TOC \o "1-3" \h \z \u </w:instrText>
          </w:r>
          <w:r w:rsidRPr="00CB6B02">
            <w:fldChar w:fldCharType="separate"/>
          </w:r>
          <w:hyperlink w:anchor="_Toc96669270" w:history="1">
            <w:r w:rsidR="0016274B" w:rsidRPr="00594FBB">
              <w:rPr>
                <w:rStyle w:val="Hiperhivatkozs"/>
              </w:rPr>
              <w:t>Ingatlangazdálkodási feladatellátás</w:t>
            </w:r>
            <w:r w:rsidR="0016274B">
              <w:rPr>
                <w:webHidden/>
              </w:rPr>
              <w:tab/>
            </w:r>
            <w:r w:rsidR="0016274B">
              <w:rPr>
                <w:webHidden/>
              </w:rPr>
              <w:fldChar w:fldCharType="begin"/>
            </w:r>
            <w:r w:rsidR="0016274B">
              <w:rPr>
                <w:webHidden/>
              </w:rPr>
              <w:instrText xml:space="preserve"> PAGEREF _Toc96669270 \h </w:instrText>
            </w:r>
            <w:r w:rsidR="0016274B">
              <w:rPr>
                <w:webHidden/>
              </w:rPr>
            </w:r>
            <w:r w:rsidR="0016274B">
              <w:rPr>
                <w:webHidden/>
              </w:rPr>
              <w:fldChar w:fldCharType="separate"/>
            </w:r>
            <w:r w:rsidR="001F53BF">
              <w:rPr>
                <w:webHidden/>
              </w:rPr>
              <w:t>3</w:t>
            </w:r>
            <w:r w:rsidR="0016274B">
              <w:rPr>
                <w:webHidden/>
              </w:rPr>
              <w:fldChar w:fldCharType="end"/>
            </w:r>
          </w:hyperlink>
        </w:p>
        <w:p w14:paraId="62AF8A25" w14:textId="26078E98" w:rsidR="0016274B" w:rsidRDefault="00560F3D">
          <w:pPr>
            <w:pStyle w:val="TJ1"/>
            <w:tabs>
              <w:tab w:val="left" w:pos="440"/>
            </w:tabs>
            <w:rPr>
              <w:rFonts w:asciiTheme="minorHAnsi" w:hAnsiTheme="minorHAnsi" w:cstheme="minorBidi"/>
              <w:b w:val="0"/>
              <w:bCs w:val="0"/>
            </w:rPr>
          </w:pPr>
          <w:hyperlink w:anchor="_Toc96669271" w:history="1">
            <w:r w:rsidR="0016274B" w:rsidRPr="00594FBB">
              <w:rPr>
                <w:rStyle w:val="Hiperhivatkozs"/>
              </w:rPr>
              <w:t>I.</w:t>
            </w:r>
            <w:r w:rsidR="0016274B">
              <w:rPr>
                <w:rFonts w:asciiTheme="minorHAnsi" w:hAnsiTheme="minorHAnsi" w:cstheme="minorBidi"/>
                <w:b w:val="0"/>
                <w:bCs w:val="0"/>
              </w:rPr>
              <w:tab/>
            </w:r>
            <w:r w:rsidR="0016274B" w:rsidRPr="00594FBB">
              <w:rPr>
                <w:rStyle w:val="Hiperhivatkozs"/>
              </w:rPr>
              <w:t>Bevezetés</w:t>
            </w:r>
            <w:r w:rsidR="0016274B">
              <w:rPr>
                <w:webHidden/>
              </w:rPr>
              <w:tab/>
            </w:r>
            <w:r w:rsidR="0016274B">
              <w:rPr>
                <w:webHidden/>
              </w:rPr>
              <w:fldChar w:fldCharType="begin"/>
            </w:r>
            <w:r w:rsidR="0016274B">
              <w:rPr>
                <w:webHidden/>
              </w:rPr>
              <w:instrText xml:space="preserve"> PAGEREF _Toc96669271 \h </w:instrText>
            </w:r>
            <w:r w:rsidR="0016274B">
              <w:rPr>
                <w:webHidden/>
              </w:rPr>
            </w:r>
            <w:r w:rsidR="0016274B">
              <w:rPr>
                <w:webHidden/>
              </w:rPr>
              <w:fldChar w:fldCharType="separate"/>
            </w:r>
            <w:r w:rsidR="001F53BF">
              <w:rPr>
                <w:webHidden/>
              </w:rPr>
              <w:t>3</w:t>
            </w:r>
            <w:r w:rsidR="0016274B">
              <w:rPr>
                <w:webHidden/>
              </w:rPr>
              <w:fldChar w:fldCharType="end"/>
            </w:r>
          </w:hyperlink>
        </w:p>
        <w:p w14:paraId="035390BA" w14:textId="2032A893" w:rsidR="0016274B" w:rsidRDefault="00560F3D">
          <w:pPr>
            <w:pStyle w:val="TJ1"/>
            <w:tabs>
              <w:tab w:val="left" w:pos="660"/>
            </w:tabs>
            <w:rPr>
              <w:rFonts w:asciiTheme="minorHAnsi" w:hAnsiTheme="minorHAnsi" w:cstheme="minorBidi"/>
              <w:b w:val="0"/>
              <w:bCs w:val="0"/>
            </w:rPr>
          </w:pPr>
          <w:hyperlink w:anchor="_Toc96669272" w:history="1">
            <w:r w:rsidR="0016274B" w:rsidRPr="00594FBB">
              <w:rPr>
                <w:rStyle w:val="Hiperhivatkozs"/>
              </w:rPr>
              <w:t>II.</w:t>
            </w:r>
            <w:r w:rsidR="0016274B">
              <w:rPr>
                <w:rFonts w:asciiTheme="minorHAnsi" w:hAnsiTheme="minorHAnsi" w:cstheme="minorBidi"/>
                <w:b w:val="0"/>
                <w:bCs w:val="0"/>
              </w:rPr>
              <w:tab/>
            </w:r>
            <w:r w:rsidR="0016274B" w:rsidRPr="00594FBB">
              <w:rPr>
                <w:rStyle w:val="Hiperhivatkozs"/>
              </w:rPr>
              <w:t>Előzmények</w:t>
            </w:r>
            <w:r w:rsidR="0016274B">
              <w:rPr>
                <w:webHidden/>
              </w:rPr>
              <w:tab/>
            </w:r>
            <w:r w:rsidR="0016274B">
              <w:rPr>
                <w:webHidden/>
              </w:rPr>
              <w:fldChar w:fldCharType="begin"/>
            </w:r>
            <w:r w:rsidR="0016274B">
              <w:rPr>
                <w:webHidden/>
              </w:rPr>
              <w:instrText xml:space="preserve"> PAGEREF _Toc96669272 \h </w:instrText>
            </w:r>
            <w:r w:rsidR="0016274B">
              <w:rPr>
                <w:webHidden/>
              </w:rPr>
            </w:r>
            <w:r w:rsidR="0016274B">
              <w:rPr>
                <w:webHidden/>
              </w:rPr>
              <w:fldChar w:fldCharType="separate"/>
            </w:r>
            <w:r w:rsidR="001F53BF">
              <w:rPr>
                <w:webHidden/>
              </w:rPr>
              <w:t>5</w:t>
            </w:r>
            <w:r w:rsidR="0016274B">
              <w:rPr>
                <w:webHidden/>
              </w:rPr>
              <w:fldChar w:fldCharType="end"/>
            </w:r>
          </w:hyperlink>
        </w:p>
        <w:p w14:paraId="37E3D689" w14:textId="27C81A49" w:rsidR="0016274B" w:rsidRDefault="00560F3D">
          <w:pPr>
            <w:pStyle w:val="TJ1"/>
            <w:tabs>
              <w:tab w:val="left" w:pos="880"/>
            </w:tabs>
            <w:rPr>
              <w:rFonts w:asciiTheme="minorHAnsi" w:hAnsiTheme="minorHAnsi" w:cstheme="minorBidi"/>
              <w:b w:val="0"/>
              <w:bCs w:val="0"/>
            </w:rPr>
          </w:pPr>
          <w:hyperlink w:anchor="_Toc96669273" w:history="1">
            <w:r w:rsidR="0016274B" w:rsidRPr="00594FBB">
              <w:rPr>
                <w:rStyle w:val="Hiperhivatkozs"/>
              </w:rPr>
              <w:t>III.</w:t>
            </w:r>
            <w:r w:rsidR="0016274B">
              <w:rPr>
                <w:rFonts w:asciiTheme="minorHAnsi" w:hAnsiTheme="minorHAnsi" w:cstheme="minorBidi"/>
                <w:b w:val="0"/>
                <w:bCs w:val="0"/>
              </w:rPr>
              <w:tab/>
            </w:r>
            <w:r w:rsidR="0016274B" w:rsidRPr="00594FBB">
              <w:rPr>
                <w:rStyle w:val="Hiperhivatkozs"/>
              </w:rPr>
              <w:t>Lakásgazdálkodás</w:t>
            </w:r>
            <w:r w:rsidR="0016274B">
              <w:rPr>
                <w:webHidden/>
              </w:rPr>
              <w:tab/>
            </w:r>
            <w:r w:rsidR="0016274B">
              <w:rPr>
                <w:webHidden/>
              </w:rPr>
              <w:fldChar w:fldCharType="begin"/>
            </w:r>
            <w:r w:rsidR="0016274B">
              <w:rPr>
                <w:webHidden/>
              </w:rPr>
              <w:instrText xml:space="preserve"> PAGEREF _Toc96669273 \h </w:instrText>
            </w:r>
            <w:r w:rsidR="0016274B">
              <w:rPr>
                <w:webHidden/>
              </w:rPr>
            </w:r>
            <w:r w:rsidR="0016274B">
              <w:rPr>
                <w:webHidden/>
              </w:rPr>
              <w:fldChar w:fldCharType="separate"/>
            </w:r>
            <w:r w:rsidR="001F53BF">
              <w:rPr>
                <w:webHidden/>
              </w:rPr>
              <w:t>6</w:t>
            </w:r>
            <w:r w:rsidR="0016274B">
              <w:rPr>
                <w:webHidden/>
              </w:rPr>
              <w:fldChar w:fldCharType="end"/>
            </w:r>
          </w:hyperlink>
        </w:p>
        <w:p w14:paraId="3AAA0AA2" w14:textId="570C7279" w:rsidR="0016274B" w:rsidRDefault="00560F3D">
          <w:pPr>
            <w:pStyle w:val="TJ3"/>
            <w:tabs>
              <w:tab w:val="right" w:leader="dot" w:pos="9880"/>
            </w:tabs>
            <w:rPr>
              <w:rFonts w:asciiTheme="minorHAnsi" w:eastAsiaTheme="minorEastAsia" w:hAnsiTheme="minorHAnsi" w:cstheme="minorBidi"/>
              <w:noProof/>
              <w:lang w:eastAsia="hu-HU"/>
            </w:rPr>
          </w:pPr>
          <w:hyperlink w:anchor="_Toc96669274" w:history="1">
            <w:r w:rsidR="0016274B" w:rsidRPr="00594FBB">
              <w:rPr>
                <w:rStyle w:val="Hiperhivatkozs"/>
                <w:noProof/>
              </w:rPr>
              <w:t>Lakásgazdálkodás 2021</w:t>
            </w:r>
            <w:r w:rsidR="0016274B">
              <w:rPr>
                <w:noProof/>
                <w:webHidden/>
              </w:rPr>
              <w:tab/>
            </w:r>
            <w:r w:rsidR="0016274B">
              <w:rPr>
                <w:noProof/>
                <w:webHidden/>
              </w:rPr>
              <w:fldChar w:fldCharType="begin"/>
            </w:r>
            <w:r w:rsidR="0016274B">
              <w:rPr>
                <w:noProof/>
                <w:webHidden/>
              </w:rPr>
              <w:instrText xml:space="preserve"> PAGEREF _Toc96669274 \h </w:instrText>
            </w:r>
            <w:r w:rsidR="0016274B">
              <w:rPr>
                <w:noProof/>
                <w:webHidden/>
              </w:rPr>
            </w:r>
            <w:r w:rsidR="0016274B">
              <w:rPr>
                <w:noProof/>
                <w:webHidden/>
              </w:rPr>
              <w:fldChar w:fldCharType="separate"/>
            </w:r>
            <w:r w:rsidR="001F53BF">
              <w:rPr>
                <w:noProof/>
                <w:webHidden/>
              </w:rPr>
              <w:t>6</w:t>
            </w:r>
            <w:r w:rsidR="0016274B">
              <w:rPr>
                <w:noProof/>
                <w:webHidden/>
              </w:rPr>
              <w:fldChar w:fldCharType="end"/>
            </w:r>
          </w:hyperlink>
        </w:p>
        <w:p w14:paraId="2866B08F" w14:textId="2827B78E" w:rsidR="0016274B" w:rsidRDefault="00560F3D">
          <w:pPr>
            <w:pStyle w:val="TJ3"/>
            <w:tabs>
              <w:tab w:val="right" w:leader="dot" w:pos="9880"/>
            </w:tabs>
            <w:rPr>
              <w:rFonts w:asciiTheme="minorHAnsi" w:eastAsiaTheme="minorEastAsia" w:hAnsiTheme="minorHAnsi" w:cstheme="minorBidi"/>
              <w:noProof/>
              <w:lang w:eastAsia="hu-HU"/>
            </w:rPr>
          </w:pPr>
          <w:hyperlink w:anchor="_Toc96669275" w:history="1">
            <w:r w:rsidR="0016274B" w:rsidRPr="00594FBB">
              <w:rPr>
                <w:rStyle w:val="Hiperhivatkozs"/>
                <w:noProof/>
              </w:rPr>
              <w:t>Lakásgazdálkodási tervek 2022</w:t>
            </w:r>
            <w:r w:rsidR="0016274B">
              <w:rPr>
                <w:noProof/>
                <w:webHidden/>
              </w:rPr>
              <w:tab/>
            </w:r>
            <w:r w:rsidR="0016274B">
              <w:rPr>
                <w:noProof/>
                <w:webHidden/>
              </w:rPr>
              <w:fldChar w:fldCharType="begin"/>
            </w:r>
            <w:r w:rsidR="0016274B">
              <w:rPr>
                <w:noProof/>
                <w:webHidden/>
              </w:rPr>
              <w:instrText xml:space="preserve"> PAGEREF _Toc96669275 \h </w:instrText>
            </w:r>
            <w:r w:rsidR="0016274B">
              <w:rPr>
                <w:noProof/>
                <w:webHidden/>
              </w:rPr>
            </w:r>
            <w:r w:rsidR="0016274B">
              <w:rPr>
                <w:noProof/>
                <w:webHidden/>
              </w:rPr>
              <w:fldChar w:fldCharType="separate"/>
            </w:r>
            <w:r w:rsidR="001F53BF">
              <w:rPr>
                <w:noProof/>
                <w:webHidden/>
              </w:rPr>
              <w:t>7</w:t>
            </w:r>
            <w:r w:rsidR="0016274B">
              <w:rPr>
                <w:noProof/>
                <w:webHidden/>
              </w:rPr>
              <w:fldChar w:fldCharType="end"/>
            </w:r>
          </w:hyperlink>
        </w:p>
        <w:p w14:paraId="06903146" w14:textId="68096668" w:rsidR="0016274B" w:rsidRDefault="00560F3D">
          <w:pPr>
            <w:pStyle w:val="TJ1"/>
            <w:tabs>
              <w:tab w:val="left" w:pos="660"/>
            </w:tabs>
            <w:rPr>
              <w:rFonts w:asciiTheme="minorHAnsi" w:hAnsiTheme="minorHAnsi" w:cstheme="minorBidi"/>
              <w:b w:val="0"/>
              <w:bCs w:val="0"/>
            </w:rPr>
          </w:pPr>
          <w:hyperlink w:anchor="_Toc96669276" w:history="1">
            <w:r w:rsidR="0016274B" w:rsidRPr="00594FBB">
              <w:rPr>
                <w:rStyle w:val="Hiperhivatkozs"/>
              </w:rPr>
              <w:t>IV.</w:t>
            </w:r>
            <w:r w:rsidR="0016274B">
              <w:rPr>
                <w:rFonts w:asciiTheme="minorHAnsi" w:hAnsiTheme="minorHAnsi" w:cstheme="minorBidi"/>
                <w:b w:val="0"/>
                <w:bCs w:val="0"/>
              </w:rPr>
              <w:tab/>
            </w:r>
            <w:r w:rsidR="0016274B" w:rsidRPr="00594FBB">
              <w:rPr>
                <w:rStyle w:val="Hiperhivatkozs"/>
              </w:rPr>
              <w:t>Helyiséggazdálkodás</w:t>
            </w:r>
            <w:r w:rsidR="0016274B">
              <w:rPr>
                <w:webHidden/>
              </w:rPr>
              <w:tab/>
            </w:r>
            <w:r w:rsidR="0016274B">
              <w:rPr>
                <w:webHidden/>
              </w:rPr>
              <w:fldChar w:fldCharType="begin"/>
            </w:r>
            <w:r w:rsidR="0016274B">
              <w:rPr>
                <w:webHidden/>
              </w:rPr>
              <w:instrText xml:space="preserve"> PAGEREF _Toc96669276 \h </w:instrText>
            </w:r>
            <w:r w:rsidR="0016274B">
              <w:rPr>
                <w:webHidden/>
              </w:rPr>
            </w:r>
            <w:r w:rsidR="0016274B">
              <w:rPr>
                <w:webHidden/>
              </w:rPr>
              <w:fldChar w:fldCharType="separate"/>
            </w:r>
            <w:r w:rsidR="001F53BF">
              <w:rPr>
                <w:webHidden/>
              </w:rPr>
              <w:t>8</w:t>
            </w:r>
            <w:r w:rsidR="0016274B">
              <w:rPr>
                <w:webHidden/>
              </w:rPr>
              <w:fldChar w:fldCharType="end"/>
            </w:r>
          </w:hyperlink>
        </w:p>
        <w:p w14:paraId="64BEFD4E" w14:textId="6BBB13B8" w:rsidR="0016274B" w:rsidRDefault="00560F3D">
          <w:pPr>
            <w:pStyle w:val="TJ3"/>
            <w:tabs>
              <w:tab w:val="right" w:leader="dot" w:pos="9880"/>
            </w:tabs>
            <w:rPr>
              <w:rFonts w:asciiTheme="minorHAnsi" w:eastAsiaTheme="minorEastAsia" w:hAnsiTheme="minorHAnsi" w:cstheme="minorBidi"/>
              <w:noProof/>
              <w:lang w:eastAsia="hu-HU"/>
            </w:rPr>
          </w:pPr>
          <w:hyperlink w:anchor="_Toc96669277" w:history="1">
            <w:r w:rsidR="0016274B" w:rsidRPr="00594FBB">
              <w:rPr>
                <w:rStyle w:val="Hiperhivatkozs"/>
                <w:noProof/>
              </w:rPr>
              <w:t>Helyiséggazdálkodás 2021</w:t>
            </w:r>
            <w:r w:rsidR="0016274B">
              <w:rPr>
                <w:noProof/>
                <w:webHidden/>
              </w:rPr>
              <w:tab/>
            </w:r>
            <w:r w:rsidR="0016274B">
              <w:rPr>
                <w:noProof/>
                <w:webHidden/>
              </w:rPr>
              <w:fldChar w:fldCharType="begin"/>
            </w:r>
            <w:r w:rsidR="0016274B">
              <w:rPr>
                <w:noProof/>
                <w:webHidden/>
              </w:rPr>
              <w:instrText xml:space="preserve"> PAGEREF _Toc96669277 \h </w:instrText>
            </w:r>
            <w:r w:rsidR="0016274B">
              <w:rPr>
                <w:noProof/>
                <w:webHidden/>
              </w:rPr>
            </w:r>
            <w:r w:rsidR="0016274B">
              <w:rPr>
                <w:noProof/>
                <w:webHidden/>
              </w:rPr>
              <w:fldChar w:fldCharType="separate"/>
            </w:r>
            <w:r w:rsidR="001F53BF">
              <w:rPr>
                <w:noProof/>
                <w:webHidden/>
              </w:rPr>
              <w:t>8</w:t>
            </w:r>
            <w:r w:rsidR="0016274B">
              <w:rPr>
                <w:noProof/>
                <w:webHidden/>
              </w:rPr>
              <w:fldChar w:fldCharType="end"/>
            </w:r>
          </w:hyperlink>
        </w:p>
        <w:p w14:paraId="0E087FFE" w14:textId="5A0923D6" w:rsidR="0016274B" w:rsidRDefault="00560F3D">
          <w:pPr>
            <w:pStyle w:val="TJ3"/>
            <w:tabs>
              <w:tab w:val="right" w:leader="dot" w:pos="9880"/>
            </w:tabs>
            <w:rPr>
              <w:rFonts w:asciiTheme="minorHAnsi" w:eastAsiaTheme="minorEastAsia" w:hAnsiTheme="minorHAnsi" w:cstheme="minorBidi"/>
              <w:noProof/>
              <w:lang w:eastAsia="hu-HU"/>
            </w:rPr>
          </w:pPr>
          <w:hyperlink w:anchor="_Toc96669278" w:history="1">
            <w:r w:rsidR="0016274B" w:rsidRPr="00594FBB">
              <w:rPr>
                <w:rStyle w:val="Hiperhivatkozs"/>
                <w:noProof/>
              </w:rPr>
              <w:t>Helyiséggazdálkodási tervek 2022:</w:t>
            </w:r>
            <w:r w:rsidR="0016274B">
              <w:rPr>
                <w:noProof/>
                <w:webHidden/>
              </w:rPr>
              <w:tab/>
            </w:r>
            <w:r w:rsidR="0016274B">
              <w:rPr>
                <w:noProof/>
                <w:webHidden/>
              </w:rPr>
              <w:fldChar w:fldCharType="begin"/>
            </w:r>
            <w:r w:rsidR="0016274B">
              <w:rPr>
                <w:noProof/>
                <w:webHidden/>
              </w:rPr>
              <w:instrText xml:space="preserve"> PAGEREF _Toc96669278 \h </w:instrText>
            </w:r>
            <w:r w:rsidR="0016274B">
              <w:rPr>
                <w:noProof/>
                <w:webHidden/>
              </w:rPr>
            </w:r>
            <w:r w:rsidR="0016274B">
              <w:rPr>
                <w:noProof/>
                <w:webHidden/>
              </w:rPr>
              <w:fldChar w:fldCharType="separate"/>
            </w:r>
            <w:r w:rsidR="001F53BF">
              <w:rPr>
                <w:noProof/>
                <w:webHidden/>
              </w:rPr>
              <w:t>9</w:t>
            </w:r>
            <w:r w:rsidR="0016274B">
              <w:rPr>
                <w:noProof/>
                <w:webHidden/>
              </w:rPr>
              <w:fldChar w:fldCharType="end"/>
            </w:r>
          </w:hyperlink>
        </w:p>
        <w:p w14:paraId="7722E0E7" w14:textId="33262D9F" w:rsidR="0016274B" w:rsidRDefault="00560F3D">
          <w:pPr>
            <w:pStyle w:val="TJ1"/>
            <w:tabs>
              <w:tab w:val="left" w:pos="660"/>
            </w:tabs>
            <w:rPr>
              <w:rFonts w:asciiTheme="minorHAnsi" w:hAnsiTheme="minorHAnsi" w:cstheme="minorBidi"/>
              <w:b w:val="0"/>
              <w:bCs w:val="0"/>
            </w:rPr>
          </w:pPr>
          <w:hyperlink w:anchor="_Toc96669279" w:history="1">
            <w:r w:rsidR="0016274B" w:rsidRPr="00594FBB">
              <w:rPr>
                <w:rStyle w:val="Hiperhivatkozs"/>
              </w:rPr>
              <w:t>V.</w:t>
            </w:r>
            <w:r w:rsidR="0016274B">
              <w:rPr>
                <w:rFonts w:asciiTheme="minorHAnsi" w:hAnsiTheme="minorHAnsi" w:cstheme="minorBidi"/>
                <w:b w:val="0"/>
                <w:bCs w:val="0"/>
              </w:rPr>
              <w:tab/>
            </w:r>
            <w:r w:rsidR="0016274B" w:rsidRPr="00594FBB">
              <w:rPr>
                <w:rStyle w:val="Hiperhivatkozs"/>
              </w:rPr>
              <w:t>Ingatlanok karbantartása,</w:t>
            </w:r>
            <w:r w:rsidR="0016274B" w:rsidRPr="00594FBB">
              <w:rPr>
                <w:rStyle w:val="Hiperhivatkozs"/>
                <w:spacing w:val="-5"/>
              </w:rPr>
              <w:t xml:space="preserve"> </w:t>
            </w:r>
            <w:r w:rsidR="0016274B" w:rsidRPr="00594FBB">
              <w:rPr>
                <w:rStyle w:val="Hiperhivatkozs"/>
              </w:rPr>
              <w:t>üzemeltetése</w:t>
            </w:r>
            <w:r w:rsidR="0016274B">
              <w:rPr>
                <w:webHidden/>
              </w:rPr>
              <w:tab/>
            </w:r>
            <w:r w:rsidR="0016274B">
              <w:rPr>
                <w:webHidden/>
              </w:rPr>
              <w:fldChar w:fldCharType="begin"/>
            </w:r>
            <w:r w:rsidR="0016274B">
              <w:rPr>
                <w:webHidden/>
              </w:rPr>
              <w:instrText xml:space="preserve"> PAGEREF _Toc96669279 \h </w:instrText>
            </w:r>
            <w:r w:rsidR="0016274B">
              <w:rPr>
                <w:webHidden/>
              </w:rPr>
            </w:r>
            <w:r w:rsidR="0016274B">
              <w:rPr>
                <w:webHidden/>
              </w:rPr>
              <w:fldChar w:fldCharType="separate"/>
            </w:r>
            <w:r w:rsidR="001F53BF">
              <w:rPr>
                <w:webHidden/>
              </w:rPr>
              <w:t>10</w:t>
            </w:r>
            <w:r w:rsidR="0016274B">
              <w:rPr>
                <w:webHidden/>
              </w:rPr>
              <w:fldChar w:fldCharType="end"/>
            </w:r>
          </w:hyperlink>
        </w:p>
        <w:p w14:paraId="101AEF83" w14:textId="550F0B57" w:rsidR="0016274B" w:rsidRDefault="00560F3D">
          <w:pPr>
            <w:pStyle w:val="TJ3"/>
            <w:tabs>
              <w:tab w:val="right" w:leader="dot" w:pos="9880"/>
            </w:tabs>
            <w:rPr>
              <w:rFonts w:asciiTheme="minorHAnsi" w:eastAsiaTheme="minorEastAsia" w:hAnsiTheme="minorHAnsi" w:cstheme="minorBidi"/>
              <w:noProof/>
              <w:lang w:eastAsia="hu-HU"/>
            </w:rPr>
          </w:pPr>
          <w:hyperlink w:anchor="_Toc96669280" w:history="1">
            <w:r w:rsidR="0016274B" w:rsidRPr="00594FBB">
              <w:rPr>
                <w:rStyle w:val="Hiperhivatkozs"/>
                <w:noProof/>
              </w:rPr>
              <w:t>Ingatlanok karbantartása, üzemeltetése, felújítási munkák 2021 évben</w:t>
            </w:r>
            <w:r w:rsidR="0016274B">
              <w:rPr>
                <w:noProof/>
                <w:webHidden/>
              </w:rPr>
              <w:tab/>
            </w:r>
            <w:r w:rsidR="0016274B">
              <w:rPr>
                <w:noProof/>
                <w:webHidden/>
              </w:rPr>
              <w:fldChar w:fldCharType="begin"/>
            </w:r>
            <w:r w:rsidR="0016274B">
              <w:rPr>
                <w:noProof/>
                <w:webHidden/>
              </w:rPr>
              <w:instrText xml:space="preserve"> PAGEREF _Toc96669280 \h </w:instrText>
            </w:r>
            <w:r w:rsidR="0016274B">
              <w:rPr>
                <w:noProof/>
                <w:webHidden/>
              </w:rPr>
            </w:r>
            <w:r w:rsidR="0016274B">
              <w:rPr>
                <w:noProof/>
                <w:webHidden/>
              </w:rPr>
              <w:fldChar w:fldCharType="separate"/>
            </w:r>
            <w:r w:rsidR="001F53BF">
              <w:rPr>
                <w:noProof/>
                <w:webHidden/>
              </w:rPr>
              <w:t>10</w:t>
            </w:r>
            <w:r w:rsidR="0016274B">
              <w:rPr>
                <w:noProof/>
                <w:webHidden/>
              </w:rPr>
              <w:fldChar w:fldCharType="end"/>
            </w:r>
          </w:hyperlink>
        </w:p>
        <w:p w14:paraId="74633626" w14:textId="64CCB995" w:rsidR="0016274B" w:rsidRDefault="00560F3D">
          <w:pPr>
            <w:pStyle w:val="TJ3"/>
            <w:tabs>
              <w:tab w:val="right" w:leader="dot" w:pos="9880"/>
            </w:tabs>
            <w:rPr>
              <w:rFonts w:asciiTheme="minorHAnsi" w:eastAsiaTheme="minorEastAsia" w:hAnsiTheme="minorHAnsi" w:cstheme="minorBidi"/>
              <w:noProof/>
              <w:lang w:eastAsia="hu-HU"/>
            </w:rPr>
          </w:pPr>
          <w:hyperlink w:anchor="_Toc96669281" w:history="1">
            <w:r w:rsidR="0016274B" w:rsidRPr="00594FBB">
              <w:rPr>
                <w:rStyle w:val="Hiperhivatkozs"/>
                <w:noProof/>
              </w:rPr>
              <w:t>2022-re tervezett műszaki feladatok ellátása</w:t>
            </w:r>
            <w:r w:rsidR="0016274B">
              <w:rPr>
                <w:noProof/>
                <w:webHidden/>
              </w:rPr>
              <w:tab/>
            </w:r>
            <w:r w:rsidR="0016274B">
              <w:rPr>
                <w:noProof/>
                <w:webHidden/>
              </w:rPr>
              <w:fldChar w:fldCharType="begin"/>
            </w:r>
            <w:r w:rsidR="0016274B">
              <w:rPr>
                <w:noProof/>
                <w:webHidden/>
              </w:rPr>
              <w:instrText xml:space="preserve"> PAGEREF _Toc96669281 \h </w:instrText>
            </w:r>
            <w:r w:rsidR="0016274B">
              <w:rPr>
                <w:noProof/>
                <w:webHidden/>
              </w:rPr>
            </w:r>
            <w:r w:rsidR="0016274B">
              <w:rPr>
                <w:noProof/>
                <w:webHidden/>
              </w:rPr>
              <w:fldChar w:fldCharType="separate"/>
            </w:r>
            <w:r w:rsidR="001F53BF">
              <w:rPr>
                <w:noProof/>
                <w:webHidden/>
              </w:rPr>
              <w:t>11</w:t>
            </w:r>
            <w:r w:rsidR="0016274B">
              <w:rPr>
                <w:noProof/>
                <w:webHidden/>
              </w:rPr>
              <w:fldChar w:fldCharType="end"/>
            </w:r>
          </w:hyperlink>
        </w:p>
        <w:p w14:paraId="1D214D89" w14:textId="0454E397" w:rsidR="0016274B" w:rsidRDefault="00560F3D">
          <w:pPr>
            <w:pStyle w:val="TJ3"/>
            <w:tabs>
              <w:tab w:val="right" w:leader="dot" w:pos="9880"/>
            </w:tabs>
            <w:rPr>
              <w:rFonts w:asciiTheme="minorHAnsi" w:eastAsiaTheme="minorEastAsia" w:hAnsiTheme="minorHAnsi" w:cstheme="minorBidi"/>
              <w:noProof/>
              <w:lang w:eastAsia="hu-HU"/>
            </w:rPr>
          </w:pPr>
          <w:hyperlink w:anchor="_Toc96669282" w:history="1">
            <w:r w:rsidR="0016274B" w:rsidRPr="00594FBB">
              <w:rPr>
                <w:rStyle w:val="Hiperhivatkozs"/>
                <w:noProof/>
              </w:rPr>
              <w:t>2022 évi tervezett felújítási munkák</w:t>
            </w:r>
            <w:r w:rsidR="0016274B">
              <w:rPr>
                <w:noProof/>
                <w:webHidden/>
              </w:rPr>
              <w:tab/>
            </w:r>
            <w:r w:rsidR="0016274B">
              <w:rPr>
                <w:noProof/>
                <w:webHidden/>
              </w:rPr>
              <w:fldChar w:fldCharType="begin"/>
            </w:r>
            <w:r w:rsidR="0016274B">
              <w:rPr>
                <w:noProof/>
                <w:webHidden/>
              </w:rPr>
              <w:instrText xml:space="preserve"> PAGEREF _Toc96669282 \h </w:instrText>
            </w:r>
            <w:r w:rsidR="0016274B">
              <w:rPr>
                <w:noProof/>
                <w:webHidden/>
              </w:rPr>
            </w:r>
            <w:r w:rsidR="0016274B">
              <w:rPr>
                <w:noProof/>
                <w:webHidden/>
              </w:rPr>
              <w:fldChar w:fldCharType="separate"/>
            </w:r>
            <w:r w:rsidR="001F53BF">
              <w:rPr>
                <w:noProof/>
                <w:webHidden/>
              </w:rPr>
              <w:t>11</w:t>
            </w:r>
            <w:r w:rsidR="0016274B">
              <w:rPr>
                <w:noProof/>
                <w:webHidden/>
              </w:rPr>
              <w:fldChar w:fldCharType="end"/>
            </w:r>
          </w:hyperlink>
        </w:p>
        <w:p w14:paraId="21A852D1" w14:textId="266A791F" w:rsidR="0016274B" w:rsidRDefault="00560F3D">
          <w:pPr>
            <w:pStyle w:val="TJ1"/>
            <w:tabs>
              <w:tab w:val="left" w:pos="660"/>
            </w:tabs>
            <w:rPr>
              <w:rFonts w:asciiTheme="minorHAnsi" w:hAnsiTheme="minorHAnsi" w:cstheme="minorBidi"/>
              <w:b w:val="0"/>
              <w:bCs w:val="0"/>
            </w:rPr>
          </w:pPr>
          <w:hyperlink w:anchor="_Toc96669283" w:history="1">
            <w:r w:rsidR="0016274B" w:rsidRPr="00594FBB">
              <w:rPr>
                <w:rStyle w:val="Hiperhivatkozs"/>
              </w:rPr>
              <w:t>VI.</w:t>
            </w:r>
            <w:r w:rsidR="0016274B">
              <w:rPr>
                <w:rFonts w:asciiTheme="minorHAnsi" w:hAnsiTheme="minorHAnsi" w:cstheme="minorBidi"/>
                <w:b w:val="0"/>
                <w:bCs w:val="0"/>
              </w:rPr>
              <w:tab/>
            </w:r>
            <w:r w:rsidR="0016274B" w:rsidRPr="00594FBB">
              <w:rPr>
                <w:rStyle w:val="Hiperhivatkozs"/>
              </w:rPr>
              <w:t>Az ingatlangazdálkodási üzletág működési</w:t>
            </w:r>
            <w:r w:rsidR="0016274B" w:rsidRPr="00594FBB">
              <w:rPr>
                <w:rStyle w:val="Hiperhivatkozs"/>
                <w:spacing w:val="-7"/>
              </w:rPr>
              <w:t xml:space="preserve"> </w:t>
            </w:r>
            <w:r w:rsidR="0016274B" w:rsidRPr="00594FBB">
              <w:rPr>
                <w:rStyle w:val="Hiperhivatkozs"/>
              </w:rPr>
              <w:t>költségei</w:t>
            </w:r>
            <w:r w:rsidR="0016274B">
              <w:rPr>
                <w:webHidden/>
              </w:rPr>
              <w:tab/>
            </w:r>
            <w:r w:rsidR="0016274B">
              <w:rPr>
                <w:webHidden/>
              </w:rPr>
              <w:fldChar w:fldCharType="begin"/>
            </w:r>
            <w:r w:rsidR="0016274B">
              <w:rPr>
                <w:webHidden/>
              </w:rPr>
              <w:instrText xml:space="preserve"> PAGEREF _Toc96669283 \h </w:instrText>
            </w:r>
            <w:r w:rsidR="0016274B">
              <w:rPr>
                <w:webHidden/>
              </w:rPr>
            </w:r>
            <w:r w:rsidR="0016274B">
              <w:rPr>
                <w:webHidden/>
              </w:rPr>
              <w:fldChar w:fldCharType="separate"/>
            </w:r>
            <w:r w:rsidR="001F53BF">
              <w:rPr>
                <w:webHidden/>
              </w:rPr>
              <w:t>12</w:t>
            </w:r>
            <w:r w:rsidR="0016274B">
              <w:rPr>
                <w:webHidden/>
              </w:rPr>
              <w:fldChar w:fldCharType="end"/>
            </w:r>
          </w:hyperlink>
        </w:p>
        <w:p w14:paraId="517DF1CB" w14:textId="0F8B1C4D" w:rsidR="0016274B" w:rsidRDefault="00560F3D">
          <w:pPr>
            <w:pStyle w:val="TJ1"/>
            <w:rPr>
              <w:rFonts w:asciiTheme="minorHAnsi" w:hAnsiTheme="minorHAnsi" w:cstheme="minorBidi"/>
              <w:b w:val="0"/>
              <w:bCs w:val="0"/>
            </w:rPr>
          </w:pPr>
          <w:hyperlink w:anchor="_Toc96669284" w:history="1">
            <w:r w:rsidR="0016274B" w:rsidRPr="00594FBB">
              <w:rPr>
                <w:rStyle w:val="Hiperhivatkozs"/>
              </w:rPr>
              <w:t>Parkolás-üzemeltetési üzletág</w:t>
            </w:r>
            <w:r w:rsidR="0016274B">
              <w:rPr>
                <w:webHidden/>
              </w:rPr>
              <w:tab/>
            </w:r>
            <w:r w:rsidR="0016274B">
              <w:rPr>
                <w:webHidden/>
              </w:rPr>
              <w:fldChar w:fldCharType="begin"/>
            </w:r>
            <w:r w:rsidR="0016274B">
              <w:rPr>
                <w:webHidden/>
              </w:rPr>
              <w:instrText xml:space="preserve"> PAGEREF _Toc96669284 \h </w:instrText>
            </w:r>
            <w:r w:rsidR="0016274B">
              <w:rPr>
                <w:webHidden/>
              </w:rPr>
            </w:r>
            <w:r w:rsidR="0016274B">
              <w:rPr>
                <w:webHidden/>
              </w:rPr>
              <w:fldChar w:fldCharType="separate"/>
            </w:r>
            <w:r w:rsidR="001F53BF">
              <w:rPr>
                <w:webHidden/>
              </w:rPr>
              <w:t>14</w:t>
            </w:r>
            <w:r w:rsidR="0016274B">
              <w:rPr>
                <w:webHidden/>
              </w:rPr>
              <w:fldChar w:fldCharType="end"/>
            </w:r>
          </w:hyperlink>
        </w:p>
        <w:p w14:paraId="67B1D8BA" w14:textId="589CE9EA" w:rsidR="0016274B" w:rsidRDefault="00560F3D">
          <w:pPr>
            <w:pStyle w:val="TJ1"/>
            <w:tabs>
              <w:tab w:val="left" w:pos="440"/>
            </w:tabs>
            <w:rPr>
              <w:rFonts w:asciiTheme="minorHAnsi" w:hAnsiTheme="minorHAnsi" w:cstheme="minorBidi"/>
              <w:b w:val="0"/>
              <w:bCs w:val="0"/>
            </w:rPr>
          </w:pPr>
          <w:hyperlink w:anchor="_Toc96669285" w:history="1">
            <w:r w:rsidR="0016274B" w:rsidRPr="00594FBB">
              <w:rPr>
                <w:rStyle w:val="Hiperhivatkozs"/>
              </w:rPr>
              <w:t>I.</w:t>
            </w:r>
            <w:r w:rsidR="0016274B">
              <w:rPr>
                <w:rFonts w:asciiTheme="minorHAnsi" w:hAnsiTheme="minorHAnsi" w:cstheme="minorBidi"/>
                <w:b w:val="0"/>
                <w:bCs w:val="0"/>
              </w:rPr>
              <w:tab/>
            </w:r>
            <w:r w:rsidR="0016274B" w:rsidRPr="00594FBB">
              <w:rPr>
                <w:rStyle w:val="Hiperhivatkozs"/>
              </w:rPr>
              <w:t>Előzmények</w:t>
            </w:r>
            <w:r w:rsidR="0016274B">
              <w:rPr>
                <w:webHidden/>
              </w:rPr>
              <w:tab/>
            </w:r>
            <w:r w:rsidR="0016274B">
              <w:rPr>
                <w:webHidden/>
              </w:rPr>
              <w:fldChar w:fldCharType="begin"/>
            </w:r>
            <w:r w:rsidR="0016274B">
              <w:rPr>
                <w:webHidden/>
              </w:rPr>
              <w:instrText xml:space="preserve"> PAGEREF _Toc96669285 \h </w:instrText>
            </w:r>
            <w:r w:rsidR="0016274B">
              <w:rPr>
                <w:webHidden/>
              </w:rPr>
            </w:r>
            <w:r w:rsidR="0016274B">
              <w:rPr>
                <w:webHidden/>
              </w:rPr>
              <w:fldChar w:fldCharType="separate"/>
            </w:r>
            <w:r w:rsidR="001F53BF">
              <w:rPr>
                <w:webHidden/>
              </w:rPr>
              <w:t>14</w:t>
            </w:r>
            <w:r w:rsidR="0016274B">
              <w:rPr>
                <w:webHidden/>
              </w:rPr>
              <w:fldChar w:fldCharType="end"/>
            </w:r>
          </w:hyperlink>
        </w:p>
        <w:p w14:paraId="2CD44B90" w14:textId="59F3D03A" w:rsidR="0016274B" w:rsidRDefault="00560F3D">
          <w:pPr>
            <w:pStyle w:val="TJ1"/>
            <w:tabs>
              <w:tab w:val="left" w:pos="660"/>
            </w:tabs>
            <w:rPr>
              <w:rFonts w:asciiTheme="minorHAnsi" w:hAnsiTheme="minorHAnsi" w:cstheme="minorBidi"/>
              <w:b w:val="0"/>
              <w:bCs w:val="0"/>
            </w:rPr>
          </w:pPr>
          <w:hyperlink w:anchor="_Toc96669286" w:history="1">
            <w:r w:rsidR="0016274B" w:rsidRPr="00594FBB">
              <w:rPr>
                <w:rStyle w:val="Hiperhivatkozs"/>
              </w:rPr>
              <w:t>II.</w:t>
            </w:r>
            <w:r w:rsidR="0016274B">
              <w:rPr>
                <w:rFonts w:asciiTheme="minorHAnsi" w:hAnsiTheme="minorHAnsi" w:cstheme="minorBidi"/>
                <w:b w:val="0"/>
                <w:bCs w:val="0"/>
              </w:rPr>
              <w:tab/>
            </w:r>
            <w:r w:rsidR="0016274B" w:rsidRPr="00594FBB">
              <w:rPr>
                <w:rStyle w:val="Hiperhivatkozs"/>
              </w:rPr>
              <w:t>A 2021-es időszak tapasztalatainak bemutatása</w:t>
            </w:r>
            <w:r w:rsidR="0016274B">
              <w:rPr>
                <w:webHidden/>
              </w:rPr>
              <w:tab/>
            </w:r>
            <w:r w:rsidR="0016274B">
              <w:rPr>
                <w:webHidden/>
              </w:rPr>
              <w:fldChar w:fldCharType="begin"/>
            </w:r>
            <w:r w:rsidR="0016274B">
              <w:rPr>
                <w:webHidden/>
              </w:rPr>
              <w:instrText xml:space="preserve"> PAGEREF _Toc96669286 \h </w:instrText>
            </w:r>
            <w:r w:rsidR="0016274B">
              <w:rPr>
                <w:webHidden/>
              </w:rPr>
            </w:r>
            <w:r w:rsidR="0016274B">
              <w:rPr>
                <w:webHidden/>
              </w:rPr>
              <w:fldChar w:fldCharType="separate"/>
            </w:r>
            <w:r w:rsidR="001F53BF">
              <w:rPr>
                <w:webHidden/>
              </w:rPr>
              <w:t>16</w:t>
            </w:r>
            <w:r w:rsidR="0016274B">
              <w:rPr>
                <w:webHidden/>
              </w:rPr>
              <w:fldChar w:fldCharType="end"/>
            </w:r>
          </w:hyperlink>
        </w:p>
        <w:p w14:paraId="67638DAE" w14:textId="78CA484B" w:rsidR="0016274B" w:rsidRDefault="00560F3D">
          <w:pPr>
            <w:pStyle w:val="TJ3"/>
            <w:tabs>
              <w:tab w:val="right" w:leader="dot" w:pos="9880"/>
            </w:tabs>
            <w:rPr>
              <w:rFonts w:asciiTheme="minorHAnsi" w:eastAsiaTheme="minorEastAsia" w:hAnsiTheme="minorHAnsi" w:cstheme="minorBidi"/>
              <w:noProof/>
              <w:lang w:eastAsia="hu-HU"/>
            </w:rPr>
          </w:pPr>
          <w:hyperlink w:anchor="_Toc96669287" w:history="1">
            <w:r w:rsidR="0016274B" w:rsidRPr="00594FBB">
              <w:rPr>
                <w:rStyle w:val="Hiperhivatkozs"/>
                <w:noProof/>
              </w:rPr>
              <w:t>Ügyfélszolgálat</w:t>
            </w:r>
            <w:r w:rsidR="0016274B">
              <w:rPr>
                <w:noProof/>
                <w:webHidden/>
              </w:rPr>
              <w:tab/>
            </w:r>
            <w:r w:rsidR="0016274B">
              <w:rPr>
                <w:noProof/>
                <w:webHidden/>
              </w:rPr>
              <w:fldChar w:fldCharType="begin"/>
            </w:r>
            <w:r w:rsidR="0016274B">
              <w:rPr>
                <w:noProof/>
                <w:webHidden/>
              </w:rPr>
              <w:instrText xml:space="preserve"> PAGEREF _Toc96669287 \h </w:instrText>
            </w:r>
            <w:r w:rsidR="0016274B">
              <w:rPr>
                <w:noProof/>
                <w:webHidden/>
              </w:rPr>
            </w:r>
            <w:r w:rsidR="0016274B">
              <w:rPr>
                <w:noProof/>
                <w:webHidden/>
              </w:rPr>
              <w:fldChar w:fldCharType="separate"/>
            </w:r>
            <w:r w:rsidR="001F53BF">
              <w:rPr>
                <w:noProof/>
                <w:webHidden/>
              </w:rPr>
              <w:t>16</w:t>
            </w:r>
            <w:r w:rsidR="0016274B">
              <w:rPr>
                <w:noProof/>
                <w:webHidden/>
              </w:rPr>
              <w:fldChar w:fldCharType="end"/>
            </w:r>
          </w:hyperlink>
        </w:p>
        <w:p w14:paraId="713F3927" w14:textId="6E8AE5D6" w:rsidR="0016274B" w:rsidRDefault="00560F3D">
          <w:pPr>
            <w:pStyle w:val="TJ3"/>
            <w:tabs>
              <w:tab w:val="right" w:leader="dot" w:pos="9880"/>
            </w:tabs>
            <w:rPr>
              <w:rFonts w:asciiTheme="minorHAnsi" w:eastAsiaTheme="minorEastAsia" w:hAnsiTheme="minorHAnsi" w:cstheme="minorBidi"/>
              <w:noProof/>
              <w:lang w:eastAsia="hu-HU"/>
            </w:rPr>
          </w:pPr>
          <w:hyperlink w:anchor="_Toc96669288" w:history="1">
            <w:r w:rsidR="0016274B" w:rsidRPr="00594FBB">
              <w:rPr>
                <w:rStyle w:val="Hiperhivatkozs"/>
                <w:noProof/>
              </w:rPr>
              <w:t>Parkolás ellenőrzés</w:t>
            </w:r>
            <w:r w:rsidR="0016274B">
              <w:rPr>
                <w:noProof/>
                <w:webHidden/>
              </w:rPr>
              <w:tab/>
            </w:r>
            <w:r w:rsidR="0016274B">
              <w:rPr>
                <w:noProof/>
                <w:webHidden/>
              </w:rPr>
              <w:fldChar w:fldCharType="begin"/>
            </w:r>
            <w:r w:rsidR="0016274B">
              <w:rPr>
                <w:noProof/>
                <w:webHidden/>
              </w:rPr>
              <w:instrText xml:space="preserve"> PAGEREF _Toc96669288 \h </w:instrText>
            </w:r>
            <w:r w:rsidR="0016274B">
              <w:rPr>
                <w:noProof/>
                <w:webHidden/>
              </w:rPr>
            </w:r>
            <w:r w:rsidR="0016274B">
              <w:rPr>
                <w:noProof/>
                <w:webHidden/>
              </w:rPr>
              <w:fldChar w:fldCharType="separate"/>
            </w:r>
            <w:r w:rsidR="001F53BF">
              <w:rPr>
                <w:noProof/>
                <w:webHidden/>
              </w:rPr>
              <w:t>16</w:t>
            </w:r>
            <w:r w:rsidR="0016274B">
              <w:rPr>
                <w:noProof/>
                <w:webHidden/>
              </w:rPr>
              <w:fldChar w:fldCharType="end"/>
            </w:r>
          </w:hyperlink>
        </w:p>
        <w:p w14:paraId="2180916B" w14:textId="5B35522C" w:rsidR="0016274B" w:rsidRDefault="00560F3D">
          <w:pPr>
            <w:pStyle w:val="TJ3"/>
            <w:tabs>
              <w:tab w:val="right" w:leader="dot" w:pos="9880"/>
            </w:tabs>
            <w:rPr>
              <w:rFonts w:asciiTheme="minorHAnsi" w:eastAsiaTheme="minorEastAsia" w:hAnsiTheme="minorHAnsi" w:cstheme="minorBidi"/>
              <w:noProof/>
              <w:lang w:eastAsia="hu-HU"/>
            </w:rPr>
          </w:pPr>
          <w:hyperlink w:anchor="_Toc96669289" w:history="1">
            <w:r w:rsidR="0016274B" w:rsidRPr="00594FBB">
              <w:rPr>
                <w:rStyle w:val="Hiperhivatkozs"/>
                <w:noProof/>
              </w:rPr>
              <w:t>Jogi ügyek, pótdíj behajtások</w:t>
            </w:r>
            <w:r w:rsidR="0016274B">
              <w:rPr>
                <w:noProof/>
                <w:webHidden/>
              </w:rPr>
              <w:tab/>
            </w:r>
            <w:r w:rsidR="0016274B">
              <w:rPr>
                <w:noProof/>
                <w:webHidden/>
              </w:rPr>
              <w:fldChar w:fldCharType="begin"/>
            </w:r>
            <w:r w:rsidR="0016274B">
              <w:rPr>
                <w:noProof/>
                <w:webHidden/>
              </w:rPr>
              <w:instrText xml:space="preserve"> PAGEREF _Toc96669289 \h </w:instrText>
            </w:r>
            <w:r w:rsidR="0016274B">
              <w:rPr>
                <w:noProof/>
                <w:webHidden/>
              </w:rPr>
            </w:r>
            <w:r w:rsidR="0016274B">
              <w:rPr>
                <w:noProof/>
                <w:webHidden/>
              </w:rPr>
              <w:fldChar w:fldCharType="separate"/>
            </w:r>
            <w:r w:rsidR="001F53BF">
              <w:rPr>
                <w:noProof/>
                <w:webHidden/>
              </w:rPr>
              <w:t>17</w:t>
            </w:r>
            <w:r w:rsidR="0016274B">
              <w:rPr>
                <w:noProof/>
                <w:webHidden/>
              </w:rPr>
              <w:fldChar w:fldCharType="end"/>
            </w:r>
          </w:hyperlink>
        </w:p>
        <w:p w14:paraId="5C578046" w14:textId="7F411E9A" w:rsidR="0016274B" w:rsidRDefault="00560F3D">
          <w:pPr>
            <w:pStyle w:val="TJ3"/>
            <w:tabs>
              <w:tab w:val="right" w:leader="dot" w:pos="9880"/>
            </w:tabs>
            <w:rPr>
              <w:rFonts w:asciiTheme="minorHAnsi" w:eastAsiaTheme="minorEastAsia" w:hAnsiTheme="minorHAnsi" w:cstheme="minorBidi"/>
              <w:noProof/>
              <w:lang w:eastAsia="hu-HU"/>
            </w:rPr>
          </w:pPr>
          <w:hyperlink w:anchor="_Toc96669290" w:history="1">
            <w:r w:rsidR="0016274B" w:rsidRPr="00594FBB">
              <w:rPr>
                <w:rStyle w:val="Hiperhivatkozs"/>
                <w:noProof/>
              </w:rPr>
              <w:t>Bevételek és kiadások alakulása</w:t>
            </w:r>
            <w:r w:rsidR="0016274B">
              <w:rPr>
                <w:noProof/>
                <w:webHidden/>
              </w:rPr>
              <w:tab/>
            </w:r>
            <w:r w:rsidR="0016274B">
              <w:rPr>
                <w:noProof/>
                <w:webHidden/>
              </w:rPr>
              <w:fldChar w:fldCharType="begin"/>
            </w:r>
            <w:r w:rsidR="0016274B">
              <w:rPr>
                <w:noProof/>
                <w:webHidden/>
              </w:rPr>
              <w:instrText xml:space="preserve"> PAGEREF _Toc96669290 \h </w:instrText>
            </w:r>
            <w:r w:rsidR="0016274B">
              <w:rPr>
                <w:noProof/>
                <w:webHidden/>
              </w:rPr>
            </w:r>
            <w:r w:rsidR="0016274B">
              <w:rPr>
                <w:noProof/>
                <w:webHidden/>
              </w:rPr>
              <w:fldChar w:fldCharType="separate"/>
            </w:r>
            <w:r w:rsidR="001F53BF">
              <w:rPr>
                <w:noProof/>
                <w:webHidden/>
              </w:rPr>
              <w:t>17</w:t>
            </w:r>
            <w:r w:rsidR="0016274B">
              <w:rPr>
                <w:noProof/>
                <w:webHidden/>
              </w:rPr>
              <w:fldChar w:fldCharType="end"/>
            </w:r>
          </w:hyperlink>
        </w:p>
        <w:p w14:paraId="23E0E56F" w14:textId="3055822C" w:rsidR="0016274B" w:rsidRDefault="00560F3D">
          <w:pPr>
            <w:pStyle w:val="TJ1"/>
            <w:tabs>
              <w:tab w:val="left" w:pos="880"/>
            </w:tabs>
            <w:rPr>
              <w:rFonts w:asciiTheme="minorHAnsi" w:hAnsiTheme="minorHAnsi" w:cstheme="minorBidi"/>
              <w:b w:val="0"/>
              <w:bCs w:val="0"/>
            </w:rPr>
          </w:pPr>
          <w:hyperlink w:anchor="_Toc96669291" w:history="1">
            <w:r w:rsidR="0016274B" w:rsidRPr="00594FBB">
              <w:rPr>
                <w:rStyle w:val="Hiperhivatkozs"/>
              </w:rPr>
              <w:t>III.</w:t>
            </w:r>
            <w:r w:rsidR="0016274B">
              <w:rPr>
                <w:rFonts w:asciiTheme="minorHAnsi" w:hAnsiTheme="minorHAnsi" w:cstheme="minorBidi"/>
                <w:b w:val="0"/>
                <w:bCs w:val="0"/>
              </w:rPr>
              <w:tab/>
            </w:r>
            <w:r w:rsidR="0016274B" w:rsidRPr="00594FBB">
              <w:rPr>
                <w:rStyle w:val="Hiperhivatkozs"/>
              </w:rPr>
              <w:t>2022-es költségvetési terv</w:t>
            </w:r>
            <w:r w:rsidR="0016274B">
              <w:rPr>
                <w:webHidden/>
              </w:rPr>
              <w:tab/>
            </w:r>
            <w:r w:rsidR="0016274B">
              <w:rPr>
                <w:webHidden/>
              </w:rPr>
              <w:fldChar w:fldCharType="begin"/>
            </w:r>
            <w:r w:rsidR="0016274B">
              <w:rPr>
                <w:webHidden/>
              </w:rPr>
              <w:instrText xml:space="preserve"> PAGEREF _Toc96669291 \h </w:instrText>
            </w:r>
            <w:r w:rsidR="0016274B">
              <w:rPr>
                <w:webHidden/>
              </w:rPr>
            </w:r>
            <w:r w:rsidR="0016274B">
              <w:rPr>
                <w:webHidden/>
              </w:rPr>
              <w:fldChar w:fldCharType="separate"/>
            </w:r>
            <w:r w:rsidR="001F53BF">
              <w:rPr>
                <w:webHidden/>
              </w:rPr>
              <w:t>18</w:t>
            </w:r>
            <w:r w:rsidR="0016274B">
              <w:rPr>
                <w:webHidden/>
              </w:rPr>
              <w:fldChar w:fldCharType="end"/>
            </w:r>
          </w:hyperlink>
        </w:p>
        <w:p w14:paraId="05CE8B4D" w14:textId="64CF4CD7" w:rsidR="0016274B" w:rsidRDefault="00560F3D">
          <w:pPr>
            <w:pStyle w:val="TJ3"/>
            <w:tabs>
              <w:tab w:val="right" w:leader="dot" w:pos="9880"/>
            </w:tabs>
            <w:rPr>
              <w:rFonts w:asciiTheme="minorHAnsi" w:eastAsiaTheme="minorEastAsia" w:hAnsiTheme="minorHAnsi" w:cstheme="minorBidi"/>
              <w:noProof/>
              <w:lang w:eastAsia="hu-HU"/>
            </w:rPr>
          </w:pPr>
          <w:hyperlink w:anchor="_Toc96669292" w:history="1">
            <w:r w:rsidR="0016274B" w:rsidRPr="00594FBB">
              <w:rPr>
                <w:rStyle w:val="Hiperhivatkozs"/>
                <w:noProof/>
              </w:rPr>
              <w:t>Bevételek</w:t>
            </w:r>
            <w:r w:rsidR="0016274B">
              <w:rPr>
                <w:noProof/>
                <w:webHidden/>
              </w:rPr>
              <w:tab/>
            </w:r>
            <w:r w:rsidR="0016274B">
              <w:rPr>
                <w:noProof/>
                <w:webHidden/>
              </w:rPr>
              <w:fldChar w:fldCharType="begin"/>
            </w:r>
            <w:r w:rsidR="0016274B">
              <w:rPr>
                <w:noProof/>
                <w:webHidden/>
              </w:rPr>
              <w:instrText xml:space="preserve"> PAGEREF _Toc96669292 \h </w:instrText>
            </w:r>
            <w:r w:rsidR="0016274B">
              <w:rPr>
                <w:noProof/>
                <w:webHidden/>
              </w:rPr>
            </w:r>
            <w:r w:rsidR="0016274B">
              <w:rPr>
                <w:noProof/>
                <w:webHidden/>
              </w:rPr>
              <w:fldChar w:fldCharType="separate"/>
            </w:r>
            <w:r w:rsidR="001F53BF">
              <w:rPr>
                <w:noProof/>
                <w:webHidden/>
              </w:rPr>
              <w:t>18</w:t>
            </w:r>
            <w:r w:rsidR="0016274B">
              <w:rPr>
                <w:noProof/>
                <w:webHidden/>
              </w:rPr>
              <w:fldChar w:fldCharType="end"/>
            </w:r>
          </w:hyperlink>
        </w:p>
        <w:p w14:paraId="5FC2B062" w14:textId="13703202" w:rsidR="0016274B" w:rsidRDefault="00560F3D">
          <w:pPr>
            <w:pStyle w:val="TJ3"/>
            <w:tabs>
              <w:tab w:val="right" w:leader="dot" w:pos="9880"/>
            </w:tabs>
            <w:rPr>
              <w:rFonts w:asciiTheme="minorHAnsi" w:eastAsiaTheme="minorEastAsia" w:hAnsiTheme="minorHAnsi" w:cstheme="minorBidi"/>
              <w:noProof/>
              <w:lang w:eastAsia="hu-HU"/>
            </w:rPr>
          </w:pPr>
          <w:hyperlink w:anchor="_Toc96669293" w:history="1">
            <w:r w:rsidR="0016274B" w:rsidRPr="00594FBB">
              <w:rPr>
                <w:rStyle w:val="Hiperhivatkozs"/>
                <w:noProof/>
              </w:rPr>
              <w:t>Kiadások</w:t>
            </w:r>
            <w:r w:rsidR="0016274B">
              <w:rPr>
                <w:noProof/>
                <w:webHidden/>
              </w:rPr>
              <w:tab/>
            </w:r>
            <w:r w:rsidR="0016274B">
              <w:rPr>
                <w:noProof/>
                <w:webHidden/>
              </w:rPr>
              <w:fldChar w:fldCharType="begin"/>
            </w:r>
            <w:r w:rsidR="0016274B">
              <w:rPr>
                <w:noProof/>
                <w:webHidden/>
              </w:rPr>
              <w:instrText xml:space="preserve"> PAGEREF _Toc96669293 \h </w:instrText>
            </w:r>
            <w:r w:rsidR="0016274B">
              <w:rPr>
                <w:noProof/>
                <w:webHidden/>
              </w:rPr>
            </w:r>
            <w:r w:rsidR="0016274B">
              <w:rPr>
                <w:noProof/>
                <w:webHidden/>
              </w:rPr>
              <w:fldChar w:fldCharType="separate"/>
            </w:r>
            <w:r w:rsidR="001F53BF">
              <w:rPr>
                <w:noProof/>
                <w:webHidden/>
              </w:rPr>
              <w:t>20</w:t>
            </w:r>
            <w:r w:rsidR="0016274B">
              <w:rPr>
                <w:noProof/>
                <w:webHidden/>
              </w:rPr>
              <w:fldChar w:fldCharType="end"/>
            </w:r>
          </w:hyperlink>
        </w:p>
        <w:p w14:paraId="4AF58E45" w14:textId="443ECE02" w:rsidR="0016274B" w:rsidRDefault="00560F3D">
          <w:pPr>
            <w:pStyle w:val="TJ3"/>
            <w:tabs>
              <w:tab w:val="right" w:leader="dot" w:pos="9880"/>
            </w:tabs>
            <w:rPr>
              <w:rFonts w:asciiTheme="minorHAnsi" w:eastAsiaTheme="minorEastAsia" w:hAnsiTheme="minorHAnsi" w:cstheme="minorBidi"/>
              <w:noProof/>
              <w:lang w:eastAsia="hu-HU"/>
            </w:rPr>
          </w:pPr>
          <w:hyperlink w:anchor="_Toc96669294" w:history="1">
            <w:r w:rsidR="0016274B" w:rsidRPr="00594FBB">
              <w:rPr>
                <w:rStyle w:val="Hiperhivatkozs"/>
                <w:noProof/>
              </w:rPr>
              <w:t>Eredmény</w:t>
            </w:r>
            <w:r w:rsidR="0016274B">
              <w:rPr>
                <w:noProof/>
                <w:webHidden/>
              </w:rPr>
              <w:tab/>
            </w:r>
            <w:r w:rsidR="0016274B">
              <w:rPr>
                <w:noProof/>
                <w:webHidden/>
              </w:rPr>
              <w:fldChar w:fldCharType="begin"/>
            </w:r>
            <w:r w:rsidR="0016274B">
              <w:rPr>
                <w:noProof/>
                <w:webHidden/>
              </w:rPr>
              <w:instrText xml:space="preserve"> PAGEREF _Toc96669294 \h </w:instrText>
            </w:r>
            <w:r w:rsidR="0016274B">
              <w:rPr>
                <w:noProof/>
                <w:webHidden/>
              </w:rPr>
            </w:r>
            <w:r w:rsidR="0016274B">
              <w:rPr>
                <w:noProof/>
                <w:webHidden/>
              </w:rPr>
              <w:fldChar w:fldCharType="separate"/>
            </w:r>
            <w:r w:rsidR="001F53BF">
              <w:rPr>
                <w:noProof/>
                <w:webHidden/>
              </w:rPr>
              <w:t>21</w:t>
            </w:r>
            <w:r w:rsidR="0016274B">
              <w:rPr>
                <w:noProof/>
                <w:webHidden/>
              </w:rPr>
              <w:fldChar w:fldCharType="end"/>
            </w:r>
          </w:hyperlink>
        </w:p>
        <w:p w14:paraId="495FD1C5" w14:textId="0951C893" w:rsidR="0016274B" w:rsidRDefault="00560F3D">
          <w:pPr>
            <w:pStyle w:val="TJ3"/>
            <w:tabs>
              <w:tab w:val="right" w:leader="dot" w:pos="9880"/>
            </w:tabs>
            <w:rPr>
              <w:rFonts w:asciiTheme="minorHAnsi" w:eastAsiaTheme="minorEastAsia" w:hAnsiTheme="minorHAnsi" w:cstheme="minorBidi"/>
              <w:noProof/>
              <w:lang w:eastAsia="hu-HU"/>
            </w:rPr>
          </w:pPr>
          <w:hyperlink w:anchor="_Toc96669295" w:history="1">
            <w:r w:rsidR="0016274B" w:rsidRPr="00594FBB">
              <w:rPr>
                <w:rStyle w:val="Hiperhivatkozs"/>
                <w:noProof/>
              </w:rPr>
              <w:t>2022. évi felhalmozási igény</w:t>
            </w:r>
            <w:r w:rsidR="0016274B">
              <w:rPr>
                <w:noProof/>
                <w:webHidden/>
              </w:rPr>
              <w:tab/>
            </w:r>
            <w:r w:rsidR="0016274B">
              <w:rPr>
                <w:noProof/>
                <w:webHidden/>
              </w:rPr>
              <w:fldChar w:fldCharType="begin"/>
            </w:r>
            <w:r w:rsidR="0016274B">
              <w:rPr>
                <w:noProof/>
                <w:webHidden/>
              </w:rPr>
              <w:instrText xml:space="preserve"> PAGEREF _Toc96669295 \h </w:instrText>
            </w:r>
            <w:r w:rsidR="0016274B">
              <w:rPr>
                <w:noProof/>
                <w:webHidden/>
              </w:rPr>
            </w:r>
            <w:r w:rsidR="0016274B">
              <w:rPr>
                <w:noProof/>
                <w:webHidden/>
              </w:rPr>
              <w:fldChar w:fldCharType="separate"/>
            </w:r>
            <w:r w:rsidR="001F53BF">
              <w:rPr>
                <w:noProof/>
                <w:webHidden/>
              </w:rPr>
              <w:t>21</w:t>
            </w:r>
            <w:r w:rsidR="0016274B">
              <w:rPr>
                <w:noProof/>
                <w:webHidden/>
              </w:rPr>
              <w:fldChar w:fldCharType="end"/>
            </w:r>
          </w:hyperlink>
        </w:p>
        <w:p w14:paraId="7BFF5133" w14:textId="0799AB2C" w:rsidR="0016274B" w:rsidRDefault="00560F3D">
          <w:pPr>
            <w:pStyle w:val="TJ1"/>
            <w:rPr>
              <w:rFonts w:asciiTheme="minorHAnsi" w:hAnsiTheme="minorHAnsi" w:cstheme="minorBidi"/>
              <w:b w:val="0"/>
              <w:bCs w:val="0"/>
            </w:rPr>
          </w:pPr>
          <w:hyperlink w:anchor="_Toc96669296" w:history="1">
            <w:r w:rsidR="0016274B" w:rsidRPr="00594FBB">
              <w:rPr>
                <w:rStyle w:val="Hiperhivatkozs"/>
              </w:rPr>
              <w:t>Összegzés</w:t>
            </w:r>
            <w:r w:rsidR="0016274B">
              <w:rPr>
                <w:webHidden/>
              </w:rPr>
              <w:tab/>
            </w:r>
            <w:r w:rsidR="0016274B">
              <w:rPr>
                <w:webHidden/>
              </w:rPr>
              <w:fldChar w:fldCharType="begin"/>
            </w:r>
            <w:r w:rsidR="0016274B">
              <w:rPr>
                <w:webHidden/>
              </w:rPr>
              <w:instrText xml:space="preserve"> PAGEREF _Toc96669296 \h </w:instrText>
            </w:r>
            <w:r w:rsidR="0016274B">
              <w:rPr>
                <w:webHidden/>
              </w:rPr>
            </w:r>
            <w:r w:rsidR="0016274B">
              <w:rPr>
                <w:webHidden/>
              </w:rPr>
              <w:fldChar w:fldCharType="separate"/>
            </w:r>
            <w:r w:rsidR="001F53BF">
              <w:rPr>
                <w:webHidden/>
              </w:rPr>
              <w:t>22</w:t>
            </w:r>
            <w:r w:rsidR="0016274B">
              <w:rPr>
                <w:webHidden/>
              </w:rPr>
              <w:fldChar w:fldCharType="end"/>
            </w:r>
          </w:hyperlink>
        </w:p>
        <w:p w14:paraId="562AF2AC" w14:textId="0CDAFB2E" w:rsidR="00CB6B02" w:rsidRDefault="00CB6B02" w:rsidP="00CB6B02">
          <w:pPr>
            <w:widowControl/>
            <w:autoSpaceDE/>
            <w:autoSpaceDN/>
            <w:spacing w:after="200" w:line="276" w:lineRule="auto"/>
          </w:pPr>
          <w:r w:rsidRPr="00CB6B02">
            <w:fldChar w:fldCharType="end"/>
          </w:r>
        </w:p>
      </w:sdtContent>
    </w:sdt>
    <w:p w14:paraId="6196025D" w14:textId="48AC975C" w:rsidR="0076420C" w:rsidRDefault="0076420C" w:rsidP="00CB6B02">
      <w:pPr>
        <w:spacing w:before="101"/>
        <w:ind w:right="577"/>
        <w:jc w:val="center"/>
      </w:pPr>
    </w:p>
    <w:p w14:paraId="3AD8E259" w14:textId="77777777" w:rsidR="00613ADB" w:rsidRDefault="00613ADB" w:rsidP="00613ADB">
      <w:pPr>
        <w:pStyle w:val="Listaszerbekezds"/>
        <w:tabs>
          <w:tab w:val="left" w:pos="1195"/>
          <w:tab w:val="left" w:pos="1196"/>
        </w:tabs>
        <w:spacing w:before="1"/>
        <w:ind w:left="1196" w:firstLine="0"/>
      </w:pPr>
    </w:p>
    <w:p w14:paraId="52E58AD1" w14:textId="77777777" w:rsidR="0076420C" w:rsidRDefault="0076420C">
      <w:pPr>
        <w:sectPr w:rsidR="0076420C">
          <w:pgSz w:w="11910" w:h="16840"/>
          <w:pgMar w:top="1660" w:right="720" w:bottom="0" w:left="1300" w:header="696" w:footer="0" w:gutter="0"/>
          <w:cols w:space="708"/>
        </w:sectPr>
      </w:pPr>
    </w:p>
    <w:p w14:paraId="2078CFD4" w14:textId="77777777" w:rsidR="00620E5C" w:rsidRPr="00BA7A16" w:rsidRDefault="00620E5C" w:rsidP="00620E5C">
      <w:pPr>
        <w:pStyle w:val="Cmsor1"/>
        <w:rPr>
          <w:sz w:val="32"/>
          <w:szCs w:val="32"/>
          <w:u w:val="single"/>
        </w:rPr>
      </w:pPr>
      <w:bookmarkStart w:id="0" w:name="_Toc96669270"/>
      <w:r w:rsidRPr="00BA7A16">
        <w:rPr>
          <w:sz w:val="32"/>
          <w:szCs w:val="32"/>
          <w:u w:val="single"/>
        </w:rPr>
        <w:lastRenderedPageBreak/>
        <w:t>Ingatlangazdálkodási feladatellátás</w:t>
      </w:r>
      <w:bookmarkEnd w:id="0"/>
    </w:p>
    <w:p w14:paraId="7A974064" w14:textId="77777777" w:rsidR="00620E5C" w:rsidRDefault="00620E5C">
      <w:pPr>
        <w:pStyle w:val="Szvegtrzs"/>
        <w:spacing w:before="5"/>
        <w:rPr>
          <w:sz w:val="17"/>
        </w:rPr>
      </w:pPr>
    </w:p>
    <w:p w14:paraId="4B0B5662" w14:textId="183D1690" w:rsidR="0076420C" w:rsidRDefault="009D7BF2">
      <w:pPr>
        <w:pStyle w:val="Szvegtrzs"/>
        <w:spacing w:before="5"/>
        <w:rPr>
          <w:sz w:val="17"/>
        </w:rPr>
      </w:pPr>
      <w:r>
        <w:rPr>
          <w:noProof/>
        </w:rPr>
        <w:drawing>
          <wp:anchor distT="0" distB="0" distL="0" distR="0" simplePos="0" relativeHeight="487313920" behindDoc="1" locked="0" layoutInCell="1" allowOverlap="1" wp14:anchorId="4B1A73D1" wp14:editId="50D9FFA7">
            <wp:simplePos x="0" y="0"/>
            <wp:positionH relativeFrom="page">
              <wp:posOffset>0</wp:posOffset>
            </wp:positionH>
            <wp:positionV relativeFrom="page">
              <wp:posOffset>7271003</wp:posOffset>
            </wp:positionV>
            <wp:extent cx="7555992" cy="3421379"/>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7555992" cy="3421379"/>
                    </a:xfrm>
                    <a:prstGeom prst="rect">
                      <a:avLst/>
                    </a:prstGeom>
                  </pic:spPr>
                </pic:pic>
              </a:graphicData>
            </a:graphic>
          </wp:anchor>
        </w:drawing>
      </w:r>
    </w:p>
    <w:p w14:paraId="2B30630B" w14:textId="0ED7C4EC" w:rsidR="00FB05FC" w:rsidRDefault="00FB05FC" w:rsidP="00D85EBB">
      <w:pPr>
        <w:pStyle w:val="Cmsor1"/>
        <w:numPr>
          <w:ilvl w:val="0"/>
          <w:numId w:val="22"/>
        </w:numPr>
      </w:pPr>
      <w:bookmarkStart w:id="1" w:name="_Toc96669271"/>
      <w:r>
        <w:t>Bevezetés</w:t>
      </w:r>
      <w:bookmarkEnd w:id="1"/>
    </w:p>
    <w:p w14:paraId="7A546BAB" w14:textId="77777777" w:rsidR="00FB05FC" w:rsidRDefault="00FB05FC" w:rsidP="00FB05FC">
      <w:pPr>
        <w:pStyle w:val="Szvegtrzs"/>
        <w:rPr>
          <w:b/>
          <w:sz w:val="20"/>
        </w:rPr>
      </w:pPr>
    </w:p>
    <w:p w14:paraId="13B374B0" w14:textId="77777777" w:rsidR="00FB05FC" w:rsidRDefault="00FB05FC" w:rsidP="00FB05FC">
      <w:pPr>
        <w:pStyle w:val="Szvegtrzs"/>
        <w:spacing w:before="1"/>
        <w:rPr>
          <w:b/>
          <w:sz w:val="28"/>
        </w:rPr>
      </w:pPr>
    </w:p>
    <w:p w14:paraId="66903743" w14:textId="77777777" w:rsidR="00FB05FC" w:rsidRDefault="00FB05FC" w:rsidP="00FB05FC">
      <w:pPr>
        <w:pStyle w:val="Szvegtrzs"/>
        <w:spacing w:before="101" w:line="276" w:lineRule="auto"/>
        <w:ind w:left="116" w:right="692"/>
        <w:jc w:val="both"/>
      </w:pPr>
      <w:r w:rsidRPr="00090561">
        <w:t>Budapest Főváros VII. kerület Erzsébetváros Önkormányzata (a továbbiakban: Önkormányzat) Polgármesterének a katasztrófavédelemről és a hozzá</w:t>
      </w:r>
      <w:r w:rsidRPr="00090561">
        <w:rPr>
          <w:spacing w:val="-26"/>
        </w:rPr>
        <w:t xml:space="preserve"> </w:t>
      </w:r>
      <w:r w:rsidRPr="00090561">
        <w:t xml:space="preserve">kapcsolódó egyes törvények módosításáról szóló 2011. évi CXXVIII. törvény 46.§ </w:t>
      </w:r>
      <w:r w:rsidRPr="00090561">
        <w:rPr>
          <w:spacing w:val="-2"/>
        </w:rPr>
        <w:t xml:space="preserve">(4) </w:t>
      </w:r>
      <w:r w:rsidRPr="00090561">
        <w:t>bekezdésében foglalt jogköre alapján a Képviselő-testület feladat- és hatáskörében meghozott 219/2020. (IV.16.) és a 605/2020 (VIII. 25.) számú Képviselő-testületi</w:t>
      </w:r>
      <w:r w:rsidRPr="00090561">
        <w:rPr>
          <w:spacing w:val="-11"/>
        </w:rPr>
        <w:t xml:space="preserve"> </w:t>
      </w:r>
      <w:r w:rsidRPr="00090561">
        <w:t>határozat</w:t>
      </w:r>
      <w:r w:rsidRPr="00090561">
        <w:rPr>
          <w:spacing w:val="-10"/>
        </w:rPr>
        <w:t xml:space="preserve"> </w:t>
      </w:r>
      <w:r w:rsidRPr="00090561">
        <w:t>alapján</w:t>
      </w:r>
      <w:r w:rsidRPr="00090561">
        <w:rPr>
          <w:spacing w:val="-11"/>
        </w:rPr>
        <w:t xml:space="preserve"> </w:t>
      </w:r>
      <w:r w:rsidRPr="00090561">
        <w:t>az</w:t>
      </w:r>
      <w:r w:rsidRPr="00090561">
        <w:rPr>
          <w:spacing w:val="-12"/>
        </w:rPr>
        <w:t xml:space="preserve"> </w:t>
      </w:r>
      <w:r w:rsidRPr="00090561">
        <w:t>EVIN</w:t>
      </w:r>
      <w:r w:rsidRPr="00090561">
        <w:rPr>
          <w:spacing w:val="-9"/>
        </w:rPr>
        <w:t xml:space="preserve"> </w:t>
      </w:r>
      <w:r w:rsidRPr="00090561">
        <w:t>Erzsébetvárosi</w:t>
      </w:r>
      <w:r w:rsidRPr="00090561">
        <w:rPr>
          <w:spacing w:val="-13"/>
        </w:rPr>
        <w:t xml:space="preserve"> </w:t>
      </w:r>
      <w:r w:rsidRPr="00090561">
        <w:t>Ingatlangazdálkodási Nonprofit Zártkörűen Működő Részvénytársasága (a továbbiakban: Társaság) 2020. szeptember 01-től az ingatlangazdálkodás körében (a korábban más Társaságok által végzett ingatlangazdálkodási feladatok integrációját követően) – az alábbi lényegi – feladatellátási szerződésben részletesen rögzített -</w:t>
      </w:r>
      <w:r w:rsidRPr="00090561">
        <w:rPr>
          <w:spacing w:val="-29"/>
        </w:rPr>
        <w:t xml:space="preserve"> </w:t>
      </w:r>
      <w:r w:rsidRPr="00090561">
        <w:t>feladatokat látja</w:t>
      </w:r>
      <w:r w:rsidRPr="00090561">
        <w:rPr>
          <w:spacing w:val="-3"/>
        </w:rPr>
        <w:t xml:space="preserve"> </w:t>
      </w:r>
      <w:r w:rsidRPr="00090561">
        <w:t>el:</w:t>
      </w:r>
    </w:p>
    <w:p w14:paraId="45A4EF70" w14:textId="6C01BDD2" w:rsidR="00FB05FC" w:rsidRDefault="00FB05FC" w:rsidP="00FB05FC">
      <w:pPr>
        <w:pStyle w:val="Listaszerbekezds"/>
        <w:numPr>
          <w:ilvl w:val="0"/>
          <w:numId w:val="2"/>
        </w:numPr>
        <w:tabs>
          <w:tab w:val="left" w:pos="476"/>
        </w:tabs>
        <w:spacing w:before="201" w:line="256" w:lineRule="auto"/>
        <w:ind w:right="693"/>
        <w:jc w:val="both"/>
      </w:pPr>
      <w:r>
        <w:t>Lakásgazdálkodás: az Önkormányzat tulajdonát képező lakások elidegenítésével, hasznosításával kapcsolatos</w:t>
      </w:r>
      <w:r>
        <w:rPr>
          <w:spacing w:val="-1"/>
        </w:rPr>
        <w:t xml:space="preserve"> </w:t>
      </w:r>
      <w:r>
        <w:t>feladatok.</w:t>
      </w:r>
    </w:p>
    <w:p w14:paraId="63827D51" w14:textId="77777777" w:rsidR="00FB05FC" w:rsidRDefault="00FB05FC" w:rsidP="00FB05FC">
      <w:pPr>
        <w:pStyle w:val="Listaszerbekezds"/>
        <w:numPr>
          <w:ilvl w:val="0"/>
          <w:numId w:val="2"/>
        </w:numPr>
        <w:tabs>
          <w:tab w:val="left" w:pos="476"/>
        </w:tabs>
        <w:spacing w:before="2" w:line="259" w:lineRule="auto"/>
        <w:ind w:right="693"/>
        <w:jc w:val="both"/>
      </w:pPr>
      <w:r>
        <w:t>Helyiséggazdálkodás: az Önkormányzat tulajdonát képező nem lakás céljára szolgáló helyiségek, egyéb ingatlanok elidegenítésével, hasznosításával kapcsolatos</w:t>
      </w:r>
      <w:r>
        <w:rPr>
          <w:spacing w:val="-1"/>
        </w:rPr>
        <w:t xml:space="preserve"> </w:t>
      </w:r>
      <w:r>
        <w:t>feladatok.</w:t>
      </w:r>
    </w:p>
    <w:p w14:paraId="200E8044" w14:textId="77777777" w:rsidR="00FB05FC" w:rsidRDefault="00FB05FC" w:rsidP="00FB05FC">
      <w:pPr>
        <w:pStyle w:val="Listaszerbekezds"/>
        <w:numPr>
          <w:ilvl w:val="0"/>
          <w:numId w:val="2"/>
        </w:numPr>
        <w:tabs>
          <w:tab w:val="left" w:pos="476"/>
        </w:tabs>
        <w:spacing w:line="259" w:lineRule="auto"/>
        <w:ind w:right="694"/>
        <w:jc w:val="both"/>
      </w:pPr>
      <w:r>
        <w:t>Ingatlanok karbantartása, üzemeltetése: az Önkormányzat tulajdonát képező lakások, nem lakás céljára szolgáló helyiségek és egyéb ingatlanok, valamint épületek üzemeltetésével kapcsolatos</w:t>
      </w:r>
      <w:r>
        <w:rPr>
          <w:spacing w:val="-7"/>
        </w:rPr>
        <w:t xml:space="preserve"> </w:t>
      </w:r>
      <w:r>
        <w:t>feladatok.</w:t>
      </w:r>
    </w:p>
    <w:p w14:paraId="675B837F" w14:textId="19DC0EE9" w:rsidR="00FB05FC" w:rsidRDefault="00FB05FC" w:rsidP="00FB05FC">
      <w:pPr>
        <w:pStyle w:val="Listaszerbekezds"/>
        <w:numPr>
          <w:ilvl w:val="0"/>
          <w:numId w:val="2"/>
        </w:numPr>
        <w:tabs>
          <w:tab w:val="left" w:pos="476"/>
        </w:tabs>
        <w:spacing w:line="259" w:lineRule="auto"/>
        <w:ind w:right="694"/>
        <w:jc w:val="both"/>
      </w:pPr>
      <w:r>
        <w:t xml:space="preserve">Önkormányzati tulajdon képviselete társasházakban: </w:t>
      </w:r>
      <w:r w:rsidR="000861F2">
        <w:t xml:space="preserve">a </w:t>
      </w:r>
      <w:r>
        <w:t>Társaság ellátja a vegyes tulajdonú és a 100%-os önkormányzati tulajdonú társasházakban fennálló önkormányzati tulajdoni hányaddal összefüggő pénzügyi kötelezettségek (célbefizetések és közös költségek) nyilvántartásának vezetésével, előkészítésével és ellenőrzésével kapcsolatos, valamint az önkormányzati tulajdon képviseletével kapcsolatos szervezési és adminisztrációs</w:t>
      </w:r>
      <w:r>
        <w:rPr>
          <w:spacing w:val="-2"/>
        </w:rPr>
        <w:t xml:space="preserve"> </w:t>
      </w:r>
      <w:r>
        <w:t>feladatokat.</w:t>
      </w:r>
    </w:p>
    <w:p w14:paraId="3CD09453" w14:textId="77777777" w:rsidR="00FB05FC" w:rsidRDefault="00FB05FC" w:rsidP="00FB05FC">
      <w:pPr>
        <w:pStyle w:val="Szvegtrzs"/>
        <w:rPr>
          <w:sz w:val="26"/>
        </w:rPr>
      </w:pPr>
    </w:p>
    <w:p w14:paraId="28D7114A" w14:textId="77777777" w:rsidR="00FB05FC" w:rsidRDefault="00FB05FC" w:rsidP="00FB05FC">
      <w:pPr>
        <w:pStyle w:val="Szvegtrzs"/>
        <w:spacing w:line="276" w:lineRule="auto"/>
        <w:ind w:left="116" w:right="693"/>
        <w:jc w:val="both"/>
      </w:pPr>
      <w:r>
        <w:t>Budapest Főváros VII. kerület Erzsébetváros Önkormányzata Képviselő- testületének 63/2020. (II.19.) számú, az Önkormányzat tulajdonában álló gazdasági társaságok átszervezésével kapcsolatos határozatának végrehajtása során a Társaság az Erzsébetvárosi Szolgáltató Kft. és az Erzsébetvárosi Üzemeltetési és Ingatlangazdálkodási Kft. ingatlan üzemeltetési és karbantartási feladatait a hozzá tartozó eszközökkel és munkavállalókkal együtt átvette.</w:t>
      </w:r>
    </w:p>
    <w:p w14:paraId="5DBF1541" w14:textId="77777777" w:rsidR="00FB05FC" w:rsidRDefault="00FB05FC" w:rsidP="00FB05FC">
      <w:pPr>
        <w:pStyle w:val="Szvegtrzs"/>
        <w:spacing w:before="200" w:line="276" w:lineRule="auto"/>
        <w:ind w:left="116" w:right="692"/>
        <w:jc w:val="both"/>
      </w:pPr>
      <w:r>
        <w:t>A Társaság a korábbi időszakhoz képest kibővített feladatellátás végrehajtására a működés stabilizálásával, a dolgozói létszám szervezetátalakítás során végrehajtott optimalizálásával felkészült.</w:t>
      </w:r>
    </w:p>
    <w:p w14:paraId="069F427F" w14:textId="77777777" w:rsidR="00FB05FC" w:rsidRDefault="00FB05FC" w:rsidP="00FB05FC">
      <w:pPr>
        <w:spacing w:line="276" w:lineRule="auto"/>
        <w:jc w:val="both"/>
        <w:sectPr w:rsidR="00FB05FC">
          <w:pgSz w:w="11910" w:h="16840"/>
          <w:pgMar w:top="1660" w:right="720" w:bottom="0" w:left="1300" w:header="696" w:footer="0" w:gutter="0"/>
          <w:cols w:space="708"/>
        </w:sectPr>
      </w:pPr>
    </w:p>
    <w:p w14:paraId="26C6BA7C" w14:textId="77777777" w:rsidR="00FB05FC" w:rsidRDefault="00FB05FC" w:rsidP="00FB05FC">
      <w:pPr>
        <w:pStyle w:val="Szvegtrzs"/>
        <w:spacing w:before="3"/>
        <w:rPr>
          <w:sz w:val="17"/>
        </w:rPr>
      </w:pPr>
    </w:p>
    <w:p w14:paraId="30ECF14D" w14:textId="0E8D329D" w:rsidR="00FB05FC" w:rsidRDefault="00FB05FC" w:rsidP="00FB05FC">
      <w:pPr>
        <w:pStyle w:val="Szvegtrzs"/>
        <w:spacing w:line="276" w:lineRule="auto"/>
        <w:ind w:right="693"/>
        <w:jc w:val="both"/>
      </w:pPr>
      <w:r>
        <w:t xml:space="preserve">A 2021. évi ingatlangazdálkodási üzleti terv végleges változatának elkészítésénél súlyos szempont volt, hogy a </w:t>
      </w:r>
      <w:r w:rsidRPr="00F71AB9">
        <w:t>609/2020. (XII. 18.)</w:t>
      </w:r>
      <w:r>
        <w:t xml:space="preserve"> számú</w:t>
      </w:r>
      <w:r w:rsidR="000861F2">
        <w:t>,</w:t>
      </w:r>
      <w:r w:rsidRPr="00F71AB9">
        <w:t xml:space="preserve"> a veszélyhelyzet ideje alatt az állami és önkormányzati</w:t>
      </w:r>
      <w:r>
        <w:t xml:space="preserve"> </w:t>
      </w:r>
      <w:r w:rsidRPr="00F71AB9">
        <w:t>bérleti szerződésekre vonatkozó eltérő szabályokról Korm. rendelet</w:t>
      </w:r>
      <w:r>
        <w:t xml:space="preserve"> értelmében a helyi önkormányzatok számára gyakorlatilag megtiltotta a lakásbérleti díjak emelését a </w:t>
      </w:r>
      <w:r w:rsidRPr="00F71AB9">
        <w:rPr>
          <w:i/>
          <w:iCs/>
        </w:rPr>
        <w:t>„veszélyhelyzet megszűnését követő kilencvenedik napig”</w:t>
      </w:r>
      <w:r>
        <w:t>.</w:t>
      </w:r>
    </w:p>
    <w:p w14:paraId="0CF1F10A" w14:textId="77777777" w:rsidR="00FB05FC" w:rsidRDefault="00FB05FC" w:rsidP="00FB05FC">
      <w:pPr>
        <w:pStyle w:val="Szvegtrzs"/>
        <w:spacing w:line="276" w:lineRule="auto"/>
        <w:ind w:right="693"/>
        <w:jc w:val="both"/>
      </w:pPr>
    </w:p>
    <w:p w14:paraId="38B8CCD9" w14:textId="473329CA" w:rsidR="00FB05FC" w:rsidRPr="0013480A" w:rsidRDefault="00FB05FC" w:rsidP="00FB05FC">
      <w:pPr>
        <w:pStyle w:val="Szvegtrzs"/>
        <w:spacing w:line="276" w:lineRule="auto"/>
        <w:ind w:right="693"/>
        <w:jc w:val="both"/>
      </w:pPr>
      <w:r w:rsidRPr="0013480A">
        <w:t>Ezt a tilalmat a Kormány a 27/2021. (I. 29.) Korm. rendeletben 2021. február 8-tól kezdődő hatállyal meghosszabbította</w:t>
      </w:r>
      <w:r>
        <w:t xml:space="preserve">, majd ezt követően az Országgyűlés először májusba hagyta jóvá a járványügyi </w:t>
      </w:r>
      <w:r w:rsidR="000861F2">
        <w:t xml:space="preserve">veszélyhelyzetet </w:t>
      </w:r>
      <w:r>
        <w:t xml:space="preserve">és az ezzel kapcsolatos jogszabályok hatályát, kitolva azt október 5-ig, majd szeptember végén újra meghosszabbította 2022. január 1-ig. </w:t>
      </w:r>
      <w:r w:rsidRPr="009D55C3">
        <w:rPr>
          <w:b/>
          <w:bCs/>
        </w:rPr>
        <w:t xml:space="preserve">A 2022. január 2-án elfogadott, a </w:t>
      </w:r>
      <w:r w:rsidR="000861F2">
        <w:rPr>
          <w:b/>
          <w:bCs/>
        </w:rPr>
        <w:t>veszély</w:t>
      </w:r>
      <w:r w:rsidR="000861F2" w:rsidRPr="009D55C3">
        <w:rPr>
          <w:b/>
          <w:bCs/>
        </w:rPr>
        <w:t xml:space="preserve">helyzettel </w:t>
      </w:r>
      <w:r w:rsidRPr="009D55C3">
        <w:rPr>
          <w:b/>
          <w:bCs/>
        </w:rPr>
        <w:t>összefüggő átmeneti szabályozásról szóló 2021. évi XCIX törvény elfogadásával ez a határidő 2022. december 31-ig meghosszabbításra került.</w:t>
      </w:r>
      <w:r>
        <w:t xml:space="preserve"> Emiatt a 2022. évi bevételi számok tervezésénél nem számoltunk bérleti díj emeléssel.</w:t>
      </w:r>
    </w:p>
    <w:p w14:paraId="24976DDC" w14:textId="77777777" w:rsidR="00FB05FC" w:rsidRPr="00F71AB9" w:rsidRDefault="00FB05FC" w:rsidP="00FB05FC">
      <w:pPr>
        <w:pStyle w:val="Szvegtrzs"/>
        <w:spacing w:line="276" w:lineRule="auto"/>
        <w:ind w:right="693"/>
        <w:jc w:val="both"/>
      </w:pPr>
    </w:p>
    <w:p w14:paraId="605E6045" w14:textId="7CD0D4CE" w:rsidR="00FB05FC" w:rsidRDefault="00FB05FC" w:rsidP="00FB05FC">
      <w:pPr>
        <w:spacing w:before="101" w:line="276" w:lineRule="auto"/>
        <w:ind w:right="692"/>
        <w:jc w:val="both"/>
      </w:pPr>
      <w:r>
        <w:t xml:space="preserve">2021. évre vonatkozóan </w:t>
      </w:r>
      <w:r w:rsidR="000861F2">
        <w:t xml:space="preserve">a </w:t>
      </w:r>
      <w:r>
        <w:t>bérleti díj- és a parkolási díjemelési tilalom, valamint a helyi önkormányzatokat sújtó iparűzési adó csökkentésének az Önkormányzat bevételeire gyakorolt negatív hatása miatt végül az ingatlangazdálkodási területen is egy erősen megnyirbált üzleti terv (költségvetés) került benyújtásra a tulajdonos felé.</w:t>
      </w:r>
    </w:p>
    <w:p w14:paraId="1FA01E9F" w14:textId="77777777" w:rsidR="00FB05FC" w:rsidRPr="00E12C05" w:rsidRDefault="00FB05FC" w:rsidP="00FB05FC">
      <w:pPr>
        <w:spacing w:before="101" w:line="276" w:lineRule="auto"/>
        <w:ind w:right="692"/>
        <w:jc w:val="both"/>
        <w:rPr>
          <w:highlight w:val="yellow"/>
        </w:rPr>
      </w:pPr>
    </w:p>
    <w:p w14:paraId="5CC36E49" w14:textId="454948B9" w:rsidR="00FB05FC" w:rsidRPr="006B351B" w:rsidRDefault="004C7715" w:rsidP="00FB05FC">
      <w:pPr>
        <w:spacing w:before="101" w:line="276" w:lineRule="auto"/>
        <w:ind w:right="692"/>
        <w:jc w:val="both"/>
      </w:pPr>
      <w:r w:rsidRPr="00E12C05">
        <w:rPr>
          <w:noProof/>
        </w:rPr>
        <w:drawing>
          <wp:anchor distT="0" distB="0" distL="0" distR="0" simplePos="0" relativeHeight="487361536" behindDoc="1" locked="0" layoutInCell="1" allowOverlap="1" wp14:anchorId="38886E44" wp14:editId="1FCB9DC9">
            <wp:simplePos x="0" y="0"/>
            <wp:positionH relativeFrom="page">
              <wp:posOffset>-36195</wp:posOffset>
            </wp:positionH>
            <wp:positionV relativeFrom="page">
              <wp:posOffset>7305675</wp:posOffset>
            </wp:positionV>
            <wp:extent cx="7694629" cy="3419364"/>
            <wp:effectExtent l="0" t="0" r="1905" b="0"/>
            <wp:wrapNone/>
            <wp:docPr id="6"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descr="A képen szöveg látható&#10;&#10;Automatikusan generált leírás"/>
                    <pic:cNvPicPr/>
                  </pic:nvPicPr>
                  <pic:blipFill>
                    <a:blip r:embed="rId8" cstate="print"/>
                    <a:stretch>
                      <a:fillRect/>
                    </a:stretch>
                  </pic:blipFill>
                  <pic:spPr>
                    <a:xfrm>
                      <a:off x="0" y="0"/>
                      <a:ext cx="7694629" cy="3419364"/>
                    </a:xfrm>
                    <a:prstGeom prst="rect">
                      <a:avLst/>
                    </a:prstGeom>
                  </pic:spPr>
                </pic:pic>
              </a:graphicData>
            </a:graphic>
            <wp14:sizeRelH relativeFrom="margin">
              <wp14:pctWidth>0</wp14:pctWidth>
            </wp14:sizeRelH>
            <wp14:sizeRelV relativeFrom="margin">
              <wp14:pctHeight>0</wp14:pctHeight>
            </wp14:sizeRelV>
          </wp:anchor>
        </w:drawing>
      </w:r>
      <w:r w:rsidR="00FB05FC">
        <w:t>A</w:t>
      </w:r>
      <w:r w:rsidR="00FB05FC" w:rsidRPr="00E12C05">
        <w:t xml:space="preserve"> 2021. évi költségvetés elfogadását megelőzően azonban újabb – az önkormányzatok bérleti díj bevételeit negatívan befolyásoló – kormányrendelet látott napvilágot. Az 52/2021. (II. 9.) számú a bérletidíj-fizetési mentességről szóló Korm. rendelet 25 olyan tevékenységi kört sorol fel (pl. szállodai szolgáltatás, testedzési szolgáltatás, előadóművészet, éttermi vendétlátás stb.) ahol </w:t>
      </w:r>
      <w:r w:rsidR="00FB05FC" w:rsidRPr="00E12C05">
        <w:rPr>
          <w:i/>
          <w:iCs/>
        </w:rPr>
        <w:t>„a bérbeadó a bérleti díj 2021. február, március, április, május és június hónapokra eső részét nem követelheti a bérlőtől.”</w:t>
      </w:r>
      <w:r w:rsidR="00FB05FC" w:rsidRPr="00E12C05">
        <w:t xml:space="preserve"> A rendelet alapján az önkormányzat 2021-ben további mintegy 52.613 eFt bérleti díj bevételtől esett el.</w:t>
      </w:r>
    </w:p>
    <w:p w14:paraId="506ACD05" w14:textId="183F0902" w:rsidR="00FB05FC" w:rsidRPr="00B6019E" w:rsidRDefault="00FB05FC" w:rsidP="00FB05FC">
      <w:pPr>
        <w:pStyle w:val="Szvegtrzs"/>
      </w:pPr>
    </w:p>
    <w:p w14:paraId="2C48253D" w14:textId="1D2FE369" w:rsidR="00FB05FC" w:rsidRDefault="00FB05FC" w:rsidP="00FB05FC">
      <w:pPr>
        <w:pStyle w:val="Szvegtrzs"/>
        <w:spacing w:line="276" w:lineRule="auto"/>
        <w:ind w:right="693"/>
        <w:jc w:val="both"/>
      </w:pPr>
      <w:r>
        <w:t>A 2022. évre vonatkozó bevételeket és kiadásokat tartalmazó üzleti terv számai</w:t>
      </w:r>
      <w:r w:rsidRPr="00B6019E">
        <w:t xml:space="preserve"> </w:t>
      </w:r>
      <w:r>
        <w:t>a 2021. évi üzemszerű működés tapasztalatai, valamint a működés racionalizálása mellett, a szükséges munkaerőbővítés és béremelés, továbbá a jelentős mértékű inflációnak a szolgáltatásokban folyamatosan jelentkező negatív hatásainak figyelembevételével történt.</w:t>
      </w:r>
    </w:p>
    <w:p w14:paraId="66C968A1" w14:textId="77777777" w:rsidR="00FB05FC" w:rsidRPr="00090561" w:rsidRDefault="00FB05FC" w:rsidP="00FB05FC">
      <w:pPr>
        <w:pStyle w:val="Szvegtrzs"/>
        <w:rPr>
          <w:sz w:val="26"/>
        </w:rPr>
      </w:pPr>
    </w:p>
    <w:p w14:paraId="57BFCFAA" w14:textId="77777777" w:rsidR="00FB05FC" w:rsidRDefault="00FB05FC" w:rsidP="00FB05FC">
      <w:pPr>
        <w:pStyle w:val="Szvegtrzs"/>
        <w:jc w:val="both"/>
      </w:pPr>
      <w:r>
        <w:t>Az üzleti terv számszerűsített részleteit a mellékelt táblázatok tartalmazzák.</w:t>
      </w:r>
    </w:p>
    <w:p w14:paraId="748E8B2A" w14:textId="77777777" w:rsidR="00FB05FC" w:rsidRDefault="00FB05FC" w:rsidP="00FB05FC">
      <w:pPr>
        <w:jc w:val="both"/>
        <w:sectPr w:rsidR="00FB05FC">
          <w:pgSz w:w="11910" w:h="16840"/>
          <w:pgMar w:top="1660" w:right="720" w:bottom="0" w:left="1300" w:header="696" w:footer="0" w:gutter="0"/>
          <w:cols w:space="708"/>
        </w:sectPr>
      </w:pPr>
    </w:p>
    <w:p w14:paraId="1B7DC55E" w14:textId="77777777" w:rsidR="00FB05FC" w:rsidRDefault="00FB05FC" w:rsidP="00FB05FC">
      <w:pPr>
        <w:pStyle w:val="Szvegtrzs"/>
        <w:spacing w:before="5"/>
        <w:rPr>
          <w:sz w:val="17"/>
        </w:rPr>
      </w:pPr>
    </w:p>
    <w:p w14:paraId="43096B69" w14:textId="536B30B7" w:rsidR="00FB05FC" w:rsidRDefault="00FB05FC" w:rsidP="00520183">
      <w:pPr>
        <w:pStyle w:val="Cmsor1"/>
        <w:numPr>
          <w:ilvl w:val="0"/>
          <w:numId w:val="22"/>
        </w:numPr>
        <w:tabs>
          <w:tab w:val="left" w:pos="835"/>
          <w:tab w:val="left" w:pos="836"/>
        </w:tabs>
      </w:pPr>
      <w:bookmarkStart w:id="2" w:name="_Toc96669272"/>
      <w:r>
        <w:t>Előzmények</w:t>
      </w:r>
      <w:bookmarkEnd w:id="2"/>
    </w:p>
    <w:p w14:paraId="5B6A60D4" w14:textId="77777777" w:rsidR="00FB05FC" w:rsidRDefault="00FB05FC" w:rsidP="00FB05FC">
      <w:pPr>
        <w:pStyle w:val="Szvegtrzs"/>
        <w:rPr>
          <w:b/>
          <w:sz w:val="26"/>
        </w:rPr>
      </w:pPr>
    </w:p>
    <w:p w14:paraId="1B117C03" w14:textId="77777777" w:rsidR="00FB05FC" w:rsidRDefault="00FB05FC" w:rsidP="00FB05FC">
      <w:pPr>
        <w:pStyle w:val="Szvegtrzs"/>
        <w:spacing w:before="5"/>
        <w:rPr>
          <w:b/>
          <w:sz w:val="30"/>
        </w:rPr>
      </w:pPr>
    </w:p>
    <w:p w14:paraId="08CF2E26" w14:textId="77777777" w:rsidR="00FB05FC" w:rsidRDefault="00FB05FC" w:rsidP="00FB05FC">
      <w:pPr>
        <w:spacing w:line="278" w:lineRule="auto"/>
        <w:ind w:left="2813" w:right="1265" w:hanging="2117"/>
        <w:rPr>
          <w:b/>
        </w:rPr>
      </w:pPr>
      <w:r>
        <w:rPr>
          <w:b/>
        </w:rPr>
        <w:t>A Társaságunk nyilvántartásában lévő önkormányzati tulajdonú ingatlanállomány bemutatása</w:t>
      </w:r>
    </w:p>
    <w:p w14:paraId="0F2A1DFB" w14:textId="77777777" w:rsidR="00FB05FC" w:rsidRDefault="00FB05FC" w:rsidP="00FB05FC">
      <w:pPr>
        <w:pStyle w:val="Szvegtrzs"/>
        <w:rPr>
          <w:b/>
          <w:sz w:val="26"/>
        </w:rPr>
      </w:pPr>
    </w:p>
    <w:p w14:paraId="5DCCE62C" w14:textId="77777777" w:rsidR="00FB05FC" w:rsidRDefault="00FB05FC" w:rsidP="00FB05FC">
      <w:pPr>
        <w:pStyle w:val="Szvegtrzs"/>
        <w:spacing w:before="9"/>
        <w:rPr>
          <w:b/>
          <w:sz w:val="31"/>
        </w:rPr>
      </w:pPr>
    </w:p>
    <w:p w14:paraId="18A70479" w14:textId="77777777" w:rsidR="00FB05FC" w:rsidRDefault="00FB05FC" w:rsidP="00FB05FC">
      <w:pPr>
        <w:pStyle w:val="Szvegtrzs"/>
        <w:ind w:left="116"/>
        <w:rPr>
          <w:u w:val="single"/>
        </w:rPr>
      </w:pPr>
      <w:r>
        <w:rPr>
          <w:u w:val="single"/>
        </w:rPr>
        <w:t>Az önkormányzati tulajdonú lakásállomány összetétele, illetve változása 2020/2021-ben, komfort-fokozat szerint:</w:t>
      </w:r>
    </w:p>
    <w:p w14:paraId="5A634B4E" w14:textId="77777777" w:rsidR="00FB05FC" w:rsidRDefault="00FB05FC" w:rsidP="00FB05FC">
      <w:pPr>
        <w:pStyle w:val="Szvegtrzs"/>
        <w:ind w:left="116"/>
        <w:rPr>
          <w:u w:val="single"/>
        </w:rPr>
      </w:pPr>
    </w:p>
    <w:p w14:paraId="2E4CD5C4" w14:textId="77777777" w:rsidR="00FB05FC" w:rsidRDefault="00FB05FC" w:rsidP="00FB05FC">
      <w:pPr>
        <w:pStyle w:val="Szvegtrzs"/>
        <w:ind w:left="116"/>
        <w:rPr>
          <w:u w:val="single"/>
        </w:rPr>
      </w:pPr>
      <w:r>
        <w:rPr>
          <w:noProof/>
          <w:u w:val="single"/>
        </w:rPr>
        <w:drawing>
          <wp:inline distT="0" distB="0" distL="0" distR="0" wp14:anchorId="0C2E27B9" wp14:editId="61B6A252">
            <wp:extent cx="5760588" cy="2532211"/>
            <wp:effectExtent l="0" t="0" r="0" b="1905"/>
            <wp:docPr id="13" name="Kép 13"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ép 13" descr="A képen asztal látható&#10;&#10;Automatikusan generált leírá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0254" cy="2545251"/>
                    </a:xfrm>
                    <a:prstGeom prst="rect">
                      <a:avLst/>
                    </a:prstGeom>
                    <a:noFill/>
                  </pic:spPr>
                </pic:pic>
              </a:graphicData>
            </a:graphic>
          </wp:inline>
        </w:drawing>
      </w:r>
    </w:p>
    <w:p w14:paraId="54B17F4B" w14:textId="77777777" w:rsidR="00FB05FC" w:rsidRDefault="00FB05FC" w:rsidP="00FB05FC">
      <w:pPr>
        <w:pStyle w:val="Szvegtrzs"/>
        <w:ind w:left="116"/>
        <w:rPr>
          <w:u w:val="single"/>
        </w:rPr>
      </w:pPr>
    </w:p>
    <w:p w14:paraId="386D37D7" w14:textId="77777777" w:rsidR="00FB05FC" w:rsidRDefault="00FB05FC" w:rsidP="00FB05FC">
      <w:pPr>
        <w:pStyle w:val="Szvegtrzs"/>
        <w:rPr>
          <w:sz w:val="26"/>
        </w:rPr>
      </w:pPr>
    </w:p>
    <w:p w14:paraId="5103F38B" w14:textId="4DD83969" w:rsidR="00FB05FC" w:rsidRPr="008F427D" w:rsidRDefault="00FB05FC" w:rsidP="00FB05FC">
      <w:pPr>
        <w:pStyle w:val="Szvegtrzs"/>
        <w:spacing w:line="276" w:lineRule="auto"/>
        <w:ind w:left="116" w:right="676"/>
        <w:jc w:val="both"/>
      </w:pPr>
      <w:r w:rsidRPr="008F427D">
        <w:t xml:space="preserve">2020-ban az EVIN </w:t>
      </w:r>
      <w:r w:rsidR="00DE76D0">
        <w:t xml:space="preserve">Nonprofit </w:t>
      </w:r>
      <w:r w:rsidRPr="008F427D">
        <w:t>Zrt</w:t>
      </w:r>
      <w:r w:rsidR="00DE76D0">
        <w:t>.</w:t>
      </w:r>
      <w:r w:rsidRPr="008F427D">
        <w:t xml:space="preserve"> nyilvántartásában 2.509 db olyan önkormányzati bérlakást tartottunk nyilván, melyből 432 lakás üres volt. Az üres lakások többsége több mint két éve állt üresen, állapotuk leromlott, a bérbeadható – rendeltetésszerű használatra alkalmas állapotban lévő - lakások száma 10 alatt volt. A lakások többsége lomos, a korábbi bérlő, jogcímnélküli lakáshasználó által otthagyott ingóságok/lomok találhatók benne.</w:t>
      </w:r>
    </w:p>
    <w:p w14:paraId="1FA2FD6E" w14:textId="4ED33F36" w:rsidR="00FB05FC" w:rsidRPr="008F427D" w:rsidRDefault="004C7715" w:rsidP="00FB05FC">
      <w:pPr>
        <w:pStyle w:val="Szvegtrzs"/>
        <w:spacing w:line="276" w:lineRule="auto"/>
        <w:ind w:left="116" w:right="676"/>
        <w:jc w:val="both"/>
      </w:pPr>
      <w:r w:rsidRPr="008F427D">
        <w:rPr>
          <w:noProof/>
        </w:rPr>
        <w:drawing>
          <wp:anchor distT="0" distB="0" distL="0" distR="0" simplePos="0" relativeHeight="487357440" behindDoc="1" locked="0" layoutInCell="1" allowOverlap="1" wp14:anchorId="367E13E2" wp14:editId="3581BFBB">
            <wp:simplePos x="0" y="0"/>
            <wp:positionH relativeFrom="page">
              <wp:posOffset>34925</wp:posOffset>
            </wp:positionH>
            <wp:positionV relativeFrom="page">
              <wp:posOffset>7494270</wp:posOffset>
            </wp:positionV>
            <wp:extent cx="7555992" cy="3421379"/>
            <wp:effectExtent l="0" t="0" r="6985" b="8255"/>
            <wp:wrapNone/>
            <wp:docPr id="11"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p>
    <w:p w14:paraId="4AE127F2" w14:textId="0A7F4052" w:rsidR="00FB05FC" w:rsidRPr="008F427D" w:rsidRDefault="00FB05FC" w:rsidP="00FB05FC">
      <w:pPr>
        <w:pStyle w:val="Szvegtrzs"/>
        <w:spacing w:line="276" w:lineRule="auto"/>
        <w:ind w:left="116" w:right="676"/>
        <w:jc w:val="both"/>
      </w:pPr>
      <w:r w:rsidRPr="008F427D">
        <w:t>A fenti okok miatt a múlt évben lakások bérbeadására olyan pályázatot hirdettünk meg, melyben a nyertes pályázónak kellett vállalnia a lakás rendeltetésszerű használatra alkalmassá tételét, amelyet 2022-ben is folytatni kívánunk, ezzel is csökkentve az üres lakások számát.</w:t>
      </w:r>
    </w:p>
    <w:p w14:paraId="3AC65797" w14:textId="77777777" w:rsidR="00FB05FC" w:rsidRPr="008F427D" w:rsidRDefault="00FB05FC" w:rsidP="00FB05FC">
      <w:pPr>
        <w:pStyle w:val="Szvegtrzs"/>
        <w:spacing w:line="276" w:lineRule="auto"/>
        <w:ind w:right="693"/>
        <w:jc w:val="both"/>
      </w:pPr>
    </w:p>
    <w:p w14:paraId="661B0C2D" w14:textId="77777777" w:rsidR="00FB05FC" w:rsidRPr="008F427D" w:rsidRDefault="00FB05FC" w:rsidP="00FB05FC">
      <w:r w:rsidRPr="008F427D">
        <w:br w:type="page"/>
      </w:r>
    </w:p>
    <w:p w14:paraId="36AF0FC3" w14:textId="77777777" w:rsidR="00FB05FC" w:rsidRPr="008F427D" w:rsidRDefault="00FB05FC" w:rsidP="00FB05FC">
      <w:pPr>
        <w:pStyle w:val="Szvegtrzs"/>
        <w:spacing w:line="276" w:lineRule="auto"/>
        <w:ind w:right="693"/>
        <w:jc w:val="both"/>
      </w:pPr>
    </w:p>
    <w:p w14:paraId="74FC7784" w14:textId="77777777" w:rsidR="00FB05FC" w:rsidRPr="008F427D" w:rsidRDefault="00FB05FC" w:rsidP="00FB05FC">
      <w:pPr>
        <w:pStyle w:val="Szvegtrzs"/>
        <w:spacing w:before="5"/>
      </w:pPr>
    </w:p>
    <w:p w14:paraId="1481EE54" w14:textId="77777777" w:rsidR="00FB05FC" w:rsidRPr="008F427D" w:rsidRDefault="00FB05FC" w:rsidP="00FB05FC">
      <w:pPr>
        <w:pStyle w:val="Szvegtrzs"/>
        <w:spacing w:before="5"/>
      </w:pPr>
    </w:p>
    <w:p w14:paraId="57A0CB3B" w14:textId="77777777" w:rsidR="00FB05FC" w:rsidRPr="008F427D" w:rsidRDefault="00FB05FC" w:rsidP="00FB05FC">
      <w:pPr>
        <w:pStyle w:val="Szvegtrzs"/>
        <w:spacing w:before="101" w:line="276" w:lineRule="auto"/>
        <w:ind w:left="116" w:right="1653"/>
        <w:jc w:val="both"/>
      </w:pPr>
      <w:r w:rsidRPr="008F427D">
        <w:rPr>
          <w:u w:val="single"/>
        </w:rPr>
        <w:t>Az önkormányzati tulajdonú helyiségállomány összetétele, illetve változása 2020/2021-ben épületen belüli</w:t>
      </w:r>
      <w:r w:rsidRPr="008F427D">
        <w:t xml:space="preserve"> </w:t>
      </w:r>
      <w:r w:rsidRPr="008F427D">
        <w:rPr>
          <w:u w:val="single"/>
        </w:rPr>
        <w:t>elhelyezkedés szerint:</w:t>
      </w:r>
    </w:p>
    <w:p w14:paraId="4EA1718C" w14:textId="77777777" w:rsidR="00FB05FC" w:rsidRPr="008F427D" w:rsidRDefault="00FB05FC" w:rsidP="00FB05FC">
      <w:pPr>
        <w:pStyle w:val="Szvegtrzs"/>
        <w:rPr>
          <w:sz w:val="13"/>
        </w:rPr>
      </w:pPr>
    </w:p>
    <w:p w14:paraId="228DDCE8" w14:textId="77777777" w:rsidR="00FB05FC" w:rsidRPr="00B46B40" w:rsidRDefault="00FB05FC" w:rsidP="00FB05FC">
      <w:pPr>
        <w:pStyle w:val="Szvegtrzs"/>
        <w:spacing w:before="5"/>
      </w:pPr>
    </w:p>
    <w:p w14:paraId="376069FA" w14:textId="77777777" w:rsidR="00FB05FC" w:rsidRPr="00B46B40" w:rsidRDefault="00FB05FC" w:rsidP="00FB05FC">
      <w:pPr>
        <w:pStyle w:val="Szvegtrzs"/>
        <w:spacing w:before="5"/>
      </w:pPr>
      <w:r>
        <w:rPr>
          <w:noProof/>
        </w:rPr>
        <w:drawing>
          <wp:inline distT="0" distB="0" distL="0" distR="0" wp14:anchorId="72D066CF" wp14:editId="400503F7">
            <wp:extent cx="5840718" cy="2419092"/>
            <wp:effectExtent l="0" t="0" r="8255" b="635"/>
            <wp:docPr id="29" name="Kép 29"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Kép 29" descr="A képen asztal látható&#10;&#10;Automatikusan generált leírá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71729" cy="2431936"/>
                    </a:xfrm>
                    <a:prstGeom prst="rect">
                      <a:avLst/>
                    </a:prstGeom>
                    <a:noFill/>
                  </pic:spPr>
                </pic:pic>
              </a:graphicData>
            </a:graphic>
          </wp:inline>
        </w:drawing>
      </w:r>
    </w:p>
    <w:p w14:paraId="08CE706B" w14:textId="77777777" w:rsidR="00FB05FC" w:rsidRPr="008F427D" w:rsidRDefault="00FB05FC" w:rsidP="00FB05FC">
      <w:pPr>
        <w:pStyle w:val="Szvegtrzs"/>
        <w:rPr>
          <w:sz w:val="26"/>
        </w:rPr>
      </w:pPr>
    </w:p>
    <w:p w14:paraId="72BB6F1E" w14:textId="77777777" w:rsidR="00FB05FC" w:rsidRPr="008F427D" w:rsidRDefault="00FB05FC" w:rsidP="00FB05FC">
      <w:pPr>
        <w:jc w:val="both"/>
        <w:rPr>
          <w:rFonts w:cs="Times New Roman"/>
        </w:rPr>
      </w:pPr>
    </w:p>
    <w:p w14:paraId="1BA2BF39" w14:textId="4C30DD30" w:rsidR="00FB05FC" w:rsidRDefault="00FB05FC" w:rsidP="00520183">
      <w:pPr>
        <w:pStyle w:val="Cmsor1"/>
        <w:numPr>
          <w:ilvl w:val="0"/>
          <w:numId w:val="22"/>
        </w:numPr>
        <w:tabs>
          <w:tab w:val="left" w:pos="835"/>
          <w:tab w:val="left" w:pos="836"/>
        </w:tabs>
      </w:pPr>
      <w:bookmarkStart w:id="3" w:name="_Toc96669273"/>
      <w:r w:rsidRPr="008F427D">
        <w:t>Lakásgazdálkodás</w:t>
      </w:r>
      <w:bookmarkEnd w:id="3"/>
    </w:p>
    <w:p w14:paraId="09A26092" w14:textId="77777777" w:rsidR="001F47B4" w:rsidRPr="008F427D" w:rsidRDefault="001F47B4" w:rsidP="001F47B4">
      <w:pPr>
        <w:pStyle w:val="Szvegtrzs"/>
        <w:spacing w:line="276" w:lineRule="auto"/>
        <w:ind w:left="116" w:right="692"/>
        <w:jc w:val="both"/>
      </w:pPr>
    </w:p>
    <w:p w14:paraId="4D8EA1C8" w14:textId="77777777" w:rsidR="00FB05FC" w:rsidRPr="001F47B4" w:rsidRDefault="00FB05FC" w:rsidP="001F47B4">
      <w:pPr>
        <w:pStyle w:val="Cmsor3"/>
        <w:rPr>
          <w:rFonts w:ascii="Verdana" w:hAnsi="Verdana"/>
          <w:color w:val="auto"/>
          <w:sz w:val="22"/>
          <w:szCs w:val="22"/>
          <w:u w:val="single"/>
        </w:rPr>
      </w:pPr>
      <w:bookmarkStart w:id="4" w:name="_Toc96669274"/>
      <w:r w:rsidRPr="001F47B4">
        <w:rPr>
          <w:rFonts w:ascii="Verdana" w:hAnsi="Verdana"/>
          <w:color w:val="auto"/>
          <w:sz w:val="22"/>
          <w:szCs w:val="22"/>
          <w:u w:val="single"/>
        </w:rPr>
        <w:t>Lakásgazdálkodás 2021</w:t>
      </w:r>
      <w:bookmarkEnd w:id="4"/>
    </w:p>
    <w:p w14:paraId="73E158B5" w14:textId="77777777" w:rsidR="00FB05FC" w:rsidRPr="008F427D" w:rsidRDefault="00FB05FC" w:rsidP="00FB05FC">
      <w:pPr>
        <w:pStyle w:val="Szvegtrzs"/>
        <w:spacing w:line="276" w:lineRule="auto"/>
        <w:ind w:left="116" w:right="692"/>
        <w:jc w:val="both"/>
      </w:pPr>
    </w:p>
    <w:p w14:paraId="27151CE7" w14:textId="77777777" w:rsidR="00FB05FC" w:rsidRPr="006F3855" w:rsidRDefault="00FB05FC" w:rsidP="00FB05FC">
      <w:pPr>
        <w:pStyle w:val="Szvegtrzs"/>
        <w:spacing w:line="276" w:lineRule="auto"/>
        <w:ind w:left="116" w:right="692"/>
        <w:jc w:val="both"/>
        <w:rPr>
          <w:rFonts w:cs="Times New Roman"/>
        </w:rPr>
      </w:pPr>
      <w:r w:rsidRPr="006F3855">
        <w:rPr>
          <w:rFonts w:cs="Times New Roman"/>
          <w:noProof/>
        </w:rPr>
        <w:drawing>
          <wp:anchor distT="0" distB="0" distL="0" distR="0" simplePos="0" relativeHeight="487362560" behindDoc="1" locked="0" layoutInCell="1" allowOverlap="1" wp14:anchorId="1B7602CF" wp14:editId="19567E24">
            <wp:simplePos x="0" y="0"/>
            <wp:positionH relativeFrom="page">
              <wp:align>right</wp:align>
            </wp:positionH>
            <wp:positionV relativeFrom="page">
              <wp:posOffset>7230993</wp:posOffset>
            </wp:positionV>
            <wp:extent cx="7555992" cy="3421379"/>
            <wp:effectExtent l="0" t="0" r="6985" b="8255"/>
            <wp:wrapNone/>
            <wp:docPr id="8"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6F3855">
        <w:rPr>
          <w:rFonts w:cs="Times New Roman"/>
        </w:rPr>
        <w:t>A Pénzügyi és Kerületfejlesztési Bizottság 2020. októberében 41 db olyan 25 m2-nél kisebb alapterületű, alacsony komfortfokozatú önkormányzati bérlakást jelölt ki elidegenítésre. A lakások értékesítése nyílt árverési eljárások keretében (3 részletben) történt, az ingatlanok értékesítésével kapcsolatos folyamatok 2021. augusztus végén lezárultak. Az ingatlanok kikiáltási árának meghatározása minden esetben az ingatlanszakértői értékbecslések (5 millió forint forgalmi érték feletti ingatlanok esetében kontroll-értékbecslések) alapján történt. Az árverési felhívásokat az Önkormányzat és az EVIN Nonprofit Zrt. hivatalos honlapján tettük közzé, illetve ezzel párhuzamosan fényképes dokumentációt tartalmazó hirdetési csomagot töltöttünk fel az Ingatlan.com portálra.</w:t>
      </w:r>
    </w:p>
    <w:p w14:paraId="70029B36" w14:textId="77777777" w:rsidR="00FB05FC" w:rsidRPr="006F3855" w:rsidRDefault="00FB05FC" w:rsidP="00FB05FC">
      <w:pPr>
        <w:pStyle w:val="Szvegtrzs"/>
        <w:spacing w:line="276" w:lineRule="auto"/>
        <w:ind w:right="692"/>
        <w:jc w:val="both"/>
        <w:rPr>
          <w:rFonts w:cs="Times New Roman"/>
        </w:rPr>
      </w:pPr>
    </w:p>
    <w:p w14:paraId="2F0969E5" w14:textId="77777777" w:rsidR="00FB05FC" w:rsidRPr="006F3855" w:rsidRDefault="00FB05FC" w:rsidP="00FB05FC">
      <w:pPr>
        <w:pStyle w:val="Szvegtrzs"/>
        <w:spacing w:line="276" w:lineRule="auto"/>
        <w:ind w:left="116" w:right="692"/>
        <w:jc w:val="both"/>
        <w:rPr>
          <w:rFonts w:cs="Times New Roman"/>
        </w:rPr>
      </w:pPr>
      <w:r w:rsidRPr="006F3855">
        <w:rPr>
          <w:rFonts w:cs="Times New Roman"/>
        </w:rPr>
        <w:t>A nyílt árveréseknek köszönhetően az ingatlanforgalmi szakértői véleményekben meghatározott piaci értékhez képest az ingatlanokat átlagosan 156 %-os áron sikerült értékesíteni.</w:t>
      </w:r>
    </w:p>
    <w:p w14:paraId="173032A9" w14:textId="77777777" w:rsidR="00FB05FC" w:rsidRPr="006F3855" w:rsidRDefault="00FB05FC" w:rsidP="00FB05FC">
      <w:pPr>
        <w:pStyle w:val="Szvegtrzs"/>
        <w:spacing w:line="276" w:lineRule="auto"/>
        <w:ind w:left="116" w:right="692"/>
        <w:jc w:val="both"/>
        <w:rPr>
          <w:rFonts w:cs="Times New Roman"/>
        </w:rPr>
      </w:pPr>
      <w:r w:rsidRPr="006F3855">
        <w:rPr>
          <w:rFonts w:cs="Times New Roman"/>
        </w:rPr>
        <w:t>A három csomagot összesítve megállapítható, hogy az értékbecslésekben a 31 db lakásra (alapterületben kifejezve: 532 m2) megállapított 223.079 eFt-hoz képest 327.366 eFt a tényleges bevétel, amely négyzetméterenként átlagosan 615 eFt bevételt jelentett az Önkormányzatnak.</w:t>
      </w:r>
    </w:p>
    <w:p w14:paraId="2F144746" w14:textId="77777777" w:rsidR="00FB05FC" w:rsidRPr="006F3855" w:rsidRDefault="00FB05FC" w:rsidP="00FB05FC">
      <w:pPr>
        <w:rPr>
          <w:rFonts w:cs="Times New Roman"/>
        </w:rPr>
      </w:pPr>
      <w:r w:rsidRPr="006F3855">
        <w:rPr>
          <w:rFonts w:cs="Times New Roman"/>
        </w:rPr>
        <w:br w:type="page"/>
      </w:r>
    </w:p>
    <w:p w14:paraId="37FF2604" w14:textId="77777777" w:rsidR="00FB05FC" w:rsidRPr="006F3855" w:rsidRDefault="00FB05FC" w:rsidP="00FB05FC">
      <w:pPr>
        <w:pStyle w:val="Szvegtrzs"/>
        <w:spacing w:line="276" w:lineRule="auto"/>
        <w:ind w:left="116" w:right="692"/>
        <w:jc w:val="both"/>
        <w:rPr>
          <w:rFonts w:cs="Times New Roman"/>
        </w:rPr>
      </w:pPr>
    </w:p>
    <w:p w14:paraId="52623C45" w14:textId="77777777" w:rsidR="00FB05FC" w:rsidRPr="006F3855" w:rsidRDefault="00FB05FC" w:rsidP="00FB05FC">
      <w:pPr>
        <w:pStyle w:val="Szvegtrzs"/>
        <w:spacing w:line="276" w:lineRule="auto"/>
        <w:ind w:left="116" w:right="692"/>
        <w:jc w:val="both"/>
        <w:rPr>
          <w:rFonts w:cs="Times New Roman"/>
        </w:rPr>
      </w:pPr>
      <w:r w:rsidRPr="006F3855">
        <w:rPr>
          <w:rFonts w:cs="Times New Roman"/>
        </w:rPr>
        <w:t>2020-ban nyilvántartásunkban 432 db 25 m2-nél nagyobb alapterületű, üres önkormányzati bérlakás volt található. Az EVIN Nonprofit Zrt. - az üresen álló önkormányzati bérlakások számának csökkentése érdekében - javaslatot tett 60 db, több éve üresen álló, olyan önkormányzati bérlakás nyilvános pályázati eljárás keretében történő értékesítésére, melyek felújítása az önkormányzat számára nem gazdaságos. Elsősorban a komfort nélküli, alacsony komfortfokozatú és földszinti leromlott műszaki állapotban lévő lakások értékesítésére tettünk javaslatot, tekintettel arra, hogy ezek felújítása gazdasági szempontból indokolatlan, a felújításra fordított költségek - a jelenleg érvényben lévő bérleti díjak mellett – belátható időn belül nem térülnének meg.</w:t>
      </w:r>
    </w:p>
    <w:p w14:paraId="1DAF1496" w14:textId="77777777" w:rsidR="00FB05FC" w:rsidRPr="006F3855" w:rsidRDefault="00FB05FC" w:rsidP="00FB05FC">
      <w:pPr>
        <w:pStyle w:val="Szvegtrzs"/>
        <w:spacing w:line="276" w:lineRule="auto"/>
        <w:ind w:left="116" w:right="692"/>
        <w:jc w:val="both"/>
        <w:rPr>
          <w:rFonts w:cs="Times New Roman"/>
        </w:rPr>
      </w:pPr>
    </w:p>
    <w:p w14:paraId="60B57916" w14:textId="77777777" w:rsidR="00FB05FC" w:rsidRPr="006F3855" w:rsidRDefault="00FB05FC" w:rsidP="00FB05FC">
      <w:pPr>
        <w:spacing w:line="276" w:lineRule="auto"/>
        <w:ind w:left="142" w:right="676"/>
        <w:jc w:val="both"/>
        <w:rPr>
          <w:rFonts w:cs="Times New Roman"/>
        </w:rPr>
      </w:pPr>
      <w:r w:rsidRPr="006F3855">
        <w:rPr>
          <w:rFonts w:cs="Times New Roman"/>
        </w:rPr>
        <w:t>Az EVIN Nonprofit Zrt. javaslata a 274/2021. (III.17.) számú polgármesteri határozattal elfogadásra került, ennek megfelelően megkezdődött a 60 db önkormányzati tulajdonban lévő lakás értékesítésre történő kijelölésének előkészítése, az értékesítendő lakások kiválasztása, az ingatlanforgalmi értékbecslések megrendelése és a pályázati eljárások dokumentációjának elkészítése. A 60 db ingatlant 3 különböző pályázati csomagban kívánjuk meghirdetni. A 60 db ingatlan alapterületben kifejezve megközelítőleg 2000 négyzetmétert tesz ki.</w:t>
      </w:r>
    </w:p>
    <w:p w14:paraId="2CF31C7B" w14:textId="77777777" w:rsidR="00FB05FC" w:rsidRPr="006F3855" w:rsidRDefault="00FB05FC" w:rsidP="00FB05FC">
      <w:pPr>
        <w:spacing w:line="276" w:lineRule="auto"/>
        <w:ind w:left="142" w:right="676"/>
        <w:jc w:val="both"/>
        <w:rPr>
          <w:rFonts w:cs="Times New Roman"/>
        </w:rPr>
      </w:pPr>
    </w:p>
    <w:p w14:paraId="05986C36" w14:textId="77777777" w:rsidR="00FB05FC" w:rsidRPr="006F3855" w:rsidRDefault="00FB05FC" w:rsidP="00FB05FC">
      <w:pPr>
        <w:spacing w:line="276" w:lineRule="auto"/>
        <w:ind w:left="142" w:right="676"/>
        <w:jc w:val="both"/>
        <w:rPr>
          <w:rFonts w:cs="Times New Roman"/>
        </w:rPr>
      </w:pPr>
      <w:r w:rsidRPr="006F3855">
        <w:rPr>
          <w:rFonts w:cs="Times New Roman"/>
        </w:rPr>
        <w:t>Első lépésként 20 db lakás pályázati dokumentációját készítettük el, ezen lakásokot a PKB 116/2021. (VIII.30.) sz. határozatával értékesítésre jelölte ki, egyúttal engedélyezte a pályázati eljárás megindítását. A pályázati eljárás 2021. szeptember 27. napján zárult, melynek eredményeképp 8 db ingatlan esetében hirdettünk nyertest, az adásvételi szerződések aláírása 2021. november 17. napjával bezárólag megtörtént.</w:t>
      </w:r>
    </w:p>
    <w:p w14:paraId="437BF8B5" w14:textId="77777777" w:rsidR="00FB05FC" w:rsidRPr="006F3855" w:rsidRDefault="00FB05FC" w:rsidP="00FB05FC">
      <w:pPr>
        <w:spacing w:line="276" w:lineRule="auto"/>
        <w:ind w:left="142" w:right="676"/>
        <w:jc w:val="both"/>
        <w:rPr>
          <w:rFonts w:cs="Times New Roman"/>
        </w:rPr>
      </w:pPr>
    </w:p>
    <w:p w14:paraId="06010E3A" w14:textId="340593A6" w:rsidR="00FB05FC" w:rsidRPr="006F3855" w:rsidRDefault="001A6F8A" w:rsidP="00FB05FC">
      <w:pPr>
        <w:spacing w:line="276" w:lineRule="auto"/>
        <w:ind w:left="142" w:right="676"/>
        <w:jc w:val="both"/>
        <w:rPr>
          <w:rFonts w:cs="Times New Roman"/>
        </w:rPr>
      </w:pPr>
      <w:r>
        <w:rPr>
          <w:noProof/>
        </w:rPr>
        <w:drawing>
          <wp:anchor distT="0" distB="0" distL="0" distR="0" simplePos="0" relativeHeight="487364608" behindDoc="1" locked="0" layoutInCell="1" allowOverlap="1" wp14:anchorId="10C81EDC" wp14:editId="36A8C5D5">
            <wp:simplePos x="0" y="0"/>
            <wp:positionH relativeFrom="page">
              <wp:align>right</wp:align>
            </wp:positionH>
            <wp:positionV relativeFrom="margin">
              <wp:align>bottom</wp:align>
            </wp:positionV>
            <wp:extent cx="7555992" cy="3421379"/>
            <wp:effectExtent l="0" t="0" r="6985" b="8255"/>
            <wp:wrapNone/>
            <wp:docPr id="36"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00FB05FC" w:rsidRPr="006F3855">
        <w:rPr>
          <w:rFonts w:cs="Times New Roman"/>
        </w:rPr>
        <w:t>A PKB 343/202. (X.19.) számú határozatával a Pályázat IV. eljárás során el nem adott 12 db lakás vonatkozásában új pályázat kiírásáról döntött. A Bizottság döntésének megfelelően 2021. október 20. és 2021. november 18. napja között meghirdetésre került a 12 db lakást tartalmazó hirdetési csomag, melynek eredményeképp 5 db lakás esetében hirdettünk nyertes, az adásvételi szerződések aláírása 2021. december 20. napjával bezárólag megtörtént.</w:t>
      </w:r>
    </w:p>
    <w:p w14:paraId="718B6BB5" w14:textId="1C8688D0" w:rsidR="00FB05FC" w:rsidRPr="006F3855" w:rsidRDefault="00FB05FC" w:rsidP="00FB05FC">
      <w:pPr>
        <w:pStyle w:val="Szvegtrzs"/>
        <w:spacing w:line="276" w:lineRule="auto"/>
        <w:ind w:left="116" w:right="692"/>
        <w:jc w:val="both"/>
        <w:rPr>
          <w:rFonts w:cs="Times New Roman"/>
        </w:rPr>
      </w:pPr>
    </w:p>
    <w:p w14:paraId="55CF3A72" w14:textId="036AD1F7" w:rsidR="00FB05FC" w:rsidRPr="001F47B4" w:rsidRDefault="00FB05FC" w:rsidP="001F47B4">
      <w:pPr>
        <w:pStyle w:val="Cmsor3"/>
        <w:rPr>
          <w:rFonts w:ascii="Verdana" w:hAnsi="Verdana"/>
          <w:color w:val="auto"/>
          <w:sz w:val="22"/>
          <w:szCs w:val="22"/>
          <w:u w:val="single"/>
        </w:rPr>
      </w:pPr>
      <w:bookmarkStart w:id="5" w:name="_Toc96669275"/>
      <w:r w:rsidRPr="001F47B4">
        <w:rPr>
          <w:rFonts w:ascii="Verdana" w:hAnsi="Verdana"/>
          <w:color w:val="auto"/>
          <w:sz w:val="22"/>
          <w:szCs w:val="22"/>
          <w:u w:val="single"/>
        </w:rPr>
        <w:t>Lakásgazdálkodási tervek 2022</w:t>
      </w:r>
      <w:bookmarkEnd w:id="5"/>
    </w:p>
    <w:p w14:paraId="0A01F831" w14:textId="77777777" w:rsidR="00FB05FC" w:rsidRPr="006F3855" w:rsidRDefault="00FB05FC" w:rsidP="00FB05FC">
      <w:pPr>
        <w:pStyle w:val="Szvegtrzs"/>
        <w:spacing w:before="10"/>
        <w:rPr>
          <w:sz w:val="19"/>
        </w:rPr>
      </w:pPr>
    </w:p>
    <w:p w14:paraId="089B1BF0" w14:textId="77777777" w:rsidR="00FB05FC" w:rsidRPr="006F3855" w:rsidRDefault="00FB05FC" w:rsidP="00FB05FC">
      <w:pPr>
        <w:pStyle w:val="Listaszerbekezds"/>
        <w:numPr>
          <w:ilvl w:val="0"/>
          <w:numId w:val="2"/>
        </w:numPr>
        <w:tabs>
          <w:tab w:val="left" w:pos="476"/>
        </w:tabs>
        <w:spacing w:line="259" w:lineRule="auto"/>
        <w:ind w:right="691"/>
        <w:jc w:val="both"/>
      </w:pPr>
      <w:r w:rsidRPr="006F3855">
        <w:t>Az önkormányzati bérlakások bérleti díj bevételét bruttó 489.400 eFt összegben tervezzük, mely tartalmazza a továbbszámlázott víz-. csatornadíj térítés</w:t>
      </w:r>
      <w:r w:rsidRPr="006F3855">
        <w:rPr>
          <w:spacing w:val="-6"/>
        </w:rPr>
        <w:t xml:space="preserve"> </w:t>
      </w:r>
      <w:r w:rsidRPr="006F3855">
        <w:t>és</w:t>
      </w:r>
      <w:r w:rsidRPr="006F3855">
        <w:rPr>
          <w:spacing w:val="-6"/>
        </w:rPr>
        <w:t xml:space="preserve"> </w:t>
      </w:r>
      <w:r w:rsidRPr="006F3855">
        <w:t>szemét</w:t>
      </w:r>
      <w:r w:rsidRPr="006F3855">
        <w:rPr>
          <w:spacing w:val="-7"/>
        </w:rPr>
        <w:t xml:space="preserve"> </w:t>
      </w:r>
      <w:r w:rsidRPr="006F3855">
        <w:t>díj</w:t>
      </w:r>
      <w:r w:rsidRPr="006F3855">
        <w:rPr>
          <w:spacing w:val="-6"/>
        </w:rPr>
        <w:t xml:space="preserve"> </w:t>
      </w:r>
      <w:r w:rsidRPr="006F3855">
        <w:t>összegét</w:t>
      </w:r>
      <w:r w:rsidRPr="006F3855">
        <w:rPr>
          <w:spacing w:val="-7"/>
        </w:rPr>
        <w:t xml:space="preserve"> </w:t>
      </w:r>
      <w:r w:rsidRPr="006F3855">
        <w:t>is.</w:t>
      </w:r>
      <w:r w:rsidRPr="006F3855">
        <w:rPr>
          <w:spacing w:val="-6"/>
        </w:rPr>
        <w:t xml:space="preserve"> </w:t>
      </w:r>
      <w:r w:rsidRPr="006F3855">
        <w:t>A</w:t>
      </w:r>
      <w:r w:rsidRPr="006F3855">
        <w:rPr>
          <w:spacing w:val="-5"/>
        </w:rPr>
        <w:t xml:space="preserve"> </w:t>
      </w:r>
      <w:r w:rsidRPr="006F3855">
        <w:t>bérleti</w:t>
      </w:r>
      <w:r w:rsidRPr="006F3855">
        <w:rPr>
          <w:spacing w:val="-8"/>
        </w:rPr>
        <w:t xml:space="preserve"> </w:t>
      </w:r>
      <w:r w:rsidRPr="006F3855">
        <w:t>díj</w:t>
      </w:r>
      <w:r w:rsidRPr="006F3855">
        <w:rPr>
          <w:spacing w:val="-7"/>
        </w:rPr>
        <w:t xml:space="preserve"> </w:t>
      </w:r>
      <w:r w:rsidRPr="006F3855">
        <w:t>tervezett</w:t>
      </w:r>
      <w:r w:rsidRPr="006F3855">
        <w:rPr>
          <w:spacing w:val="-8"/>
        </w:rPr>
        <w:t xml:space="preserve"> </w:t>
      </w:r>
      <w:r w:rsidRPr="006F3855">
        <w:t>összege</w:t>
      </w:r>
      <w:r w:rsidRPr="006F3855">
        <w:rPr>
          <w:spacing w:val="-8"/>
        </w:rPr>
        <w:t xml:space="preserve"> </w:t>
      </w:r>
      <w:r w:rsidRPr="006F3855">
        <w:t>385.500</w:t>
      </w:r>
      <w:r w:rsidRPr="006F3855">
        <w:rPr>
          <w:spacing w:val="-6"/>
        </w:rPr>
        <w:t xml:space="preserve"> </w:t>
      </w:r>
      <w:r w:rsidRPr="006F3855">
        <w:t>eFt szemben a 375.200 eFt 2021. évi lakás bérleti díj bevételének tervezett összegével. A tervezett bevétel növekedés indoka az üres lakások 2020-ban megkezdett és 2022. évben folytatni kívánt bérbeadása.</w:t>
      </w:r>
    </w:p>
    <w:p w14:paraId="418B7924" w14:textId="18B2D5E5" w:rsidR="001A6F8A" w:rsidRDefault="001A6F8A">
      <w:r>
        <w:br w:type="page"/>
      </w:r>
    </w:p>
    <w:p w14:paraId="1FC481EB" w14:textId="77777777" w:rsidR="00FB05FC" w:rsidRPr="006F3855" w:rsidRDefault="00FB05FC" w:rsidP="00FB05FC">
      <w:pPr>
        <w:pStyle w:val="Listaszerbekezds"/>
        <w:tabs>
          <w:tab w:val="left" w:pos="476"/>
        </w:tabs>
        <w:spacing w:line="259" w:lineRule="auto"/>
        <w:ind w:right="691" w:firstLine="0"/>
        <w:jc w:val="both"/>
      </w:pPr>
    </w:p>
    <w:p w14:paraId="1EB32156" w14:textId="77777777" w:rsidR="00FB05FC" w:rsidRPr="006F3855" w:rsidRDefault="00FB05FC" w:rsidP="00FB05FC">
      <w:pPr>
        <w:pStyle w:val="Listaszerbekezds"/>
        <w:numPr>
          <w:ilvl w:val="0"/>
          <w:numId w:val="2"/>
        </w:numPr>
        <w:tabs>
          <w:tab w:val="left" w:pos="476"/>
        </w:tabs>
        <w:spacing w:line="259" w:lineRule="auto"/>
        <w:ind w:right="694"/>
        <w:jc w:val="both"/>
      </w:pPr>
      <w:r w:rsidRPr="006F3855">
        <w:t>Az eddigi pályázati tapasztalatok figyelembevételével 2022-ben is tervezzük</w:t>
      </w:r>
      <w:r w:rsidRPr="006F3855">
        <w:rPr>
          <w:spacing w:val="-15"/>
        </w:rPr>
        <w:t xml:space="preserve"> </w:t>
      </w:r>
      <w:r w:rsidRPr="006F3855">
        <w:t>az üres lakásoknak</w:t>
      </w:r>
      <w:r w:rsidRPr="006F3855">
        <w:rPr>
          <w:spacing w:val="-15"/>
        </w:rPr>
        <w:t xml:space="preserve"> a </w:t>
      </w:r>
      <w:r w:rsidRPr="006F3855">
        <w:t>felújítási</w:t>
      </w:r>
      <w:r w:rsidRPr="006F3855">
        <w:rPr>
          <w:spacing w:val="-14"/>
        </w:rPr>
        <w:t xml:space="preserve"> </w:t>
      </w:r>
      <w:r w:rsidRPr="006F3855">
        <w:t>kötelezettség</w:t>
      </w:r>
      <w:r w:rsidRPr="006F3855">
        <w:rPr>
          <w:spacing w:val="-14"/>
        </w:rPr>
        <w:t xml:space="preserve"> </w:t>
      </w:r>
      <w:r w:rsidRPr="006F3855">
        <w:t>vállalása</w:t>
      </w:r>
      <w:r w:rsidRPr="006F3855">
        <w:rPr>
          <w:spacing w:val="-15"/>
        </w:rPr>
        <w:t xml:space="preserve"> </w:t>
      </w:r>
      <w:r w:rsidRPr="006F3855">
        <w:t>mellett</w:t>
      </w:r>
      <w:r w:rsidRPr="006F3855">
        <w:rPr>
          <w:spacing w:val="-14"/>
        </w:rPr>
        <w:t xml:space="preserve"> </w:t>
      </w:r>
      <w:r w:rsidRPr="006F3855">
        <w:t>történő</w:t>
      </w:r>
      <w:r w:rsidRPr="006F3855">
        <w:rPr>
          <w:spacing w:val="-14"/>
        </w:rPr>
        <w:t xml:space="preserve"> </w:t>
      </w:r>
      <w:r w:rsidRPr="006F3855">
        <w:t>bérbeadását.</w:t>
      </w:r>
    </w:p>
    <w:p w14:paraId="5912B01D" w14:textId="77777777" w:rsidR="00FB05FC" w:rsidRPr="006F3855" w:rsidRDefault="00FB05FC" w:rsidP="00FB05FC">
      <w:pPr>
        <w:pStyle w:val="Listaszerbekezds"/>
        <w:spacing w:line="252" w:lineRule="auto"/>
        <w:ind w:right="658" w:firstLine="0"/>
      </w:pPr>
      <w:r w:rsidRPr="006F3855">
        <w:t>Jelenleg folyamatban van további 15 db lakás felújítása. A</w:t>
      </w:r>
      <w:r w:rsidRPr="006F3855">
        <w:rPr>
          <w:spacing w:val="-21"/>
        </w:rPr>
        <w:t xml:space="preserve"> </w:t>
      </w:r>
      <w:r w:rsidRPr="006F3855">
        <w:t>lakások</w:t>
      </w:r>
      <w:r w:rsidRPr="006F3855">
        <w:rPr>
          <w:spacing w:val="-22"/>
        </w:rPr>
        <w:t xml:space="preserve"> </w:t>
      </w:r>
      <w:r w:rsidRPr="006F3855">
        <w:t>felmérése,</w:t>
      </w:r>
      <w:r w:rsidRPr="006F3855">
        <w:rPr>
          <w:spacing w:val="-21"/>
        </w:rPr>
        <w:t xml:space="preserve"> a </w:t>
      </w:r>
      <w:r w:rsidRPr="006F3855">
        <w:t>költségvetésének</w:t>
      </w:r>
      <w:r w:rsidRPr="006F3855">
        <w:rPr>
          <w:spacing w:val="-23"/>
        </w:rPr>
        <w:t xml:space="preserve"> </w:t>
      </w:r>
      <w:r w:rsidRPr="006F3855">
        <w:t>elkészítését</w:t>
      </w:r>
      <w:r w:rsidRPr="006F3855">
        <w:rPr>
          <w:spacing w:val="-21"/>
        </w:rPr>
        <w:t xml:space="preserve"> </w:t>
      </w:r>
      <w:r w:rsidRPr="006F3855">
        <w:t>követően</w:t>
      </w:r>
      <w:r w:rsidRPr="006F3855">
        <w:rPr>
          <w:spacing w:val="-22"/>
        </w:rPr>
        <w:t xml:space="preserve"> </w:t>
      </w:r>
      <w:r w:rsidRPr="006F3855">
        <w:t>nyilvános pályázati kiírást jelentettünk meg a kivitelező kiválasztására.</w:t>
      </w:r>
    </w:p>
    <w:p w14:paraId="3CFB3A80" w14:textId="77777777" w:rsidR="00FB05FC" w:rsidRPr="006F3855" w:rsidRDefault="00FB05FC" w:rsidP="00FB05FC">
      <w:pPr>
        <w:pStyle w:val="Listaszerbekezds"/>
        <w:tabs>
          <w:tab w:val="left" w:pos="476"/>
        </w:tabs>
        <w:spacing w:line="259" w:lineRule="auto"/>
        <w:ind w:right="694" w:firstLine="0"/>
        <w:jc w:val="both"/>
      </w:pPr>
    </w:p>
    <w:p w14:paraId="0D0024E8" w14:textId="77777777" w:rsidR="00FB05FC" w:rsidRPr="006F3855" w:rsidRDefault="00FB05FC" w:rsidP="00FB05FC">
      <w:pPr>
        <w:pStyle w:val="Listaszerbekezds"/>
        <w:numPr>
          <w:ilvl w:val="0"/>
          <w:numId w:val="2"/>
        </w:numPr>
        <w:tabs>
          <w:tab w:val="left" w:pos="476"/>
        </w:tabs>
        <w:spacing w:line="259" w:lineRule="auto"/>
        <w:ind w:right="694"/>
        <w:jc w:val="both"/>
      </w:pPr>
      <w:r w:rsidRPr="006F3855">
        <w:t>2022. évben folytatni javasoljuk a több éve üresen álló, olyan önkormányzati bérlakások nyilvános árverési felhívás keretében történő értékesítését,</w:t>
      </w:r>
      <w:r w:rsidRPr="006F3855">
        <w:rPr>
          <w:spacing w:val="-32"/>
        </w:rPr>
        <w:t xml:space="preserve"> </w:t>
      </w:r>
      <w:r w:rsidRPr="006F3855">
        <w:t>melyek felújítása az önkormányzat számára nem gazdaságos. Elsősorban a komfort nélküli, alacsony komfort fokozatú és földszinti, leromlott műszaki állapotban lévő lakásokat javaslunk, melyek felújítása a jelenleg is érvényben lévő bérleti díjak mellett belátható időn belül nem térülne</w:t>
      </w:r>
      <w:r w:rsidRPr="006F3855">
        <w:rPr>
          <w:spacing w:val="-10"/>
        </w:rPr>
        <w:t xml:space="preserve"> </w:t>
      </w:r>
      <w:r w:rsidRPr="006F3855">
        <w:t>meg.</w:t>
      </w:r>
    </w:p>
    <w:p w14:paraId="59949B0B" w14:textId="77777777" w:rsidR="00FB05FC" w:rsidRPr="006F3855" w:rsidRDefault="00FB05FC" w:rsidP="00FB05FC">
      <w:pPr>
        <w:pStyle w:val="Listaszerbekezds"/>
        <w:tabs>
          <w:tab w:val="left" w:pos="476"/>
        </w:tabs>
        <w:spacing w:line="259" w:lineRule="auto"/>
        <w:ind w:right="694" w:firstLine="0"/>
        <w:jc w:val="both"/>
      </w:pPr>
    </w:p>
    <w:p w14:paraId="350CC8C4" w14:textId="77777777" w:rsidR="00FB05FC" w:rsidRPr="006F3855" w:rsidRDefault="00FB05FC" w:rsidP="00FB05FC">
      <w:pPr>
        <w:pStyle w:val="Szvegtrzs"/>
        <w:spacing w:before="5"/>
        <w:rPr>
          <w:sz w:val="17"/>
        </w:rPr>
      </w:pPr>
    </w:p>
    <w:p w14:paraId="467EE3E4" w14:textId="62D5A620" w:rsidR="00FB05FC" w:rsidRDefault="00FB05FC" w:rsidP="00520183">
      <w:pPr>
        <w:pStyle w:val="Cmsor1"/>
        <w:numPr>
          <w:ilvl w:val="0"/>
          <w:numId w:val="22"/>
        </w:numPr>
        <w:tabs>
          <w:tab w:val="left" w:pos="835"/>
          <w:tab w:val="left" w:pos="836"/>
        </w:tabs>
      </w:pPr>
      <w:bookmarkStart w:id="6" w:name="_Toc96669276"/>
      <w:r w:rsidRPr="006F3855">
        <w:t>Helyiséggazdálkodás</w:t>
      </w:r>
      <w:bookmarkEnd w:id="6"/>
    </w:p>
    <w:p w14:paraId="39530F7D" w14:textId="77777777" w:rsidR="001F47B4" w:rsidRPr="001F47B4" w:rsidRDefault="001F47B4" w:rsidP="001F47B4">
      <w:pPr>
        <w:pStyle w:val="Szvegtrzs"/>
        <w:spacing w:before="8"/>
        <w:rPr>
          <w:sz w:val="19"/>
        </w:rPr>
      </w:pPr>
    </w:p>
    <w:p w14:paraId="0CF96FC2" w14:textId="77777777" w:rsidR="00FB05FC" w:rsidRPr="001F47B4" w:rsidRDefault="00FB05FC" w:rsidP="001F47B4">
      <w:pPr>
        <w:pStyle w:val="Cmsor3"/>
        <w:rPr>
          <w:rFonts w:ascii="Verdana" w:hAnsi="Verdana"/>
          <w:color w:val="auto"/>
          <w:sz w:val="22"/>
          <w:szCs w:val="22"/>
          <w:u w:val="single"/>
        </w:rPr>
      </w:pPr>
      <w:bookmarkStart w:id="7" w:name="_Toc96669277"/>
      <w:r w:rsidRPr="001F47B4">
        <w:rPr>
          <w:rFonts w:ascii="Verdana" w:hAnsi="Verdana"/>
          <w:color w:val="auto"/>
          <w:sz w:val="22"/>
          <w:szCs w:val="22"/>
          <w:u w:val="single"/>
        </w:rPr>
        <w:t>Helyiséggazdálkodás 2021</w:t>
      </w:r>
      <w:bookmarkEnd w:id="7"/>
    </w:p>
    <w:p w14:paraId="5841155B" w14:textId="77777777" w:rsidR="00FB05FC" w:rsidRPr="006F3855" w:rsidRDefault="00FB05FC" w:rsidP="00FB05FC">
      <w:pPr>
        <w:pStyle w:val="Szvegtrzs"/>
        <w:spacing w:before="8"/>
        <w:rPr>
          <w:sz w:val="19"/>
        </w:rPr>
      </w:pPr>
    </w:p>
    <w:p w14:paraId="53DD2085" w14:textId="079B03B1" w:rsidR="00FB05FC" w:rsidRPr="006F3855" w:rsidRDefault="00FB05FC" w:rsidP="00FB05FC">
      <w:pPr>
        <w:pStyle w:val="Szvegtrzs"/>
        <w:spacing w:line="276" w:lineRule="auto"/>
        <w:ind w:left="116" w:right="676"/>
        <w:jc w:val="both"/>
      </w:pPr>
      <w:r w:rsidRPr="006F3855">
        <w:t xml:space="preserve">Az EVIN </w:t>
      </w:r>
      <w:r w:rsidR="00DE76D0">
        <w:t xml:space="preserve">Nonprofit </w:t>
      </w:r>
      <w:r w:rsidRPr="006F3855">
        <w:t>Zrt</w:t>
      </w:r>
      <w:r w:rsidR="00DE76D0">
        <w:t>.</w:t>
      </w:r>
      <w:r w:rsidRPr="006F3855">
        <w:t xml:space="preserve"> jelenlegi nyilvántartásában 1583 db önkormányzati helyiséget tartunk nyilván melyből jelenleg 698 helyiség üresen áll.</w:t>
      </w:r>
    </w:p>
    <w:p w14:paraId="65356DB3" w14:textId="77777777" w:rsidR="00FB05FC" w:rsidRPr="006F3855" w:rsidRDefault="00FB05FC" w:rsidP="00FB05FC">
      <w:pPr>
        <w:pStyle w:val="Szvegtrzs"/>
        <w:spacing w:before="199" w:line="276" w:lineRule="auto"/>
        <w:ind w:left="116" w:right="676"/>
        <w:jc w:val="both"/>
      </w:pPr>
      <w:r w:rsidRPr="006F3855">
        <w:t xml:space="preserve">Az üres helyiségek többsége rossz állapotban van és felújításra szorul. Ezen túlmenően az esetek nagy többségében ezen helyiségek </w:t>
      </w:r>
      <w:proofErr w:type="spellStart"/>
      <w:r w:rsidRPr="006F3855">
        <w:t>lomosak</w:t>
      </w:r>
      <w:proofErr w:type="spellEnd"/>
      <w:r w:rsidRPr="006F3855">
        <w:t>, így újbóli bérbeadásukhoz első lépésként ezek a lomtalanítását kellett elvégeztetnünk.</w:t>
      </w:r>
    </w:p>
    <w:p w14:paraId="4DBE4EA2" w14:textId="77777777" w:rsidR="00FB05FC" w:rsidRPr="006F3855" w:rsidRDefault="00FB05FC" w:rsidP="00FB05FC">
      <w:pPr>
        <w:pStyle w:val="Szvegtrzs"/>
        <w:spacing w:line="276" w:lineRule="auto"/>
        <w:ind w:right="676"/>
        <w:jc w:val="both"/>
      </w:pPr>
    </w:p>
    <w:p w14:paraId="18DB7831" w14:textId="10EC7161" w:rsidR="00FB05FC" w:rsidRPr="006F3855" w:rsidRDefault="00010C98" w:rsidP="00FB05FC">
      <w:pPr>
        <w:pStyle w:val="Szvegtrzs"/>
        <w:spacing w:line="276" w:lineRule="auto"/>
        <w:ind w:left="116" w:right="676"/>
        <w:jc w:val="both"/>
      </w:pPr>
      <w:r>
        <w:rPr>
          <w:noProof/>
        </w:rPr>
        <w:drawing>
          <wp:anchor distT="0" distB="0" distL="0" distR="0" simplePos="0" relativeHeight="487366656" behindDoc="1" locked="0" layoutInCell="1" allowOverlap="1" wp14:anchorId="3D609BD3" wp14:editId="67F403EB">
            <wp:simplePos x="0" y="0"/>
            <wp:positionH relativeFrom="page">
              <wp:align>right</wp:align>
            </wp:positionH>
            <wp:positionV relativeFrom="margin">
              <wp:align>bottom</wp:align>
            </wp:positionV>
            <wp:extent cx="7555865" cy="3420745"/>
            <wp:effectExtent l="0" t="0" r="6985" b="8255"/>
            <wp:wrapNone/>
            <wp:docPr id="37"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png" descr="A képen szöveg látható&#10;&#10;Automatikusan generált leírás"/>
                    <pic:cNvPicPr/>
                  </pic:nvPicPr>
                  <pic:blipFill>
                    <a:blip r:embed="rId8" cstate="print"/>
                    <a:stretch>
                      <a:fillRect/>
                    </a:stretch>
                  </pic:blipFill>
                  <pic:spPr>
                    <a:xfrm>
                      <a:off x="0" y="0"/>
                      <a:ext cx="7555865" cy="3420745"/>
                    </a:xfrm>
                    <a:prstGeom prst="rect">
                      <a:avLst/>
                    </a:prstGeom>
                  </pic:spPr>
                </pic:pic>
              </a:graphicData>
            </a:graphic>
          </wp:anchor>
        </w:drawing>
      </w:r>
      <w:r w:rsidR="00FB05FC" w:rsidRPr="006F3855">
        <w:t>AZ EVIN Nonprofit Zrt. 2021. évi értékesítési tervének részét képezi a gazdaságosan nem hasznosítható üres pincék értékesítése. A jelenlegi nyilvántartásban 4</w:t>
      </w:r>
      <w:r w:rsidR="00FB05FC">
        <w:t>76</w:t>
      </w:r>
      <w:r w:rsidR="00FB05FC" w:rsidRPr="006F3855">
        <w:t xml:space="preserve"> db üres pincehelyiség szerepel. A pincehelyiségek után fizetett közös költség havi szinten meghaladja a 13 millió forintot, ez egy naptári évre levetítve több, mint 160 millió forint kiadás. A pincehelyiségek bérbeadására – azok rossz műszaki állapota miatt – nincs lehetőség. Tekintettel arra, hogy ezen helyiségek bevételt nem termelnek, kizárólag költséget generálnak, így az elsődleges – és a Képviselő-testület által már jóváhagyott - cél a teljes állomány értékesítése. 2020. novemberében 50 db üres pince már hivatalosan ki lett jelölve értékesítésre, első körben ebből az állományból választottunk ki 14 db-ot, amelyeknek nyilvános pályázat keretében történő értékesítését a Pénzügyi és Kerületfejlesztési Bizottság 50/2021. (VI.29.) számú határozatával jóváhagyta. A pályázati eljárás 2021. július 28. napján zárult, a meghirdetett 14 db pincéből 7 db vonatkozásában érkezett be érvényes pályázat. A PKB 120/2021. (VIII.30.) sz. határozatában döntött a pályázati eljárás eredményéről. </w:t>
      </w:r>
    </w:p>
    <w:p w14:paraId="369EB363" w14:textId="649675E1" w:rsidR="00010C98" w:rsidRDefault="00010C98">
      <w:r>
        <w:br w:type="page"/>
      </w:r>
    </w:p>
    <w:p w14:paraId="7B3515A5" w14:textId="77777777" w:rsidR="00FB05FC" w:rsidRPr="006F3855" w:rsidRDefault="00FB05FC" w:rsidP="00FB05FC">
      <w:pPr>
        <w:pStyle w:val="Szvegtrzs"/>
        <w:spacing w:line="276" w:lineRule="auto"/>
        <w:ind w:left="116" w:right="676"/>
        <w:jc w:val="both"/>
      </w:pPr>
    </w:p>
    <w:p w14:paraId="290A191D" w14:textId="29C42399" w:rsidR="00FB05FC" w:rsidRPr="00010C98" w:rsidRDefault="00FB05FC" w:rsidP="00010C98">
      <w:pPr>
        <w:pStyle w:val="Szvegtrzs"/>
        <w:spacing w:line="276" w:lineRule="auto"/>
        <w:ind w:left="116" w:right="676"/>
        <w:jc w:val="both"/>
      </w:pPr>
      <w:r w:rsidRPr="006F3855">
        <w:t xml:space="preserve">Második lépésben további 25 db pince vonatkozásában készítettük el az értékesítési dokumentációt. A pályázati eljárás megindítását a PKB 462/2021 (XI.30.) sz. határozatával jóváhagyta, a pályázati eljárás 2021. december 22. napján zárult, a meghirdetett 25 db pincéből 6 db vonatkozásában érkezett be érvényes pályázat. A pályázati eljárás eredményéről a PKB 2022. januári ülésén született döntés. </w:t>
      </w:r>
    </w:p>
    <w:p w14:paraId="50FE187F" w14:textId="77777777" w:rsidR="00FB05FC" w:rsidRPr="008F427D" w:rsidRDefault="00FB05FC" w:rsidP="00FB05FC">
      <w:pPr>
        <w:pStyle w:val="Szvegtrzs"/>
        <w:spacing w:before="199" w:line="276" w:lineRule="auto"/>
        <w:ind w:right="1339"/>
        <w:jc w:val="both"/>
      </w:pPr>
    </w:p>
    <w:p w14:paraId="3EFEAEC5" w14:textId="77777777" w:rsidR="00FB05FC" w:rsidRPr="001F47B4" w:rsidRDefault="00FB05FC" w:rsidP="001F47B4">
      <w:pPr>
        <w:pStyle w:val="Cmsor3"/>
        <w:rPr>
          <w:rFonts w:ascii="Verdana" w:hAnsi="Verdana"/>
          <w:color w:val="auto"/>
          <w:sz w:val="22"/>
          <w:szCs w:val="22"/>
          <w:u w:val="single"/>
        </w:rPr>
      </w:pPr>
      <w:bookmarkStart w:id="8" w:name="_Toc96669278"/>
      <w:r w:rsidRPr="001F47B4">
        <w:rPr>
          <w:rFonts w:ascii="Verdana" w:hAnsi="Verdana"/>
          <w:color w:val="auto"/>
          <w:sz w:val="22"/>
          <w:szCs w:val="22"/>
          <w:u w:val="single"/>
        </w:rPr>
        <w:t>Helyiséggazdálkodási tervek 2022:</w:t>
      </w:r>
      <w:bookmarkEnd w:id="8"/>
    </w:p>
    <w:p w14:paraId="4B8389A4" w14:textId="77777777" w:rsidR="00FB05FC" w:rsidRPr="008F427D" w:rsidRDefault="00FB05FC" w:rsidP="00FB05FC">
      <w:pPr>
        <w:pStyle w:val="Szvegtrzs"/>
        <w:spacing w:before="10"/>
        <w:rPr>
          <w:sz w:val="19"/>
        </w:rPr>
      </w:pPr>
    </w:p>
    <w:p w14:paraId="10443CC3" w14:textId="77777777" w:rsidR="00FB05FC" w:rsidRDefault="00FB05FC" w:rsidP="00FB05FC">
      <w:pPr>
        <w:pStyle w:val="Listaszerbekezds"/>
        <w:numPr>
          <w:ilvl w:val="0"/>
          <w:numId w:val="2"/>
        </w:numPr>
        <w:tabs>
          <w:tab w:val="left" w:pos="475"/>
          <w:tab w:val="left" w:pos="476"/>
        </w:tabs>
        <w:spacing w:before="1" w:line="259" w:lineRule="auto"/>
        <w:ind w:right="676"/>
        <w:jc w:val="both"/>
      </w:pPr>
      <w:r w:rsidRPr="008F427D">
        <w:t xml:space="preserve">Az önkormányzati helyiségek bérleti díj bevételét bruttó </w:t>
      </w:r>
      <w:r>
        <w:t>739.140</w:t>
      </w:r>
      <w:r w:rsidRPr="008F427D">
        <w:t xml:space="preserve"> eFt összegben tervezzük, mely tartalmazza a továbbszámlázott víz-. csatornadíj összegét is. A 2021. évre tervezett 730.547 eFt bérleti díj elmaradása a pandémia miatti bevételkiesésre, valamint a 2021. évi tervben szereplő Damjanich u. 6. szám alatti ingatlan bérleti díját közvetlenül az Önkormányzat számlázta ki.</w:t>
      </w:r>
    </w:p>
    <w:p w14:paraId="24DBB2B3" w14:textId="77777777" w:rsidR="00FB05FC" w:rsidRPr="008F427D" w:rsidRDefault="00FB05FC" w:rsidP="00FB05FC">
      <w:pPr>
        <w:pStyle w:val="Listaszerbekezds"/>
        <w:tabs>
          <w:tab w:val="left" w:pos="475"/>
          <w:tab w:val="left" w:pos="476"/>
        </w:tabs>
        <w:spacing w:before="1" w:line="259" w:lineRule="auto"/>
        <w:ind w:right="676" w:firstLine="0"/>
        <w:jc w:val="both"/>
      </w:pPr>
    </w:p>
    <w:p w14:paraId="1B6336CD" w14:textId="77777777" w:rsidR="00FB05FC" w:rsidRDefault="00FB05FC" w:rsidP="00FB05FC">
      <w:pPr>
        <w:pStyle w:val="Listaszerbekezds"/>
        <w:numPr>
          <w:ilvl w:val="0"/>
          <w:numId w:val="2"/>
        </w:numPr>
        <w:tabs>
          <w:tab w:val="left" w:pos="475"/>
          <w:tab w:val="left" w:pos="476"/>
        </w:tabs>
        <w:spacing w:before="1" w:line="259" w:lineRule="auto"/>
        <w:ind w:right="676"/>
        <w:jc w:val="both"/>
      </w:pPr>
      <w:r w:rsidRPr="008F427D">
        <w:t>A 2022-re tervezett bérleti díj bevétel mértéke a 202</w:t>
      </w:r>
      <w:r>
        <w:t>1</w:t>
      </w:r>
      <w:r w:rsidRPr="008F427D">
        <w:t>. évi helyiség bérleti díj bevételekhez (</w:t>
      </w:r>
      <w:r>
        <w:t>705.186</w:t>
      </w:r>
      <w:r w:rsidRPr="008F427D">
        <w:t xml:space="preserve"> eFt) képest </w:t>
      </w:r>
      <w:r>
        <w:t>4,8</w:t>
      </w:r>
      <w:r w:rsidRPr="008F427D">
        <w:t xml:space="preserve">%- </w:t>
      </w:r>
      <w:proofErr w:type="spellStart"/>
      <w:r w:rsidRPr="008F427D">
        <w:t>os</w:t>
      </w:r>
      <w:proofErr w:type="spellEnd"/>
      <w:r w:rsidRPr="008F427D">
        <w:t xml:space="preserve"> növekedést jelent, amely az üres helyiségek ütemes bérbeadásával</w:t>
      </w:r>
      <w:r w:rsidRPr="008F427D">
        <w:rPr>
          <w:spacing w:val="-9"/>
        </w:rPr>
        <w:t xml:space="preserve"> </w:t>
      </w:r>
      <w:r w:rsidRPr="008F427D">
        <w:t>magyarázható.</w:t>
      </w:r>
    </w:p>
    <w:p w14:paraId="483A0BAC" w14:textId="77777777" w:rsidR="00FB05FC" w:rsidRPr="008F427D" w:rsidRDefault="00FB05FC" w:rsidP="00FB05FC">
      <w:pPr>
        <w:tabs>
          <w:tab w:val="left" w:pos="475"/>
          <w:tab w:val="left" w:pos="476"/>
        </w:tabs>
        <w:spacing w:before="1" w:line="259" w:lineRule="auto"/>
        <w:ind w:right="676"/>
        <w:jc w:val="both"/>
      </w:pPr>
    </w:p>
    <w:p w14:paraId="75DE9DF9" w14:textId="77777777" w:rsidR="00FB05FC" w:rsidRDefault="00FB05FC" w:rsidP="00FB05FC">
      <w:pPr>
        <w:pStyle w:val="Listaszerbekezds"/>
        <w:numPr>
          <w:ilvl w:val="0"/>
          <w:numId w:val="2"/>
        </w:numPr>
        <w:tabs>
          <w:tab w:val="left" w:pos="475"/>
          <w:tab w:val="left" w:pos="476"/>
        </w:tabs>
        <w:spacing w:before="1" w:line="259" w:lineRule="auto"/>
        <w:ind w:right="676"/>
        <w:jc w:val="both"/>
      </w:pPr>
      <w:r w:rsidRPr="008F427D">
        <w:t>2022-ben javasoljuk a bérleti díjkedvezmények felülvizsgálatát és a helyiségdíjak aktualizálását.</w:t>
      </w:r>
    </w:p>
    <w:p w14:paraId="785F4726" w14:textId="77777777" w:rsidR="00FB05FC" w:rsidRPr="008F427D" w:rsidRDefault="00FB05FC" w:rsidP="00FB05FC">
      <w:pPr>
        <w:tabs>
          <w:tab w:val="left" w:pos="475"/>
          <w:tab w:val="left" w:pos="476"/>
        </w:tabs>
        <w:spacing w:before="1" w:line="259" w:lineRule="auto"/>
        <w:ind w:right="676"/>
        <w:jc w:val="both"/>
      </w:pPr>
    </w:p>
    <w:p w14:paraId="7A397A02" w14:textId="77777777" w:rsidR="00FB05FC" w:rsidRDefault="00FB05FC" w:rsidP="00FB05FC">
      <w:pPr>
        <w:pStyle w:val="Listaszerbekezds"/>
        <w:numPr>
          <w:ilvl w:val="0"/>
          <w:numId w:val="2"/>
        </w:numPr>
        <w:tabs>
          <w:tab w:val="left" w:pos="475"/>
          <w:tab w:val="left" w:pos="476"/>
        </w:tabs>
        <w:spacing w:line="256" w:lineRule="auto"/>
        <w:ind w:right="676"/>
        <w:jc w:val="both"/>
      </w:pPr>
      <w:r w:rsidRPr="008F427D">
        <w:t>Az üres pincehelyiségek esetében – a költségek csökkentése érdekében - folytatjuk a Képviselő</w:t>
      </w:r>
      <w:r>
        <w:t>-t</w:t>
      </w:r>
      <w:r w:rsidRPr="008F427D">
        <w:t>estület által már jóváhagyott értékesítési programot.</w:t>
      </w:r>
    </w:p>
    <w:p w14:paraId="0A0A8CA6" w14:textId="77777777" w:rsidR="00FB05FC" w:rsidRPr="008F427D" w:rsidRDefault="00FB05FC" w:rsidP="00FB05FC">
      <w:pPr>
        <w:tabs>
          <w:tab w:val="left" w:pos="475"/>
          <w:tab w:val="left" w:pos="476"/>
        </w:tabs>
        <w:spacing w:line="256" w:lineRule="auto"/>
        <w:ind w:right="676"/>
        <w:jc w:val="both"/>
      </w:pPr>
    </w:p>
    <w:p w14:paraId="51C281C3" w14:textId="77777777" w:rsidR="00FB05FC" w:rsidRDefault="00FB05FC" w:rsidP="00FB05FC">
      <w:pPr>
        <w:pStyle w:val="Listaszerbekezds"/>
        <w:numPr>
          <w:ilvl w:val="0"/>
          <w:numId w:val="2"/>
        </w:numPr>
        <w:tabs>
          <w:tab w:val="left" w:pos="475"/>
          <w:tab w:val="left" w:pos="476"/>
        </w:tabs>
        <w:spacing w:before="101" w:line="256" w:lineRule="auto"/>
        <w:ind w:right="676"/>
        <w:jc w:val="both"/>
      </w:pPr>
      <w:r w:rsidRPr="008F427D">
        <w:t>Üres helyiségek hasznosítása érdekében újabb pályázati kiírások lebonyolítása.</w:t>
      </w:r>
    </w:p>
    <w:p w14:paraId="2DF8FE4B" w14:textId="77777777" w:rsidR="00FB05FC" w:rsidRPr="008F427D" w:rsidRDefault="00FB05FC" w:rsidP="00FB05FC">
      <w:pPr>
        <w:tabs>
          <w:tab w:val="left" w:pos="475"/>
          <w:tab w:val="left" w:pos="476"/>
        </w:tabs>
        <w:spacing w:before="101" w:line="256" w:lineRule="auto"/>
        <w:ind w:right="676"/>
        <w:jc w:val="both"/>
      </w:pPr>
    </w:p>
    <w:p w14:paraId="44403EAA" w14:textId="0C46E62E" w:rsidR="00FB05FC" w:rsidRPr="008F427D" w:rsidRDefault="001A6F8A" w:rsidP="00FB05FC">
      <w:pPr>
        <w:pStyle w:val="Listaszerbekezds"/>
        <w:numPr>
          <w:ilvl w:val="0"/>
          <w:numId w:val="2"/>
        </w:numPr>
        <w:tabs>
          <w:tab w:val="left" w:pos="475"/>
          <w:tab w:val="left" w:pos="476"/>
        </w:tabs>
        <w:spacing w:before="4" w:line="259" w:lineRule="auto"/>
        <w:ind w:right="676"/>
        <w:jc w:val="both"/>
      </w:pPr>
      <w:r>
        <w:rPr>
          <w:noProof/>
        </w:rPr>
        <w:drawing>
          <wp:anchor distT="0" distB="0" distL="0" distR="0" simplePos="0" relativeHeight="487368704" behindDoc="1" locked="0" layoutInCell="1" allowOverlap="1" wp14:anchorId="3A777FB7" wp14:editId="20AD55F9">
            <wp:simplePos x="0" y="0"/>
            <wp:positionH relativeFrom="page">
              <wp:align>right</wp:align>
            </wp:positionH>
            <wp:positionV relativeFrom="margin">
              <wp:align>bottom</wp:align>
            </wp:positionV>
            <wp:extent cx="7555992" cy="3421379"/>
            <wp:effectExtent l="0" t="0" r="6985" b="8255"/>
            <wp:wrapNone/>
            <wp:docPr id="38"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00FB05FC" w:rsidRPr="008F427D">
        <w:t>Célunk, hogy minden üres helyiség pályázhatóvá váljon és az érdeklődők számára folyamatosan elérhető</w:t>
      </w:r>
      <w:r w:rsidR="00FB05FC" w:rsidRPr="008F427D">
        <w:rPr>
          <w:spacing w:val="-4"/>
        </w:rPr>
        <w:t xml:space="preserve"> </w:t>
      </w:r>
      <w:r w:rsidR="00FB05FC" w:rsidRPr="008F427D">
        <w:t>legyen.</w:t>
      </w:r>
    </w:p>
    <w:p w14:paraId="6FB0DB2B" w14:textId="77777777" w:rsidR="00FB05FC" w:rsidRPr="008F427D" w:rsidRDefault="00FB05FC" w:rsidP="00FB05FC">
      <w:pPr>
        <w:spacing w:line="259" w:lineRule="auto"/>
        <w:ind w:right="676"/>
        <w:jc w:val="both"/>
        <w:sectPr w:rsidR="00FB05FC" w:rsidRPr="008F427D">
          <w:pgSz w:w="11910" w:h="16840"/>
          <w:pgMar w:top="1660" w:right="720" w:bottom="0" w:left="1300" w:header="696" w:footer="0" w:gutter="0"/>
          <w:cols w:space="708"/>
        </w:sectPr>
      </w:pPr>
    </w:p>
    <w:p w14:paraId="6ED4F189" w14:textId="77777777" w:rsidR="00FB05FC" w:rsidRPr="008F427D" w:rsidRDefault="00FB05FC" w:rsidP="00FB05FC">
      <w:pPr>
        <w:pStyle w:val="Szvegtrzs"/>
        <w:spacing w:before="5"/>
        <w:rPr>
          <w:sz w:val="17"/>
        </w:rPr>
      </w:pPr>
    </w:p>
    <w:p w14:paraId="7A430AC7" w14:textId="77777777" w:rsidR="00FB05FC" w:rsidRPr="008F427D" w:rsidRDefault="00FB05FC" w:rsidP="00520183">
      <w:pPr>
        <w:pStyle w:val="Cmsor1"/>
        <w:numPr>
          <w:ilvl w:val="0"/>
          <w:numId w:val="22"/>
        </w:numPr>
        <w:tabs>
          <w:tab w:val="left" w:pos="835"/>
          <w:tab w:val="left" w:pos="836"/>
        </w:tabs>
      </w:pPr>
      <w:bookmarkStart w:id="9" w:name="_Toc96669279"/>
      <w:r w:rsidRPr="008F427D">
        <w:t>Ingatlanok karbantartása,</w:t>
      </w:r>
      <w:r w:rsidRPr="008F427D">
        <w:rPr>
          <w:spacing w:val="-5"/>
        </w:rPr>
        <w:t xml:space="preserve"> </w:t>
      </w:r>
      <w:r w:rsidRPr="008F427D">
        <w:t>üzemeltetése</w:t>
      </w:r>
      <w:bookmarkEnd w:id="9"/>
    </w:p>
    <w:p w14:paraId="790177CA" w14:textId="77777777" w:rsidR="00FB05FC" w:rsidRPr="008F427D" w:rsidRDefault="00FB05FC" w:rsidP="00FB05FC">
      <w:pPr>
        <w:pStyle w:val="Szvegtrzs"/>
        <w:rPr>
          <w:b/>
          <w:sz w:val="26"/>
        </w:rPr>
      </w:pPr>
    </w:p>
    <w:p w14:paraId="485D7831" w14:textId="77777777" w:rsidR="00FB05FC" w:rsidRPr="001F47B4" w:rsidRDefault="00FB05FC" w:rsidP="001F47B4">
      <w:pPr>
        <w:pStyle w:val="Cmsor3"/>
        <w:rPr>
          <w:rFonts w:ascii="Verdana" w:hAnsi="Verdana"/>
          <w:color w:val="auto"/>
          <w:sz w:val="22"/>
          <w:szCs w:val="22"/>
          <w:u w:val="single"/>
        </w:rPr>
      </w:pPr>
      <w:bookmarkStart w:id="10" w:name="_Toc96669280"/>
      <w:r w:rsidRPr="001F47B4">
        <w:rPr>
          <w:rFonts w:ascii="Verdana" w:hAnsi="Verdana"/>
          <w:color w:val="auto"/>
          <w:sz w:val="22"/>
          <w:szCs w:val="22"/>
          <w:u w:val="single"/>
        </w:rPr>
        <w:t>Ingatlanok karbantartása, üzemeltetése, felújítási munkák 2021 évben</w:t>
      </w:r>
      <w:bookmarkEnd w:id="10"/>
    </w:p>
    <w:p w14:paraId="44D8DAB9" w14:textId="77777777" w:rsidR="00FB05FC" w:rsidRPr="008F427D" w:rsidRDefault="00FB05FC" w:rsidP="00FB05FC">
      <w:pPr>
        <w:pStyle w:val="Szvegtrzs"/>
        <w:rPr>
          <w:sz w:val="20"/>
        </w:rPr>
      </w:pPr>
    </w:p>
    <w:p w14:paraId="4E4BCCC3" w14:textId="77777777" w:rsidR="00FB05FC" w:rsidRPr="008F427D" w:rsidRDefault="00FB05FC" w:rsidP="00FB05FC">
      <w:pPr>
        <w:pStyle w:val="Szvegtrzs"/>
        <w:spacing w:line="276" w:lineRule="auto"/>
        <w:ind w:left="116" w:right="693"/>
        <w:jc w:val="both"/>
      </w:pPr>
      <w:r w:rsidRPr="008F427D">
        <w:t>Az ingatlanállomány erősen leromlott műszaki állapotú, melynek kialakulásához a korábbi időszakok elégtelen karbantartási-, állagmegóvási gyakorlata jelentősen hozzájárult. Az elmúlt 10-15 évben az ingatlanok üzemeltetése a fenntartáshoz minimálisan szükséges karbantartási- és kisebb felújítási munkák elvégzésében merült ki.</w:t>
      </w:r>
    </w:p>
    <w:p w14:paraId="4CFB41B6" w14:textId="77777777" w:rsidR="00FB05FC" w:rsidRPr="008F427D" w:rsidRDefault="00FB05FC" w:rsidP="00FB05FC">
      <w:pPr>
        <w:pStyle w:val="Szvegtrzs"/>
        <w:spacing w:before="200" w:line="276" w:lineRule="auto"/>
        <w:ind w:left="116" w:right="692"/>
        <w:jc w:val="both"/>
      </w:pPr>
      <w:r w:rsidRPr="008F427D">
        <w:t>Az ingatlanállomány sok olyan ingatlant tartalmaz, mely nagy alapterületű, előnytelen</w:t>
      </w:r>
      <w:r w:rsidRPr="008F427D">
        <w:rPr>
          <w:spacing w:val="-16"/>
        </w:rPr>
        <w:t xml:space="preserve"> </w:t>
      </w:r>
      <w:r w:rsidRPr="008F427D">
        <w:t>adottságú,</w:t>
      </w:r>
      <w:r w:rsidRPr="008F427D">
        <w:rPr>
          <w:spacing w:val="-14"/>
        </w:rPr>
        <w:t xml:space="preserve"> </w:t>
      </w:r>
      <w:r w:rsidRPr="008F427D">
        <w:t>kihasználatlan,</w:t>
      </w:r>
      <w:r w:rsidRPr="008F427D">
        <w:rPr>
          <w:spacing w:val="-14"/>
        </w:rPr>
        <w:t xml:space="preserve"> </w:t>
      </w:r>
      <w:r w:rsidRPr="008F427D">
        <w:t>ezért</w:t>
      </w:r>
      <w:r w:rsidRPr="008F427D">
        <w:rPr>
          <w:spacing w:val="-14"/>
        </w:rPr>
        <w:t xml:space="preserve"> </w:t>
      </w:r>
      <w:r w:rsidRPr="008F427D">
        <w:t>a</w:t>
      </w:r>
      <w:r w:rsidRPr="008F427D">
        <w:rPr>
          <w:spacing w:val="-15"/>
        </w:rPr>
        <w:t xml:space="preserve"> </w:t>
      </w:r>
      <w:r w:rsidRPr="008F427D">
        <w:t>társasháznak</w:t>
      </w:r>
      <w:r w:rsidRPr="008F427D">
        <w:rPr>
          <w:spacing w:val="-16"/>
        </w:rPr>
        <w:t xml:space="preserve"> </w:t>
      </w:r>
      <w:r w:rsidRPr="008F427D">
        <w:t>fizetendő</w:t>
      </w:r>
      <w:r w:rsidRPr="008F427D">
        <w:rPr>
          <w:spacing w:val="-17"/>
        </w:rPr>
        <w:t xml:space="preserve"> </w:t>
      </w:r>
      <w:r w:rsidRPr="008F427D">
        <w:t>közös</w:t>
      </w:r>
      <w:r w:rsidRPr="008F427D">
        <w:rPr>
          <w:spacing w:val="-13"/>
        </w:rPr>
        <w:t xml:space="preserve"> </w:t>
      </w:r>
      <w:r w:rsidRPr="008F427D">
        <w:t>költség nagyon magas, hasznosításból származó bevétel pedig nem</w:t>
      </w:r>
      <w:r w:rsidRPr="008F427D">
        <w:rPr>
          <w:spacing w:val="-7"/>
        </w:rPr>
        <w:t xml:space="preserve"> </w:t>
      </w:r>
      <w:r w:rsidRPr="008F427D">
        <w:t>realizálható.</w:t>
      </w:r>
    </w:p>
    <w:p w14:paraId="5E14BA08" w14:textId="77777777" w:rsidR="00FB05FC" w:rsidRPr="008F427D" w:rsidRDefault="00FB05FC" w:rsidP="00FB05FC">
      <w:pPr>
        <w:pStyle w:val="Szvegtrzs"/>
        <w:rPr>
          <w:sz w:val="20"/>
        </w:rPr>
      </w:pPr>
    </w:p>
    <w:p w14:paraId="5C31B9B8" w14:textId="77777777" w:rsidR="00FB05FC" w:rsidRPr="008F427D" w:rsidRDefault="00FB05FC" w:rsidP="00FB05FC">
      <w:pPr>
        <w:pStyle w:val="Szvegtrzs"/>
        <w:rPr>
          <w:sz w:val="20"/>
        </w:rPr>
      </w:pPr>
    </w:p>
    <w:p w14:paraId="7AAEA87F" w14:textId="77777777" w:rsidR="00FB05FC" w:rsidRPr="00124EA4" w:rsidRDefault="00FB05FC" w:rsidP="00FB05FC">
      <w:pPr>
        <w:pStyle w:val="Listaszerbekezds"/>
        <w:numPr>
          <w:ilvl w:val="0"/>
          <w:numId w:val="7"/>
        </w:numPr>
        <w:ind w:right="676"/>
        <w:jc w:val="both"/>
      </w:pPr>
      <w:r w:rsidRPr="00124EA4">
        <w:rPr>
          <w:rFonts w:cs="Times New Roman"/>
          <w:b/>
          <w:bCs/>
        </w:rPr>
        <w:t xml:space="preserve">Karbantartás-hibaelhárítás: </w:t>
      </w:r>
      <w:r w:rsidRPr="00124EA4">
        <w:t>2021.01.01-2021.12.31 között 528 db karbantartási és hibaelhárítási munka valósult meg.</w:t>
      </w:r>
    </w:p>
    <w:p w14:paraId="19831C7B" w14:textId="77777777" w:rsidR="00FB05FC" w:rsidRPr="00322A8B" w:rsidRDefault="00FB05FC" w:rsidP="00FB05FC">
      <w:pPr>
        <w:pStyle w:val="Listaszerbekezds"/>
        <w:numPr>
          <w:ilvl w:val="0"/>
          <w:numId w:val="7"/>
        </w:numPr>
        <w:ind w:right="676"/>
        <w:jc w:val="both"/>
      </w:pPr>
      <w:r w:rsidRPr="00322A8B">
        <w:rPr>
          <w:rFonts w:cs="Times New Roman"/>
          <w:b/>
          <w:bCs/>
        </w:rPr>
        <w:t>Lomtalanítás</w:t>
      </w:r>
      <w:r w:rsidRPr="00322A8B">
        <w:rPr>
          <w:rFonts w:cs="Times New Roman"/>
        </w:rPr>
        <w:t xml:space="preserve">: </w:t>
      </w:r>
      <w:r w:rsidRPr="00322A8B">
        <w:t>2020.09.18 óta összesen 117 db ingatlan lomtalanítása történt meg 67.691.300 Ft + ÁFA, azaz 85.967.951 Ft értékben.</w:t>
      </w:r>
    </w:p>
    <w:p w14:paraId="55E85667" w14:textId="77777777" w:rsidR="00FB05FC" w:rsidRPr="00124EA4" w:rsidRDefault="00FB05FC" w:rsidP="00FB05FC">
      <w:pPr>
        <w:pStyle w:val="Listaszerbekezds"/>
        <w:numPr>
          <w:ilvl w:val="0"/>
          <w:numId w:val="7"/>
        </w:numPr>
        <w:ind w:right="676"/>
        <w:jc w:val="both"/>
      </w:pPr>
      <w:r w:rsidRPr="00124EA4">
        <w:rPr>
          <w:rFonts w:cs="Times New Roman"/>
          <w:b/>
          <w:bCs/>
        </w:rPr>
        <w:t xml:space="preserve">Vízórák felszerelése: </w:t>
      </w:r>
      <w:r w:rsidRPr="00124EA4">
        <w:t xml:space="preserve">Vízóra hiányában a kerületet jelentős veszteség érte, mivel az átalánydíjak mértéke lényegesen magasabb, mint a tényleges fogyasztás utáni fizetési kötelezettség. </w:t>
      </w:r>
      <w:r w:rsidRPr="00124EA4">
        <w:rPr>
          <w:rFonts w:cs="Times New Roman"/>
        </w:rPr>
        <w:t>A vízórák felszerelési munkáit Társaságunk 2020.08.14-ben kötött vállalkozási keretszerződés óta folyamatosan végzi. Jelenleg összesen 162 db ingatlanban történt meg a vízóra felszerelése összesen 14.603.359 Ft + ÁFA, azaz 18.546.266 Ft értékben.</w:t>
      </w:r>
    </w:p>
    <w:p w14:paraId="4D477E57" w14:textId="77777777" w:rsidR="00FB05FC" w:rsidRPr="0021647F" w:rsidRDefault="00FB05FC" w:rsidP="00FB05FC">
      <w:pPr>
        <w:pStyle w:val="Listaszerbekezds"/>
        <w:numPr>
          <w:ilvl w:val="0"/>
          <w:numId w:val="7"/>
        </w:numPr>
        <w:spacing w:line="252" w:lineRule="auto"/>
        <w:ind w:right="658"/>
        <w:jc w:val="both"/>
      </w:pPr>
      <w:r w:rsidRPr="0021647F">
        <w:rPr>
          <w:rFonts w:cs="Times New Roman"/>
          <w:b/>
          <w:bCs/>
        </w:rPr>
        <w:t xml:space="preserve">Kéményjáratok felújítása: </w:t>
      </w:r>
      <w:r w:rsidRPr="0021647F">
        <w:t xml:space="preserve">A kéménybélelési program indulása óta 148 db kötelezéssel rendelkező ingatlanban történt felmérés vagy kéménybélelés vagy a gázkészülékek elektromos berendezésre. történő kiváltása. Egyes ingatlanok esetében a munkálatok még folyamatban vannak. </w:t>
      </w:r>
      <w:r w:rsidRPr="0021647F">
        <w:rPr>
          <w:rFonts w:cs="Times New Roman"/>
        </w:rPr>
        <w:t>Az eddigi kéménybélelési munkák összesen 118.472.242 Ft + ÁFA, azaz 150.459.747 Ft értékben valósultak meg.</w:t>
      </w:r>
    </w:p>
    <w:p w14:paraId="4AC6B00A" w14:textId="77777777" w:rsidR="00FB05FC" w:rsidRPr="00BE4BD7" w:rsidRDefault="00FB05FC" w:rsidP="00FB05FC">
      <w:pPr>
        <w:pStyle w:val="Listaszerbekezds"/>
        <w:numPr>
          <w:ilvl w:val="0"/>
          <w:numId w:val="7"/>
        </w:numPr>
        <w:spacing w:line="252" w:lineRule="auto"/>
        <w:ind w:right="658"/>
        <w:jc w:val="both"/>
        <w:rPr>
          <w:spacing w:val="1"/>
        </w:rPr>
      </w:pPr>
      <w:r w:rsidRPr="00BE4BD7">
        <w:rPr>
          <w:noProof/>
        </w:rPr>
        <w:drawing>
          <wp:anchor distT="0" distB="0" distL="0" distR="0" simplePos="0" relativeHeight="487358464" behindDoc="1" locked="0" layoutInCell="1" allowOverlap="1" wp14:anchorId="2631F4BC" wp14:editId="658698FA">
            <wp:simplePos x="0" y="0"/>
            <wp:positionH relativeFrom="page">
              <wp:align>right</wp:align>
            </wp:positionH>
            <wp:positionV relativeFrom="margin">
              <wp:align>bottom</wp:align>
            </wp:positionV>
            <wp:extent cx="7555992" cy="3421379"/>
            <wp:effectExtent l="0" t="0" r="6985" b="8255"/>
            <wp:wrapNone/>
            <wp:docPr id="31"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BE4BD7">
        <w:rPr>
          <w:rFonts w:cs="Times New Roman"/>
          <w:b/>
          <w:bCs/>
        </w:rPr>
        <w:t>Lakásfelújítások:</w:t>
      </w:r>
      <w:r w:rsidRPr="00BE4BD7">
        <w:rPr>
          <w:rFonts w:cs="Times New Roman"/>
          <w:spacing w:val="1"/>
        </w:rPr>
        <w:t xml:space="preserve"> </w:t>
      </w:r>
      <w:r w:rsidRPr="00BE4BD7">
        <w:rPr>
          <w:spacing w:val="1"/>
        </w:rPr>
        <w:t xml:space="preserve">54 db lakásfelújítási programban szereplő lakás átadás átvétele zárult le, amelyből a legtöbb lakás már az új bérlők részére átadásra került. Néhány lakás esetében a garanciális javításokra a munkaterület visszaadásra került a vállalkozók részére. </w:t>
      </w:r>
      <w:r w:rsidRPr="00BE4BD7">
        <w:rPr>
          <w:rFonts w:cs="Times New Roman"/>
          <w:spacing w:val="1"/>
        </w:rPr>
        <w:t>Az összesen 54 db lakásfelújítás mindösszesen 420.066.572, -Ft + ÁFA, azaz 533.484.546, - Ft értékben valósult meg. További 15 db lakás felújításának előkészítő munkái (állapotfelmérés, műszaki leírás előkészítése) történtek meg.</w:t>
      </w:r>
    </w:p>
    <w:p w14:paraId="435C40B5" w14:textId="77777777" w:rsidR="00FB05FC" w:rsidRPr="00BE4BD7" w:rsidRDefault="00FB05FC" w:rsidP="00FB05FC">
      <w:pPr>
        <w:pStyle w:val="Listaszerbekezds"/>
        <w:numPr>
          <w:ilvl w:val="0"/>
          <w:numId w:val="7"/>
        </w:numPr>
        <w:spacing w:line="252" w:lineRule="auto"/>
        <w:ind w:right="676" w:hanging="295"/>
        <w:jc w:val="both"/>
      </w:pPr>
      <w:r w:rsidRPr="00BE4BD7">
        <w:rPr>
          <w:rFonts w:cs="Times New Roman"/>
          <w:b/>
          <w:bCs/>
        </w:rPr>
        <w:t xml:space="preserve">További ingatlanfelújítások: </w:t>
      </w:r>
      <w:r w:rsidRPr="00BE4BD7">
        <w:rPr>
          <w:rFonts w:cs="Times New Roman"/>
        </w:rPr>
        <w:t>Damjanich u. 46. A/3. helyiség</w:t>
      </w:r>
      <w:r w:rsidRPr="00BE4BD7">
        <w:t xml:space="preserve"> felújításának átadás-átvétele lezárult.</w:t>
      </w:r>
      <w:r>
        <w:t xml:space="preserve"> </w:t>
      </w:r>
      <w:r w:rsidRPr="00BE4BD7">
        <w:rPr>
          <w:rFonts w:cs="Times New Roman"/>
        </w:rPr>
        <w:t>Társaságunk további 11 db ingatlanban összesen 59.656.496, -Ft + ÁFA, azaz 75.763.750, -Ft értékben valósított meg nagy értékű felújításokat.</w:t>
      </w:r>
    </w:p>
    <w:p w14:paraId="452B27C3" w14:textId="77777777" w:rsidR="00FB05FC" w:rsidRPr="008F427D" w:rsidRDefault="00FB05FC" w:rsidP="00FB05FC">
      <w:pPr>
        <w:rPr>
          <w:sz w:val="26"/>
        </w:rPr>
      </w:pPr>
      <w:r w:rsidRPr="008F427D">
        <w:rPr>
          <w:sz w:val="26"/>
        </w:rPr>
        <w:br w:type="page"/>
      </w:r>
    </w:p>
    <w:p w14:paraId="7C598B4F" w14:textId="77777777" w:rsidR="00FB05FC" w:rsidRPr="001F47B4" w:rsidRDefault="00FB05FC" w:rsidP="001F47B4">
      <w:pPr>
        <w:pStyle w:val="Cmsor3"/>
        <w:rPr>
          <w:rFonts w:ascii="Verdana" w:hAnsi="Verdana"/>
          <w:color w:val="auto"/>
          <w:sz w:val="22"/>
          <w:szCs w:val="22"/>
          <w:u w:val="single"/>
        </w:rPr>
      </w:pPr>
      <w:bookmarkStart w:id="11" w:name="_Toc96669281"/>
      <w:r w:rsidRPr="001F47B4">
        <w:rPr>
          <w:rFonts w:ascii="Verdana" w:hAnsi="Verdana"/>
          <w:color w:val="auto"/>
          <w:sz w:val="22"/>
          <w:szCs w:val="22"/>
          <w:u w:val="single"/>
        </w:rPr>
        <w:lastRenderedPageBreak/>
        <w:t>2022-re tervezett műszaki feladatok ellátása</w:t>
      </w:r>
      <w:bookmarkEnd w:id="11"/>
    </w:p>
    <w:p w14:paraId="12424220" w14:textId="77777777" w:rsidR="00FB05FC" w:rsidRPr="008F427D" w:rsidRDefault="00FB05FC" w:rsidP="00FB05FC">
      <w:pPr>
        <w:pStyle w:val="Szvegtrzs"/>
        <w:spacing w:before="7"/>
        <w:rPr>
          <w:sz w:val="19"/>
        </w:rPr>
      </w:pPr>
    </w:p>
    <w:p w14:paraId="12EF72CF" w14:textId="77777777" w:rsidR="00FB05FC" w:rsidRPr="008F427D" w:rsidRDefault="00FB05FC" w:rsidP="00FB05FC">
      <w:pPr>
        <w:pStyle w:val="Listaszerbekezds"/>
        <w:numPr>
          <w:ilvl w:val="0"/>
          <w:numId w:val="2"/>
        </w:numPr>
        <w:tabs>
          <w:tab w:val="left" w:pos="476"/>
        </w:tabs>
        <w:spacing w:before="1" w:line="259" w:lineRule="auto"/>
        <w:ind w:right="693"/>
        <w:jc w:val="both"/>
      </w:pPr>
      <w:r w:rsidRPr="008F427D">
        <w:t>A 100%-os önkormányzati tulajdonban lévő épületek és albetétjeik (beleértve a 100%-os önkormányzati tulajdonban lévő társasházakat, valamint a vegyes tulajdonú társasházakban lévő önkormányzati lakásokat és helyiségeket) általános állagmegóvási és jókarbantartási feladatainak</w:t>
      </w:r>
      <w:r w:rsidRPr="008F427D">
        <w:rPr>
          <w:spacing w:val="-10"/>
        </w:rPr>
        <w:t xml:space="preserve"> </w:t>
      </w:r>
      <w:r w:rsidRPr="008F427D">
        <w:t>elvégzése.</w:t>
      </w:r>
    </w:p>
    <w:p w14:paraId="071436FC" w14:textId="77777777" w:rsidR="00FB05FC" w:rsidRPr="008F427D" w:rsidRDefault="00FB05FC" w:rsidP="00FB05FC">
      <w:pPr>
        <w:pStyle w:val="Listaszerbekezds"/>
        <w:numPr>
          <w:ilvl w:val="0"/>
          <w:numId w:val="2"/>
        </w:numPr>
        <w:tabs>
          <w:tab w:val="left" w:pos="475"/>
          <w:tab w:val="left" w:pos="476"/>
        </w:tabs>
        <w:spacing w:before="101" w:line="256" w:lineRule="auto"/>
        <w:ind w:right="534"/>
        <w:jc w:val="both"/>
      </w:pPr>
      <w:r w:rsidRPr="008F427D">
        <w:t xml:space="preserve">Kéménybélelési program: Társaságunk folytatja a 2020. évben megkezdett, a </w:t>
      </w:r>
      <w:r>
        <w:t>szakhatóságok</w:t>
      </w:r>
      <w:r w:rsidRPr="008F427D">
        <w:t xml:space="preserve"> által életveszélyesnek minősített kémények</w:t>
      </w:r>
      <w:r w:rsidRPr="008F427D">
        <w:rPr>
          <w:spacing w:val="-10"/>
        </w:rPr>
        <w:t xml:space="preserve"> </w:t>
      </w:r>
      <w:r w:rsidRPr="008F427D">
        <w:t>bélelését.</w:t>
      </w:r>
    </w:p>
    <w:p w14:paraId="2D8E1579" w14:textId="77777777" w:rsidR="00FB05FC" w:rsidRPr="008F427D" w:rsidRDefault="00FB05FC" w:rsidP="00FB05FC">
      <w:pPr>
        <w:pStyle w:val="Listaszerbekezds"/>
        <w:numPr>
          <w:ilvl w:val="0"/>
          <w:numId w:val="2"/>
        </w:numPr>
        <w:tabs>
          <w:tab w:val="left" w:pos="475"/>
          <w:tab w:val="left" w:pos="476"/>
        </w:tabs>
        <w:spacing w:before="4" w:line="256" w:lineRule="auto"/>
        <w:ind w:right="534"/>
        <w:jc w:val="both"/>
      </w:pPr>
      <w:r w:rsidRPr="008F427D">
        <w:t>Lomtalanítás: társaságunk tervei és feladatai között szerepel továbbra is a lomos</w:t>
      </w:r>
      <w:r w:rsidRPr="008F427D">
        <w:rPr>
          <w:spacing w:val="-10"/>
        </w:rPr>
        <w:t xml:space="preserve"> </w:t>
      </w:r>
      <w:r w:rsidRPr="008F427D">
        <w:t>és</w:t>
      </w:r>
      <w:r w:rsidRPr="008F427D">
        <w:rPr>
          <w:spacing w:val="-8"/>
        </w:rPr>
        <w:t xml:space="preserve"> </w:t>
      </w:r>
      <w:r w:rsidRPr="008F427D">
        <w:t>fertőzött</w:t>
      </w:r>
      <w:r w:rsidRPr="008F427D">
        <w:rPr>
          <w:spacing w:val="-9"/>
        </w:rPr>
        <w:t xml:space="preserve"> </w:t>
      </w:r>
      <w:r w:rsidRPr="008F427D">
        <w:t>lakások,</w:t>
      </w:r>
      <w:r w:rsidRPr="008F427D">
        <w:rPr>
          <w:spacing w:val="-9"/>
        </w:rPr>
        <w:t xml:space="preserve"> </w:t>
      </w:r>
      <w:r w:rsidRPr="008F427D">
        <w:t>helyiségek</w:t>
      </w:r>
      <w:r w:rsidRPr="008F427D">
        <w:rPr>
          <w:spacing w:val="-10"/>
        </w:rPr>
        <w:t xml:space="preserve"> </w:t>
      </w:r>
      <w:r w:rsidRPr="008F427D">
        <w:t>lomtalanítása,</w:t>
      </w:r>
      <w:r w:rsidRPr="008F427D">
        <w:rPr>
          <w:spacing w:val="-6"/>
        </w:rPr>
        <w:t xml:space="preserve"> </w:t>
      </w:r>
      <w:r w:rsidRPr="008F427D">
        <w:t>fertőtlenítése,</w:t>
      </w:r>
      <w:r w:rsidRPr="008F427D">
        <w:rPr>
          <w:spacing w:val="-7"/>
        </w:rPr>
        <w:t xml:space="preserve"> </w:t>
      </w:r>
      <w:r w:rsidRPr="008F427D">
        <w:t>takarítása.</w:t>
      </w:r>
    </w:p>
    <w:p w14:paraId="3EDA9813" w14:textId="77777777" w:rsidR="00FB05FC" w:rsidRPr="008F427D" w:rsidRDefault="00FB05FC" w:rsidP="00FB05FC">
      <w:pPr>
        <w:pStyle w:val="Listaszerbekezds"/>
        <w:numPr>
          <w:ilvl w:val="0"/>
          <w:numId w:val="2"/>
        </w:numPr>
        <w:tabs>
          <w:tab w:val="left" w:pos="475"/>
          <w:tab w:val="left" w:pos="476"/>
        </w:tabs>
        <w:spacing w:before="1"/>
        <w:ind w:right="534"/>
        <w:jc w:val="both"/>
      </w:pPr>
      <w:r w:rsidRPr="008F427D">
        <w:t>Társaságunk üzemeltetésében lévő épületek</w:t>
      </w:r>
      <w:r w:rsidRPr="008F427D">
        <w:rPr>
          <w:spacing w:val="-7"/>
        </w:rPr>
        <w:t xml:space="preserve"> </w:t>
      </w:r>
      <w:r w:rsidRPr="008F427D">
        <w:t>takarítása.</w:t>
      </w:r>
    </w:p>
    <w:p w14:paraId="6308F7ED" w14:textId="77777777" w:rsidR="00FB05FC" w:rsidRPr="008F427D" w:rsidRDefault="00FB05FC" w:rsidP="00FB05FC">
      <w:pPr>
        <w:pStyle w:val="Szvegtrzs"/>
        <w:rPr>
          <w:sz w:val="26"/>
        </w:rPr>
      </w:pPr>
    </w:p>
    <w:p w14:paraId="6A1C35EF" w14:textId="77777777" w:rsidR="00FB05FC" w:rsidRDefault="00FB05FC" w:rsidP="00FB05FC">
      <w:pPr>
        <w:pStyle w:val="Szvegtrzs"/>
        <w:spacing w:before="1"/>
        <w:ind w:left="116" w:right="676"/>
        <w:jc w:val="both"/>
      </w:pPr>
      <w:r w:rsidRPr="008F427D">
        <w:t>Az önkormányzati tulajdonú épületek, lakások és helyiségek kezelésére, üzemeltetésére előirányzott kiadási összegek alakulása:</w:t>
      </w:r>
    </w:p>
    <w:p w14:paraId="574DEECF" w14:textId="77777777" w:rsidR="00FB05FC" w:rsidRDefault="00FB05FC" w:rsidP="00FB05FC">
      <w:pPr>
        <w:pStyle w:val="Szvegtrzs"/>
        <w:spacing w:before="1"/>
        <w:ind w:left="116" w:right="676"/>
        <w:jc w:val="both"/>
      </w:pPr>
    </w:p>
    <w:p w14:paraId="63CF64FF" w14:textId="77777777" w:rsidR="00FB05FC" w:rsidRDefault="00FB05FC" w:rsidP="00FB05FC">
      <w:pPr>
        <w:pStyle w:val="Szvegtrzs"/>
        <w:spacing w:before="1"/>
        <w:ind w:left="116" w:right="676"/>
        <w:jc w:val="both"/>
      </w:pPr>
      <w:r w:rsidRPr="00692507">
        <w:rPr>
          <w:noProof/>
        </w:rPr>
        <w:drawing>
          <wp:inline distT="0" distB="0" distL="0" distR="0" wp14:anchorId="77A79000" wp14:editId="724C4064">
            <wp:extent cx="5816600" cy="242603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7026" cy="2430383"/>
                    </a:xfrm>
                    <a:prstGeom prst="rect">
                      <a:avLst/>
                    </a:prstGeom>
                    <a:noFill/>
                    <a:ln>
                      <a:noFill/>
                    </a:ln>
                  </pic:spPr>
                </pic:pic>
              </a:graphicData>
            </a:graphic>
          </wp:inline>
        </w:drawing>
      </w:r>
    </w:p>
    <w:p w14:paraId="266276C3" w14:textId="77777777" w:rsidR="00FB05FC" w:rsidRDefault="00FB05FC" w:rsidP="00FB05FC">
      <w:pPr>
        <w:pStyle w:val="Szvegtrzs"/>
        <w:spacing w:before="1"/>
        <w:ind w:left="116" w:right="676"/>
        <w:jc w:val="both"/>
      </w:pPr>
    </w:p>
    <w:p w14:paraId="2A72CE70" w14:textId="77777777" w:rsidR="00FB05FC" w:rsidRPr="008F427D" w:rsidRDefault="00FB05FC" w:rsidP="00FB05FC">
      <w:pPr>
        <w:pStyle w:val="Szvegtrzs"/>
        <w:spacing w:before="3"/>
        <w:rPr>
          <w:sz w:val="17"/>
        </w:rPr>
      </w:pPr>
      <w:r w:rsidRPr="008F427D">
        <w:rPr>
          <w:noProof/>
        </w:rPr>
        <w:drawing>
          <wp:anchor distT="0" distB="0" distL="0" distR="0" simplePos="0" relativeHeight="487359488" behindDoc="1" locked="0" layoutInCell="1" allowOverlap="1" wp14:anchorId="724F27D9" wp14:editId="61B8A2D8">
            <wp:simplePos x="0" y="0"/>
            <wp:positionH relativeFrom="page">
              <wp:posOffset>-29261</wp:posOffset>
            </wp:positionH>
            <wp:positionV relativeFrom="margin">
              <wp:align>bottom</wp:align>
            </wp:positionV>
            <wp:extent cx="7555992" cy="3421379"/>
            <wp:effectExtent l="0" t="0" r="6985" b="8255"/>
            <wp:wrapNone/>
            <wp:docPr id="33"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p>
    <w:p w14:paraId="11666FFD" w14:textId="77777777" w:rsidR="00FB05FC" w:rsidRPr="008F427D" w:rsidRDefault="00FB05FC" w:rsidP="00FB05FC">
      <w:pPr>
        <w:pStyle w:val="Szvegtrzs"/>
        <w:spacing w:before="1"/>
        <w:ind w:left="116" w:right="534"/>
        <w:jc w:val="both"/>
      </w:pPr>
      <w:r w:rsidRPr="008F427D">
        <w:t>A 2022. évi előirányzat emelkedése az építőipari kivitelezési és szolgáltatási díjak, valamint az alapanyag árakban tapasztalt, az inflációs mértéket jóval meghaladó mértékű növekedésre vezethető vissza</w:t>
      </w:r>
      <w:r>
        <w:t>, illetve tartalmazza a 2021.12 havi áthúzódó tételeket is 54.769 eFt mértékben.</w:t>
      </w:r>
    </w:p>
    <w:p w14:paraId="21E2F376" w14:textId="77777777" w:rsidR="00FB05FC" w:rsidRPr="008F427D" w:rsidRDefault="00FB05FC" w:rsidP="00FB05FC">
      <w:pPr>
        <w:pStyle w:val="Szvegtrzs"/>
        <w:spacing w:before="9"/>
        <w:rPr>
          <w:sz w:val="28"/>
        </w:rPr>
      </w:pPr>
    </w:p>
    <w:p w14:paraId="1AA2B256" w14:textId="77777777" w:rsidR="00FB05FC" w:rsidRPr="008F427D" w:rsidRDefault="00FB05FC" w:rsidP="001F47B4">
      <w:pPr>
        <w:pStyle w:val="Cmsor3"/>
      </w:pPr>
      <w:bookmarkStart w:id="12" w:name="_Toc96669282"/>
      <w:r w:rsidRPr="001F47B4">
        <w:rPr>
          <w:rFonts w:ascii="Verdana" w:hAnsi="Verdana"/>
          <w:color w:val="auto"/>
          <w:sz w:val="22"/>
          <w:szCs w:val="22"/>
          <w:u w:val="single"/>
        </w:rPr>
        <w:t>2022 évi tervezett felújítási munkák</w:t>
      </w:r>
      <w:bookmarkEnd w:id="12"/>
    </w:p>
    <w:p w14:paraId="6EA0571E" w14:textId="77777777" w:rsidR="00FB05FC" w:rsidRPr="008F427D" w:rsidRDefault="00FB05FC" w:rsidP="00FB05FC">
      <w:pPr>
        <w:pStyle w:val="Szvegtrzs"/>
        <w:spacing w:before="8"/>
        <w:rPr>
          <w:sz w:val="19"/>
        </w:rPr>
      </w:pPr>
    </w:p>
    <w:p w14:paraId="183B1DDA" w14:textId="77777777" w:rsidR="00FB05FC" w:rsidRPr="008F427D" w:rsidRDefault="00FB05FC" w:rsidP="00FB05FC">
      <w:pPr>
        <w:pStyle w:val="Listaszerbekezds"/>
        <w:numPr>
          <w:ilvl w:val="0"/>
          <w:numId w:val="2"/>
        </w:numPr>
        <w:tabs>
          <w:tab w:val="left" w:pos="475"/>
          <w:tab w:val="left" w:pos="476"/>
        </w:tabs>
        <w:spacing w:line="256" w:lineRule="auto"/>
        <w:ind w:right="676"/>
        <w:jc w:val="both"/>
      </w:pPr>
      <w:r w:rsidRPr="008F427D">
        <w:t>A Dohány u. 41. szám alatti telephelyünk belső felújítása (festés, mázolás, egyéb kisebb felújítási munkák – 16.510 eFt.</w:t>
      </w:r>
    </w:p>
    <w:p w14:paraId="2EF4E2BA" w14:textId="77777777" w:rsidR="00FB05FC" w:rsidRPr="008F427D" w:rsidRDefault="00FB05FC" w:rsidP="00FB05FC">
      <w:pPr>
        <w:pStyle w:val="Listaszerbekezds"/>
        <w:numPr>
          <w:ilvl w:val="0"/>
          <w:numId w:val="2"/>
        </w:numPr>
        <w:tabs>
          <w:tab w:val="left" w:pos="475"/>
          <w:tab w:val="left" w:pos="476"/>
        </w:tabs>
        <w:spacing w:line="256" w:lineRule="auto"/>
        <w:ind w:right="676"/>
        <w:jc w:val="both"/>
      </w:pPr>
      <w:r w:rsidRPr="008F427D">
        <w:t xml:space="preserve">100% önkormányzati tulajdonú társasházak felújítása – </w:t>
      </w:r>
      <w:r>
        <w:t>65.000</w:t>
      </w:r>
      <w:r w:rsidRPr="008F427D">
        <w:t xml:space="preserve"> eFt</w:t>
      </w:r>
    </w:p>
    <w:p w14:paraId="03AACBB2" w14:textId="77777777" w:rsidR="00FB05FC" w:rsidRPr="008F427D" w:rsidRDefault="00FB05FC" w:rsidP="00FB05FC">
      <w:pPr>
        <w:pStyle w:val="Listaszerbekezds"/>
        <w:numPr>
          <w:ilvl w:val="0"/>
          <w:numId w:val="2"/>
        </w:numPr>
        <w:tabs>
          <w:tab w:val="left" w:pos="475"/>
          <w:tab w:val="left" w:pos="476"/>
        </w:tabs>
        <w:spacing w:line="256" w:lineRule="auto"/>
        <w:ind w:right="676"/>
        <w:jc w:val="both"/>
      </w:pPr>
      <w:r w:rsidRPr="008F427D">
        <w:t xml:space="preserve">100% önkormányzati tulajdonú épületek felújítása – </w:t>
      </w:r>
      <w:r>
        <w:t>77.000</w:t>
      </w:r>
      <w:r w:rsidRPr="008F427D">
        <w:t xml:space="preserve"> eFt</w:t>
      </w:r>
    </w:p>
    <w:p w14:paraId="4A552223" w14:textId="41E6CF92" w:rsidR="00010C98" w:rsidRDefault="00FB05FC" w:rsidP="00FB05FC">
      <w:pPr>
        <w:pStyle w:val="Listaszerbekezds"/>
        <w:numPr>
          <w:ilvl w:val="0"/>
          <w:numId w:val="2"/>
        </w:numPr>
        <w:tabs>
          <w:tab w:val="left" w:pos="475"/>
          <w:tab w:val="left" w:pos="476"/>
        </w:tabs>
        <w:spacing w:line="256" w:lineRule="auto"/>
        <w:ind w:right="676"/>
        <w:jc w:val="both"/>
      </w:pPr>
      <w:r w:rsidRPr="008F427D">
        <w:t>Nefelejcs u. 63. számú épület átalakítása, felújítása tervezéssel együtt – 374.650 eFt</w:t>
      </w:r>
    </w:p>
    <w:p w14:paraId="4EB5F140" w14:textId="77777777" w:rsidR="00010C98" w:rsidRDefault="00010C98">
      <w:r>
        <w:br w:type="page"/>
      </w:r>
    </w:p>
    <w:p w14:paraId="19508ABA" w14:textId="77777777" w:rsidR="00FB05FC" w:rsidRPr="008F427D" w:rsidRDefault="00FB05FC" w:rsidP="00010C98">
      <w:pPr>
        <w:pStyle w:val="Listaszerbekezds"/>
        <w:tabs>
          <w:tab w:val="left" w:pos="475"/>
          <w:tab w:val="left" w:pos="476"/>
        </w:tabs>
        <w:spacing w:line="256" w:lineRule="auto"/>
        <w:ind w:right="676" w:firstLine="0"/>
        <w:jc w:val="both"/>
      </w:pPr>
    </w:p>
    <w:p w14:paraId="28C37F6A" w14:textId="3168DA2C" w:rsidR="00FB05FC" w:rsidRPr="008F427D" w:rsidRDefault="00FB05FC" w:rsidP="00FB05FC">
      <w:pPr>
        <w:pStyle w:val="Listaszerbekezds"/>
        <w:numPr>
          <w:ilvl w:val="0"/>
          <w:numId w:val="2"/>
        </w:numPr>
        <w:tabs>
          <w:tab w:val="left" w:pos="475"/>
          <w:tab w:val="left" w:pos="476"/>
        </w:tabs>
        <w:spacing w:before="4" w:line="256" w:lineRule="auto"/>
        <w:ind w:right="676"/>
        <w:jc w:val="both"/>
      </w:pPr>
      <w:r w:rsidRPr="008F427D">
        <w:t xml:space="preserve">Önkormányzati tulajdonú ingatlanokban kisebb felújítási munkák elvégzése (kéményfelújítások, elektromos hálózatok és fűtési rendszerek felújítása) – </w:t>
      </w:r>
      <w:r>
        <w:t>1</w:t>
      </w:r>
      <w:r w:rsidRPr="008F427D">
        <w:t>50.000 eFt</w:t>
      </w:r>
    </w:p>
    <w:p w14:paraId="6EFBDDD9" w14:textId="77777777" w:rsidR="00FB05FC" w:rsidRPr="008F427D" w:rsidRDefault="00FB05FC" w:rsidP="00FB05FC">
      <w:pPr>
        <w:pStyle w:val="Listaszerbekezds"/>
        <w:numPr>
          <w:ilvl w:val="0"/>
          <w:numId w:val="2"/>
        </w:numPr>
        <w:tabs>
          <w:tab w:val="left" w:pos="475"/>
          <w:tab w:val="left" w:pos="476"/>
        </w:tabs>
        <w:spacing w:line="256" w:lineRule="auto"/>
        <w:ind w:right="676"/>
        <w:jc w:val="both"/>
      </w:pPr>
      <w:r w:rsidRPr="008F427D">
        <w:t xml:space="preserve">Önkormányzati tulajdonú lakások, a használhatóság biztosítására irányuló felújítása – </w:t>
      </w:r>
      <w:r>
        <w:t>2</w:t>
      </w:r>
      <w:r w:rsidRPr="008F427D">
        <w:t>00.000 eFt</w:t>
      </w:r>
    </w:p>
    <w:p w14:paraId="30625917" w14:textId="77777777" w:rsidR="00FB05FC" w:rsidRPr="008F427D" w:rsidRDefault="00FB05FC" w:rsidP="00FB05FC">
      <w:pPr>
        <w:pStyle w:val="Listaszerbekezds"/>
        <w:numPr>
          <w:ilvl w:val="0"/>
          <w:numId w:val="2"/>
        </w:numPr>
        <w:tabs>
          <w:tab w:val="left" w:pos="475"/>
          <w:tab w:val="left" w:pos="476"/>
        </w:tabs>
        <w:spacing w:before="1" w:line="259" w:lineRule="auto"/>
        <w:ind w:right="676"/>
        <w:jc w:val="both"/>
      </w:pPr>
      <w:r w:rsidRPr="008F427D">
        <w:t>Társaságunk az előre nem látható, azonnali beavatkozást igénylő, az élet- és balesetveszély megszüntetésére irányuló munkák elvégzését egy kisebb felújításokra vonatkozó keretszerződés alapján tervezi megoldani, melyre külön költségvetési sorban került az előirányzott fedezet.</w:t>
      </w:r>
    </w:p>
    <w:p w14:paraId="5A6E75C2" w14:textId="10D70AAB" w:rsidR="00FB05FC" w:rsidRPr="008F427D" w:rsidRDefault="00FB05FC" w:rsidP="00FB05FC">
      <w:pPr>
        <w:pStyle w:val="Listaszerbekezds"/>
        <w:tabs>
          <w:tab w:val="left" w:pos="475"/>
          <w:tab w:val="left" w:pos="476"/>
        </w:tabs>
        <w:spacing w:before="1" w:line="259" w:lineRule="auto"/>
        <w:ind w:right="676" w:firstLine="0"/>
        <w:jc w:val="both"/>
      </w:pPr>
      <w:r w:rsidRPr="008F427D">
        <w:t>A program</w:t>
      </w:r>
      <w:r w:rsidRPr="008F427D">
        <w:rPr>
          <w:spacing w:val="-11"/>
        </w:rPr>
        <w:t xml:space="preserve"> </w:t>
      </w:r>
      <w:r w:rsidRPr="008F427D">
        <w:t>célja az élet- és balesetveszély elhárítása, a Társaság kezelésébe tartozó ingatlanok állagának védelme, és a társaság kezelésébe tartozó ingatlanok rendeltetésszerű használatában bekövetkezett gátló körülmények megszüntetése. Ezen munkálatok részleges vagy teljes felújításnak is minősülhetnek, mivel több esetben meghaladhatják a karbantartási kategória forgalmát.</w:t>
      </w:r>
    </w:p>
    <w:p w14:paraId="5AA87CAD" w14:textId="77777777" w:rsidR="00FB05FC" w:rsidRPr="008F427D" w:rsidRDefault="00FB05FC" w:rsidP="00FB05FC">
      <w:pPr>
        <w:pStyle w:val="Listaszerbekezds"/>
        <w:numPr>
          <w:ilvl w:val="0"/>
          <w:numId w:val="2"/>
        </w:numPr>
        <w:tabs>
          <w:tab w:val="left" w:pos="475"/>
          <w:tab w:val="left" w:pos="476"/>
        </w:tabs>
        <w:spacing w:before="5" w:line="259" w:lineRule="auto"/>
        <w:ind w:right="676"/>
        <w:jc w:val="both"/>
        <w:rPr>
          <w:sz w:val="17"/>
        </w:rPr>
      </w:pPr>
      <w:r w:rsidRPr="008F427D">
        <w:t>Társaságunk folytatja az üzemeltetésében lévő 100%-os Önkormányzati tulajdonú ingatlanok műszaki felmérését a felújítási költségek hozzárendelésével, melynek célja az EU-s, illetve hazai pályázatokon történő részvételre előzetesen kidolgozott projekt előkészítő tanulmány vázlattervének</w:t>
      </w:r>
      <w:r w:rsidRPr="008F427D">
        <w:rPr>
          <w:spacing w:val="-4"/>
        </w:rPr>
        <w:t xml:space="preserve"> </w:t>
      </w:r>
      <w:r w:rsidRPr="008F427D">
        <w:t>elkészítése.</w:t>
      </w:r>
    </w:p>
    <w:p w14:paraId="0CC3D397" w14:textId="77777777" w:rsidR="00FB05FC" w:rsidRPr="008F427D" w:rsidRDefault="00FB05FC" w:rsidP="00FB05FC">
      <w:pPr>
        <w:tabs>
          <w:tab w:val="left" w:pos="475"/>
          <w:tab w:val="left" w:pos="476"/>
        </w:tabs>
        <w:spacing w:before="5" w:line="259" w:lineRule="auto"/>
        <w:ind w:right="818"/>
        <w:jc w:val="both"/>
        <w:rPr>
          <w:sz w:val="17"/>
        </w:rPr>
      </w:pPr>
    </w:p>
    <w:p w14:paraId="4F98FA0F" w14:textId="77777777" w:rsidR="00FB05FC" w:rsidRPr="008F427D" w:rsidRDefault="00FB05FC" w:rsidP="00520183">
      <w:pPr>
        <w:pStyle w:val="Cmsor1"/>
        <w:numPr>
          <w:ilvl w:val="0"/>
          <w:numId w:val="22"/>
        </w:numPr>
        <w:tabs>
          <w:tab w:val="left" w:pos="835"/>
          <w:tab w:val="left" w:pos="836"/>
        </w:tabs>
      </w:pPr>
      <w:bookmarkStart w:id="13" w:name="_Toc96669283"/>
      <w:r w:rsidRPr="008F427D">
        <w:t>Az ingatlangazdálkodási üzletág működési</w:t>
      </w:r>
      <w:r w:rsidRPr="008F427D">
        <w:rPr>
          <w:spacing w:val="-7"/>
        </w:rPr>
        <w:t xml:space="preserve"> </w:t>
      </w:r>
      <w:r w:rsidRPr="008F427D">
        <w:t>költségei</w:t>
      </w:r>
      <w:bookmarkEnd w:id="13"/>
    </w:p>
    <w:p w14:paraId="3ABDDFC0" w14:textId="77777777" w:rsidR="00FB05FC" w:rsidRPr="008F427D" w:rsidRDefault="00FB05FC" w:rsidP="00FB05FC">
      <w:pPr>
        <w:tabs>
          <w:tab w:val="left" w:pos="475"/>
          <w:tab w:val="left" w:pos="476"/>
        </w:tabs>
        <w:spacing w:before="5" w:line="259" w:lineRule="auto"/>
        <w:ind w:right="818"/>
        <w:jc w:val="both"/>
        <w:rPr>
          <w:sz w:val="17"/>
        </w:rPr>
      </w:pPr>
    </w:p>
    <w:p w14:paraId="213D9B79" w14:textId="77777777" w:rsidR="00FB05FC" w:rsidRPr="000B41D9" w:rsidRDefault="00FB05FC" w:rsidP="00FB05FC">
      <w:pPr>
        <w:pStyle w:val="Szvegtrzs"/>
        <w:spacing w:line="276" w:lineRule="auto"/>
        <w:ind w:left="116" w:right="694"/>
        <w:jc w:val="both"/>
      </w:pPr>
      <w:r w:rsidRPr="008F427D">
        <w:t>A vagyonhasznosítási feladatok (lakások és helyiségek bérbeadásával, valamint értékesítésével</w:t>
      </w:r>
      <w:r w:rsidRPr="008F427D">
        <w:rPr>
          <w:spacing w:val="-21"/>
        </w:rPr>
        <w:t xml:space="preserve"> </w:t>
      </w:r>
      <w:r w:rsidRPr="008F427D">
        <w:t>kapcsolatos</w:t>
      </w:r>
      <w:r w:rsidRPr="008F427D">
        <w:rPr>
          <w:spacing w:val="-21"/>
        </w:rPr>
        <w:t xml:space="preserve"> </w:t>
      </w:r>
      <w:r w:rsidRPr="008F427D">
        <w:t>közvetlen</w:t>
      </w:r>
      <w:r w:rsidRPr="008F427D">
        <w:rPr>
          <w:spacing w:val="-21"/>
        </w:rPr>
        <w:t xml:space="preserve"> </w:t>
      </w:r>
      <w:r w:rsidRPr="008F427D">
        <w:t>kiadások)</w:t>
      </w:r>
      <w:r w:rsidRPr="008F427D">
        <w:rPr>
          <w:spacing w:val="-20"/>
        </w:rPr>
        <w:t xml:space="preserve"> </w:t>
      </w:r>
      <w:r w:rsidRPr="008F427D">
        <w:t>ellátására</w:t>
      </w:r>
      <w:r w:rsidRPr="008F427D">
        <w:rPr>
          <w:spacing w:val="-21"/>
        </w:rPr>
        <w:t xml:space="preserve"> </w:t>
      </w:r>
      <w:r w:rsidRPr="008F427D">
        <w:t>az</w:t>
      </w:r>
      <w:r w:rsidRPr="008F427D">
        <w:rPr>
          <w:spacing w:val="-22"/>
        </w:rPr>
        <w:t xml:space="preserve"> </w:t>
      </w:r>
      <w:r w:rsidRPr="008F427D">
        <w:t>Önkormányzat</w:t>
      </w:r>
      <w:r w:rsidRPr="008F427D">
        <w:rPr>
          <w:spacing w:val="-21"/>
        </w:rPr>
        <w:t xml:space="preserve"> </w:t>
      </w:r>
      <w:r w:rsidRPr="008F427D">
        <w:t>2021. évi költségvetésében előirányzott 467.384 e Ft kiadási összegével szemben a 2022. évi költségvetés 5</w:t>
      </w:r>
      <w:r>
        <w:t>84</w:t>
      </w:r>
      <w:r w:rsidRPr="008F427D">
        <w:t>.</w:t>
      </w:r>
      <w:r>
        <w:t>339</w:t>
      </w:r>
      <w:r w:rsidRPr="008F427D">
        <w:t xml:space="preserve"> e Ft összegű előirányzatot tartalmaz, </w:t>
      </w:r>
      <w:r>
        <w:t xml:space="preserve">amelyből 56.940 eFt a 2021.12. havi áthúzódó tételek összege. A növekedés oka </w:t>
      </w:r>
      <w:r w:rsidRPr="000B41D9">
        <w:t xml:space="preserve">a szolgáltatások díjainak várható emelkedése </w:t>
      </w:r>
      <w:r>
        <w:t xml:space="preserve">és a </w:t>
      </w:r>
      <w:r w:rsidRPr="008F427D">
        <w:t>tervezett béremelés (10%)</w:t>
      </w:r>
      <w:r>
        <w:t xml:space="preserve">. </w:t>
      </w:r>
      <w:r w:rsidRPr="000B41D9">
        <w:t>Mindezek figyelembevételével a tervezett költségnövekedés mértéke 12,8%.</w:t>
      </w:r>
    </w:p>
    <w:p w14:paraId="538238D0" w14:textId="77777777" w:rsidR="00FB05FC" w:rsidRPr="000572FC" w:rsidRDefault="00FB05FC" w:rsidP="00FB05FC">
      <w:pPr>
        <w:pStyle w:val="Szvegtrzs"/>
        <w:spacing w:before="5"/>
        <w:rPr>
          <w:sz w:val="17"/>
        </w:rPr>
      </w:pPr>
    </w:p>
    <w:p w14:paraId="45CA64D2" w14:textId="77777777" w:rsidR="00FB05FC" w:rsidRDefault="00FB05FC" w:rsidP="00FB05FC">
      <w:pPr>
        <w:pStyle w:val="Szvegtrzs"/>
        <w:spacing w:before="179" w:line="276" w:lineRule="auto"/>
        <w:ind w:left="116" w:right="676"/>
        <w:jc w:val="both"/>
      </w:pPr>
      <w:r w:rsidRPr="008F427D">
        <w:rPr>
          <w:noProof/>
        </w:rPr>
        <w:drawing>
          <wp:anchor distT="0" distB="0" distL="0" distR="0" simplePos="0" relativeHeight="487360512" behindDoc="1" locked="0" layoutInCell="1" allowOverlap="1" wp14:anchorId="034C31C8" wp14:editId="1D1E7C0F">
            <wp:simplePos x="0" y="0"/>
            <wp:positionH relativeFrom="page">
              <wp:posOffset>72927</wp:posOffset>
            </wp:positionH>
            <wp:positionV relativeFrom="page">
              <wp:posOffset>7248311</wp:posOffset>
            </wp:positionV>
            <wp:extent cx="7555992" cy="3421379"/>
            <wp:effectExtent l="0" t="0" r="6985" b="8255"/>
            <wp:wrapNone/>
            <wp:docPr id="39"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8F427D">
        <w:t xml:space="preserve">Az ingatlangazdálkodási feladatok kiadásait az Önkormányzat </w:t>
      </w:r>
      <w:r w:rsidRPr="008F427D">
        <w:rPr>
          <w:spacing w:val="-17"/>
        </w:rPr>
        <w:t xml:space="preserve">a </w:t>
      </w:r>
      <w:r w:rsidRPr="008F427D">
        <w:t>feladatellátási szerződés keretében biztosítja Társaságunk</w:t>
      </w:r>
      <w:r w:rsidRPr="008F427D">
        <w:rPr>
          <w:spacing w:val="-6"/>
        </w:rPr>
        <w:t xml:space="preserve"> </w:t>
      </w:r>
      <w:r w:rsidRPr="008F427D">
        <w:t>részére.</w:t>
      </w:r>
    </w:p>
    <w:p w14:paraId="008A9D4A" w14:textId="77777777" w:rsidR="00FB05FC" w:rsidRDefault="00FB05FC" w:rsidP="00FB05FC">
      <w:r>
        <w:br w:type="page"/>
      </w:r>
    </w:p>
    <w:p w14:paraId="62818AAF" w14:textId="0314E57D" w:rsidR="00FB05FC" w:rsidRDefault="00FB05FC" w:rsidP="00FB05FC">
      <w:pPr>
        <w:pStyle w:val="Szvegtrzs"/>
        <w:tabs>
          <w:tab w:val="left" w:pos="9356"/>
        </w:tabs>
        <w:spacing w:before="201" w:line="276" w:lineRule="auto"/>
        <w:ind w:left="116" w:right="676"/>
        <w:jc w:val="both"/>
      </w:pPr>
      <w:r w:rsidRPr="008F427D">
        <w:lastRenderedPageBreak/>
        <w:t>Az alábbi táblázat a feladatellátásra vonatkozó 2021. és a 2022. évi költségvetésben szereplő vagyonhasznosítási és üzemeltetési feladatok előirányzatainak változását mutatja együttesen:</w:t>
      </w:r>
    </w:p>
    <w:p w14:paraId="53B48CA1" w14:textId="77777777" w:rsidR="004573E4" w:rsidRDefault="004573E4" w:rsidP="00FB05FC">
      <w:pPr>
        <w:pStyle w:val="Szvegtrzs"/>
        <w:tabs>
          <w:tab w:val="left" w:pos="9356"/>
        </w:tabs>
        <w:spacing w:before="201" w:line="276" w:lineRule="auto"/>
        <w:ind w:left="116" w:right="676"/>
        <w:jc w:val="both"/>
      </w:pPr>
    </w:p>
    <w:tbl>
      <w:tblPr>
        <w:tblW w:w="8740" w:type="dxa"/>
        <w:tblCellMar>
          <w:left w:w="70" w:type="dxa"/>
          <w:right w:w="70" w:type="dxa"/>
        </w:tblCellMar>
        <w:tblLook w:val="04A0" w:firstRow="1" w:lastRow="0" w:firstColumn="1" w:lastColumn="0" w:noHBand="0" w:noVBand="1"/>
      </w:tblPr>
      <w:tblGrid>
        <w:gridCol w:w="4480"/>
        <w:gridCol w:w="1420"/>
        <w:gridCol w:w="1420"/>
        <w:gridCol w:w="1420"/>
      </w:tblGrid>
      <w:tr w:rsidR="004573E4" w:rsidRPr="004573E4" w14:paraId="098A96EB" w14:textId="77777777" w:rsidTr="004573E4">
        <w:trPr>
          <w:trHeight w:val="555"/>
        </w:trPr>
        <w:tc>
          <w:tcPr>
            <w:tcW w:w="8740" w:type="dxa"/>
            <w:gridSpan w:val="4"/>
            <w:tcBorders>
              <w:top w:val="single" w:sz="8" w:space="0" w:color="auto"/>
              <w:left w:val="single" w:sz="8" w:space="0" w:color="auto"/>
              <w:bottom w:val="single" w:sz="4" w:space="0" w:color="auto"/>
              <w:right w:val="single" w:sz="8" w:space="0" w:color="000000"/>
            </w:tcBorders>
            <w:shd w:val="clear" w:color="000000" w:fill="FFFF00"/>
            <w:vAlign w:val="center"/>
            <w:hideMark/>
          </w:tcPr>
          <w:p w14:paraId="512B69E7" w14:textId="77777777" w:rsidR="004573E4" w:rsidRPr="004573E4" w:rsidRDefault="004573E4" w:rsidP="004573E4">
            <w:pPr>
              <w:widowControl/>
              <w:autoSpaceDE/>
              <w:autoSpaceDN/>
              <w:jc w:val="center"/>
              <w:rPr>
                <w:rFonts w:ascii="Arial" w:eastAsia="Times New Roman" w:hAnsi="Arial" w:cs="Arial"/>
                <w:b/>
                <w:bCs/>
                <w:color w:val="000000"/>
                <w:lang w:eastAsia="hu-HU"/>
              </w:rPr>
            </w:pPr>
            <w:r w:rsidRPr="004573E4">
              <w:rPr>
                <w:rFonts w:ascii="Arial" w:eastAsia="Times New Roman" w:hAnsi="Arial" w:cs="Arial"/>
                <w:b/>
                <w:bCs/>
                <w:color w:val="000000"/>
                <w:lang w:eastAsia="hu-HU"/>
              </w:rPr>
              <w:t>Költségvetési előirányzatok alakulása</w:t>
            </w:r>
          </w:p>
        </w:tc>
      </w:tr>
      <w:tr w:rsidR="004573E4" w:rsidRPr="004573E4" w14:paraId="3C8129E8" w14:textId="77777777" w:rsidTr="004573E4">
        <w:trPr>
          <w:trHeight w:val="870"/>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24CC5A3D" w14:textId="77777777" w:rsidR="004573E4" w:rsidRPr="004573E4" w:rsidRDefault="004573E4" w:rsidP="004573E4">
            <w:pPr>
              <w:widowControl/>
              <w:autoSpaceDE/>
              <w:autoSpaceDN/>
              <w:rPr>
                <w:rFonts w:ascii="Arial" w:eastAsia="Times New Roman" w:hAnsi="Arial" w:cs="Arial"/>
                <w:b/>
                <w:bCs/>
                <w:color w:val="000000"/>
                <w:lang w:eastAsia="hu-HU"/>
              </w:rPr>
            </w:pPr>
            <w:r w:rsidRPr="004573E4">
              <w:rPr>
                <w:rFonts w:ascii="Arial" w:eastAsia="Times New Roman" w:hAnsi="Arial" w:cs="Arial"/>
                <w:b/>
                <w:bCs/>
                <w:color w:val="000000"/>
                <w:lang w:eastAsia="hu-HU"/>
              </w:rPr>
              <w:t>Előirányzat sor megnevezése</w:t>
            </w:r>
          </w:p>
        </w:tc>
        <w:tc>
          <w:tcPr>
            <w:tcW w:w="1420" w:type="dxa"/>
            <w:tcBorders>
              <w:top w:val="nil"/>
              <w:left w:val="nil"/>
              <w:bottom w:val="single" w:sz="4" w:space="0" w:color="auto"/>
              <w:right w:val="single" w:sz="4" w:space="0" w:color="auto"/>
            </w:tcBorders>
            <w:shd w:val="clear" w:color="auto" w:fill="auto"/>
            <w:vAlign w:val="center"/>
            <w:hideMark/>
          </w:tcPr>
          <w:p w14:paraId="4EAE97B9" w14:textId="77777777" w:rsidR="004573E4" w:rsidRPr="004573E4" w:rsidRDefault="004573E4" w:rsidP="004573E4">
            <w:pPr>
              <w:widowControl/>
              <w:autoSpaceDE/>
              <w:autoSpaceDN/>
              <w:jc w:val="center"/>
              <w:rPr>
                <w:rFonts w:ascii="Arial" w:eastAsia="Times New Roman" w:hAnsi="Arial" w:cs="Arial"/>
                <w:b/>
                <w:bCs/>
                <w:color w:val="000000"/>
                <w:lang w:eastAsia="hu-HU"/>
              </w:rPr>
            </w:pPr>
            <w:r w:rsidRPr="004573E4">
              <w:rPr>
                <w:rFonts w:ascii="Arial" w:eastAsia="Times New Roman" w:hAnsi="Arial" w:cs="Arial"/>
                <w:b/>
                <w:bCs/>
                <w:color w:val="000000"/>
                <w:lang w:eastAsia="hu-HU"/>
              </w:rPr>
              <w:t>2021. évi előirányzat összege (eFt)</w:t>
            </w:r>
          </w:p>
        </w:tc>
        <w:tc>
          <w:tcPr>
            <w:tcW w:w="1420" w:type="dxa"/>
            <w:tcBorders>
              <w:top w:val="nil"/>
              <w:left w:val="nil"/>
              <w:bottom w:val="single" w:sz="4" w:space="0" w:color="auto"/>
              <w:right w:val="single" w:sz="4" w:space="0" w:color="auto"/>
            </w:tcBorders>
            <w:shd w:val="clear" w:color="auto" w:fill="auto"/>
            <w:vAlign w:val="center"/>
            <w:hideMark/>
          </w:tcPr>
          <w:p w14:paraId="1AFF6B93" w14:textId="77777777" w:rsidR="004573E4" w:rsidRPr="004573E4" w:rsidRDefault="004573E4" w:rsidP="004573E4">
            <w:pPr>
              <w:widowControl/>
              <w:autoSpaceDE/>
              <w:autoSpaceDN/>
              <w:jc w:val="center"/>
              <w:rPr>
                <w:rFonts w:ascii="Arial" w:eastAsia="Times New Roman" w:hAnsi="Arial" w:cs="Arial"/>
                <w:b/>
                <w:bCs/>
                <w:color w:val="000000"/>
                <w:lang w:eastAsia="hu-HU"/>
              </w:rPr>
            </w:pPr>
            <w:r w:rsidRPr="004573E4">
              <w:rPr>
                <w:rFonts w:ascii="Arial" w:eastAsia="Times New Roman" w:hAnsi="Arial" w:cs="Arial"/>
                <w:b/>
                <w:bCs/>
                <w:color w:val="000000"/>
                <w:lang w:eastAsia="hu-HU"/>
              </w:rPr>
              <w:t>2022. évi előirányzat összege (eFt)</w:t>
            </w:r>
          </w:p>
        </w:tc>
        <w:tc>
          <w:tcPr>
            <w:tcW w:w="1420" w:type="dxa"/>
            <w:tcBorders>
              <w:top w:val="nil"/>
              <w:left w:val="nil"/>
              <w:bottom w:val="single" w:sz="4" w:space="0" w:color="auto"/>
              <w:right w:val="single" w:sz="8" w:space="0" w:color="auto"/>
            </w:tcBorders>
            <w:shd w:val="clear" w:color="auto" w:fill="auto"/>
            <w:vAlign w:val="center"/>
            <w:hideMark/>
          </w:tcPr>
          <w:p w14:paraId="53CEB84C" w14:textId="77777777" w:rsidR="004573E4" w:rsidRPr="004573E4" w:rsidRDefault="004573E4" w:rsidP="004573E4">
            <w:pPr>
              <w:widowControl/>
              <w:autoSpaceDE/>
              <w:autoSpaceDN/>
              <w:jc w:val="center"/>
              <w:rPr>
                <w:rFonts w:ascii="Arial" w:eastAsia="Times New Roman" w:hAnsi="Arial" w:cs="Arial"/>
                <w:b/>
                <w:bCs/>
                <w:color w:val="000000"/>
                <w:lang w:eastAsia="hu-HU"/>
              </w:rPr>
            </w:pPr>
            <w:r w:rsidRPr="004573E4">
              <w:rPr>
                <w:rFonts w:ascii="Arial" w:eastAsia="Times New Roman" w:hAnsi="Arial" w:cs="Arial"/>
                <w:b/>
                <w:bCs/>
                <w:color w:val="000000"/>
                <w:lang w:eastAsia="hu-HU"/>
              </w:rPr>
              <w:t>Változás (eFt)</w:t>
            </w:r>
          </w:p>
        </w:tc>
      </w:tr>
      <w:tr w:rsidR="004573E4" w:rsidRPr="004573E4" w14:paraId="28D77DE0" w14:textId="77777777" w:rsidTr="004573E4">
        <w:trPr>
          <w:trHeight w:val="1140"/>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42316B25"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Vagyonhasznosítási feladatok (lakások és helyiségek bérbeadásával, valamint értékesítésével kapcsolatos közvetlen kiadások)</w:t>
            </w:r>
          </w:p>
        </w:tc>
        <w:tc>
          <w:tcPr>
            <w:tcW w:w="1420" w:type="dxa"/>
            <w:tcBorders>
              <w:top w:val="nil"/>
              <w:left w:val="nil"/>
              <w:bottom w:val="single" w:sz="4" w:space="0" w:color="auto"/>
              <w:right w:val="single" w:sz="4" w:space="0" w:color="auto"/>
            </w:tcBorders>
            <w:shd w:val="clear" w:color="auto" w:fill="auto"/>
            <w:vAlign w:val="center"/>
            <w:hideMark/>
          </w:tcPr>
          <w:p w14:paraId="7CE83750"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467 384</w:t>
            </w:r>
          </w:p>
        </w:tc>
        <w:tc>
          <w:tcPr>
            <w:tcW w:w="1420" w:type="dxa"/>
            <w:tcBorders>
              <w:top w:val="nil"/>
              <w:left w:val="nil"/>
              <w:bottom w:val="single" w:sz="4" w:space="0" w:color="auto"/>
              <w:right w:val="single" w:sz="4" w:space="0" w:color="auto"/>
            </w:tcBorders>
            <w:shd w:val="clear" w:color="auto" w:fill="auto"/>
            <w:vAlign w:val="center"/>
            <w:hideMark/>
          </w:tcPr>
          <w:p w14:paraId="739F0633"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584 339</w:t>
            </w:r>
          </w:p>
        </w:tc>
        <w:tc>
          <w:tcPr>
            <w:tcW w:w="1420" w:type="dxa"/>
            <w:tcBorders>
              <w:top w:val="nil"/>
              <w:left w:val="nil"/>
              <w:bottom w:val="single" w:sz="4" w:space="0" w:color="auto"/>
              <w:right w:val="single" w:sz="8" w:space="0" w:color="auto"/>
            </w:tcBorders>
            <w:shd w:val="clear" w:color="auto" w:fill="auto"/>
            <w:vAlign w:val="center"/>
            <w:hideMark/>
          </w:tcPr>
          <w:p w14:paraId="36BDC265" w14:textId="77777777" w:rsidR="004573E4" w:rsidRPr="004573E4" w:rsidRDefault="004573E4" w:rsidP="004573E4">
            <w:pPr>
              <w:widowControl/>
              <w:autoSpaceDE/>
              <w:autoSpaceDN/>
              <w:jc w:val="right"/>
              <w:rPr>
                <w:rFonts w:ascii="Times New Roman" w:eastAsia="Times New Roman" w:hAnsi="Times New Roman" w:cs="Times New Roman"/>
                <w:color w:val="000000"/>
                <w:lang w:eastAsia="hu-HU"/>
              </w:rPr>
            </w:pPr>
            <w:r w:rsidRPr="004573E4">
              <w:rPr>
                <w:rFonts w:ascii="Times New Roman" w:eastAsia="Times New Roman" w:hAnsi="Times New Roman" w:cs="Times New Roman"/>
                <w:color w:val="000000"/>
                <w:lang w:eastAsia="hu-HU"/>
              </w:rPr>
              <w:t>116 955</w:t>
            </w:r>
          </w:p>
        </w:tc>
      </w:tr>
      <w:tr w:rsidR="004573E4" w:rsidRPr="004573E4" w14:paraId="25BC97A2" w14:textId="77777777" w:rsidTr="004573E4">
        <w:trPr>
          <w:trHeight w:val="855"/>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6E04C467"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Önkormányzati tulajdonú ingatlanok karbantartása, erzsébetvárosi gyorsszervíz szolgáltatás</w:t>
            </w:r>
          </w:p>
        </w:tc>
        <w:tc>
          <w:tcPr>
            <w:tcW w:w="1420" w:type="dxa"/>
            <w:tcBorders>
              <w:top w:val="nil"/>
              <w:left w:val="nil"/>
              <w:bottom w:val="single" w:sz="4" w:space="0" w:color="auto"/>
              <w:right w:val="single" w:sz="4" w:space="0" w:color="auto"/>
            </w:tcBorders>
            <w:shd w:val="clear" w:color="auto" w:fill="auto"/>
            <w:vAlign w:val="center"/>
            <w:hideMark/>
          </w:tcPr>
          <w:p w14:paraId="47EF8EF1"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195 402</w:t>
            </w:r>
          </w:p>
        </w:tc>
        <w:tc>
          <w:tcPr>
            <w:tcW w:w="1420" w:type="dxa"/>
            <w:tcBorders>
              <w:top w:val="nil"/>
              <w:left w:val="nil"/>
              <w:bottom w:val="single" w:sz="4" w:space="0" w:color="auto"/>
              <w:right w:val="single" w:sz="4" w:space="0" w:color="auto"/>
            </w:tcBorders>
            <w:shd w:val="clear" w:color="auto" w:fill="auto"/>
            <w:vAlign w:val="center"/>
            <w:hideMark/>
          </w:tcPr>
          <w:p w14:paraId="4C4B8034"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345 563</w:t>
            </w:r>
          </w:p>
        </w:tc>
        <w:tc>
          <w:tcPr>
            <w:tcW w:w="1420" w:type="dxa"/>
            <w:tcBorders>
              <w:top w:val="nil"/>
              <w:left w:val="nil"/>
              <w:bottom w:val="single" w:sz="4" w:space="0" w:color="auto"/>
              <w:right w:val="single" w:sz="8" w:space="0" w:color="auto"/>
            </w:tcBorders>
            <w:shd w:val="clear" w:color="auto" w:fill="auto"/>
            <w:vAlign w:val="center"/>
            <w:hideMark/>
          </w:tcPr>
          <w:p w14:paraId="07821DC4" w14:textId="77777777" w:rsidR="004573E4" w:rsidRPr="004573E4" w:rsidRDefault="004573E4" w:rsidP="004573E4">
            <w:pPr>
              <w:widowControl/>
              <w:autoSpaceDE/>
              <w:autoSpaceDN/>
              <w:jc w:val="right"/>
              <w:rPr>
                <w:rFonts w:ascii="Times New Roman" w:eastAsia="Times New Roman" w:hAnsi="Times New Roman" w:cs="Times New Roman"/>
                <w:color w:val="000000"/>
                <w:lang w:eastAsia="hu-HU"/>
              </w:rPr>
            </w:pPr>
            <w:r w:rsidRPr="004573E4">
              <w:rPr>
                <w:rFonts w:ascii="Times New Roman" w:eastAsia="Times New Roman" w:hAnsi="Times New Roman" w:cs="Times New Roman"/>
                <w:color w:val="000000"/>
                <w:lang w:eastAsia="hu-HU"/>
              </w:rPr>
              <w:t>150 161</w:t>
            </w:r>
          </w:p>
        </w:tc>
      </w:tr>
      <w:tr w:rsidR="004573E4" w:rsidRPr="004573E4" w14:paraId="08037FE3" w14:textId="77777777" w:rsidTr="004573E4">
        <w:trPr>
          <w:trHeight w:val="570"/>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4F11FADE"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Önkormányzati tulajdonú ingatlanok üzemeltetése, fenntartása</w:t>
            </w:r>
          </w:p>
        </w:tc>
        <w:tc>
          <w:tcPr>
            <w:tcW w:w="1420" w:type="dxa"/>
            <w:tcBorders>
              <w:top w:val="nil"/>
              <w:left w:val="nil"/>
              <w:bottom w:val="single" w:sz="4" w:space="0" w:color="auto"/>
              <w:right w:val="single" w:sz="4" w:space="0" w:color="auto"/>
            </w:tcBorders>
            <w:shd w:val="clear" w:color="auto" w:fill="auto"/>
            <w:vAlign w:val="center"/>
            <w:hideMark/>
          </w:tcPr>
          <w:p w14:paraId="7FD1E864"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250 110</w:t>
            </w:r>
          </w:p>
        </w:tc>
        <w:tc>
          <w:tcPr>
            <w:tcW w:w="1420" w:type="dxa"/>
            <w:tcBorders>
              <w:top w:val="nil"/>
              <w:left w:val="nil"/>
              <w:bottom w:val="single" w:sz="4" w:space="0" w:color="auto"/>
              <w:right w:val="single" w:sz="4" w:space="0" w:color="auto"/>
            </w:tcBorders>
            <w:shd w:val="clear" w:color="auto" w:fill="auto"/>
            <w:vAlign w:val="center"/>
            <w:hideMark/>
          </w:tcPr>
          <w:p w14:paraId="32CD4B0D"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209 410</w:t>
            </w:r>
          </w:p>
        </w:tc>
        <w:tc>
          <w:tcPr>
            <w:tcW w:w="1420" w:type="dxa"/>
            <w:tcBorders>
              <w:top w:val="nil"/>
              <w:left w:val="nil"/>
              <w:bottom w:val="single" w:sz="4" w:space="0" w:color="auto"/>
              <w:right w:val="single" w:sz="8" w:space="0" w:color="auto"/>
            </w:tcBorders>
            <w:shd w:val="clear" w:color="auto" w:fill="auto"/>
            <w:vAlign w:val="center"/>
            <w:hideMark/>
          </w:tcPr>
          <w:p w14:paraId="08C4FBFB" w14:textId="77777777" w:rsidR="004573E4" w:rsidRPr="004573E4" w:rsidRDefault="004573E4" w:rsidP="004573E4">
            <w:pPr>
              <w:widowControl/>
              <w:autoSpaceDE/>
              <w:autoSpaceDN/>
              <w:jc w:val="right"/>
              <w:rPr>
                <w:rFonts w:ascii="Times New Roman" w:eastAsia="Times New Roman" w:hAnsi="Times New Roman" w:cs="Times New Roman"/>
                <w:color w:val="000000"/>
                <w:lang w:eastAsia="hu-HU"/>
              </w:rPr>
            </w:pPr>
            <w:r w:rsidRPr="004573E4">
              <w:rPr>
                <w:rFonts w:ascii="Times New Roman" w:eastAsia="Times New Roman" w:hAnsi="Times New Roman" w:cs="Times New Roman"/>
                <w:color w:val="000000"/>
                <w:lang w:eastAsia="hu-HU"/>
              </w:rPr>
              <w:t>-40 700</w:t>
            </w:r>
          </w:p>
        </w:tc>
      </w:tr>
      <w:tr w:rsidR="004573E4" w:rsidRPr="004573E4" w14:paraId="616A092E" w14:textId="77777777" w:rsidTr="004573E4">
        <w:trPr>
          <w:trHeight w:val="570"/>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094DE7AF"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Önkormányzati tulajdonú ingatlanok közüzemi díja</w:t>
            </w:r>
          </w:p>
        </w:tc>
        <w:tc>
          <w:tcPr>
            <w:tcW w:w="1420" w:type="dxa"/>
            <w:tcBorders>
              <w:top w:val="nil"/>
              <w:left w:val="nil"/>
              <w:bottom w:val="single" w:sz="4" w:space="0" w:color="auto"/>
              <w:right w:val="single" w:sz="4" w:space="0" w:color="auto"/>
            </w:tcBorders>
            <w:shd w:val="clear" w:color="auto" w:fill="auto"/>
            <w:vAlign w:val="center"/>
            <w:hideMark/>
          </w:tcPr>
          <w:p w14:paraId="0CBDCB3E"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75 004</w:t>
            </w:r>
          </w:p>
        </w:tc>
        <w:tc>
          <w:tcPr>
            <w:tcW w:w="1420" w:type="dxa"/>
            <w:tcBorders>
              <w:top w:val="nil"/>
              <w:left w:val="nil"/>
              <w:bottom w:val="single" w:sz="4" w:space="0" w:color="auto"/>
              <w:right w:val="single" w:sz="4" w:space="0" w:color="auto"/>
            </w:tcBorders>
            <w:shd w:val="clear" w:color="auto" w:fill="auto"/>
            <w:vAlign w:val="center"/>
            <w:hideMark/>
          </w:tcPr>
          <w:p w14:paraId="682AB282"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101 395</w:t>
            </w:r>
          </w:p>
        </w:tc>
        <w:tc>
          <w:tcPr>
            <w:tcW w:w="1420" w:type="dxa"/>
            <w:tcBorders>
              <w:top w:val="nil"/>
              <w:left w:val="nil"/>
              <w:bottom w:val="single" w:sz="4" w:space="0" w:color="auto"/>
              <w:right w:val="single" w:sz="8" w:space="0" w:color="auto"/>
            </w:tcBorders>
            <w:shd w:val="clear" w:color="auto" w:fill="auto"/>
            <w:vAlign w:val="center"/>
            <w:hideMark/>
          </w:tcPr>
          <w:p w14:paraId="490F0CC7" w14:textId="77777777" w:rsidR="004573E4" w:rsidRPr="004573E4" w:rsidRDefault="004573E4" w:rsidP="004573E4">
            <w:pPr>
              <w:widowControl/>
              <w:autoSpaceDE/>
              <w:autoSpaceDN/>
              <w:jc w:val="right"/>
              <w:rPr>
                <w:rFonts w:ascii="Times New Roman" w:eastAsia="Times New Roman" w:hAnsi="Times New Roman" w:cs="Times New Roman"/>
                <w:color w:val="000000"/>
                <w:lang w:eastAsia="hu-HU"/>
              </w:rPr>
            </w:pPr>
            <w:r w:rsidRPr="004573E4">
              <w:rPr>
                <w:rFonts w:ascii="Times New Roman" w:eastAsia="Times New Roman" w:hAnsi="Times New Roman" w:cs="Times New Roman"/>
                <w:color w:val="000000"/>
                <w:lang w:eastAsia="hu-HU"/>
              </w:rPr>
              <w:t>26 391</w:t>
            </w:r>
          </w:p>
        </w:tc>
      </w:tr>
      <w:tr w:rsidR="004573E4" w:rsidRPr="004573E4" w14:paraId="09321D2D" w14:textId="77777777" w:rsidTr="004573E4">
        <w:trPr>
          <w:trHeight w:val="570"/>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3BEF1037"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Önkormányzati tulajdonú lakásokba és helyiségekbe vízóra felszerelése</w:t>
            </w:r>
          </w:p>
        </w:tc>
        <w:tc>
          <w:tcPr>
            <w:tcW w:w="1420" w:type="dxa"/>
            <w:tcBorders>
              <w:top w:val="nil"/>
              <w:left w:val="nil"/>
              <w:bottom w:val="single" w:sz="4" w:space="0" w:color="auto"/>
              <w:right w:val="single" w:sz="4" w:space="0" w:color="auto"/>
            </w:tcBorders>
            <w:shd w:val="clear" w:color="auto" w:fill="auto"/>
            <w:vAlign w:val="center"/>
            <w:hideMark/>
          </w:tcPr>
          <w:p w14:paraId="5D4DD409"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5 052</w:t>
            </w:r>
          </w:p>
        </w:tc>
        <w:tc>
          <w:tcPr>
            <w:tcW w:w="1420" w:type="dxa"/>
            <w:tcBorders>
              <w:top w:val="nil"/>
              <w:left w:val="nil"/>
              <w:bottom w:val="single" w:sz="4" w:space="0" w:color="auto"/>
              <w:right w:val="single" w:sz="4" w:space="0" w:color="auto"/>
            </w:tcBorders>
            <w:shd w:val="clear" w:color="auto" w:fill="auto"/>
            <w:vAlign w:val="center"/>
            <w:hideMark/>
          </w:tcPr>
          <w:p w14:paraId="0DCC571B"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1 640</w:t>
            </w:r>
          </w:p>
        </w:tc>
        <w:tc>
          <w:tcPr>
            <w:tcW w:w="1420" w:type="dxa"/>
            <w:tcBorders>
              <w:top w:val="nil"/>
              <w:left w:val="nil"/>
              <w:bottom w:val="single" w:sz="4" w:space="0" w:color="auto"/>
              <w:right w:val="single" w:sz="8" w:space="0" w:color="auto"/>
            </w:tcBorders>
            <w:shd w:val="clear" w:color="auto" w:fill="auto"/>
            <w:vAlign w:val="center"/>
            <w:hideMark/>
          </w:tcPr>
          <w:p w14:paraId="7336679E" w14:textId="77777777" w:rsidR="004573E4" w:rsidRPr="004573E4" w:rsidRDefault="004573E4" w:rsidP="004573E4">
            <w:pPr>
              <w:widowControl/>
              <w:autoSpaceDE/>
              <w:autoSpaceDN/>
              <w:jc w:val="right"/>
              <w:rPr>
                <w:rFonts w:ascii="Times New Roman" w:eastAsia="Times New Roman" w:hAnsi="Times New Roman" w:cs="Times New Roman"/>
                <w:color w:val="000000"/>
                <w:lang w:eastAsia="hu-HU"/>
              </w:rPr>
            </w:pPr>
            <w:r w:rsidRPr="004573E4">
              <w:rPr>
                <w:rFonts w:ascii="Times New Roman" w:eastAsia="Times New Roman" w:hAnsi="Times New Roman" w:cs="Times New Roman"/>
                <w:color w:val="000000"/>
                <w:lang w:eastAsia="hu-HU"/>
              </w:rPr>
              <w:t>-3 412</w:t>
            </w:r>
          </w:p>
        </w:tc>
      </w:tr>
      <w:tr w:rsidR="004573E4" w:rsidRPr="004573E4" w14:paraId="3DD7C4DE" w14:textId="77777777" w:rsidTr="004573E4">
        <w:trPr>
          <w:trHeight w:val="855"/>
        </w:trPr>
        <w:tc>
          <w:tcPr>
            <w:tcW w:w="4480" w:type="dxa"/>
            <w:tcBorders>
              <w:top w:val="nil"/>
              <w:left w:val="single" w:sz="8" w:space="0" w:color="auto"/>
              <w:bottom w:val="single" w:sz="4" w:space="0" w:color="auto"/>
              <w:right w:val="single" w:sz="4" w:space="0" w:color="auto"/>
            </w:tcBorders>
            <w:shd w:val="clear" w:color="auto" w:fill="auto"/>
            <w:vAlign w:val="center"/>
            <w:hideMark/>
          </w:tcPr>
          <w:p w14:paraId="6295F5BA" w14:textId="77777777" w:rsidR="004573E4" w:rsidRPr="004573E4" w:rsidRDefault="004573E4" w:rsidP="004573E4">
            <w:pPr>
              <w:widowControl/>
              <w:autoSpaceDE/>
              <w:autoSpaceDN/>
              <w:rPr>
                <w:rFonts w:ascii="Arial" w:eastAsia="Times New Roman" w:hAnsi="Arial" w:cs="Arial"/>
                <w:color w:val="000000"/>
                <w:lang w:eastAsia="hu-HU"/>
              </w:rPr>
            </w:pPr>
            <w:r w:rsidRPr="004573E4">
              <w:rPr>
                <w:rFonts w:ascii="Arial" w:eastAsia="Times New Roman" w:hAnsi="Arial" w:cs="Arial"/>
                <w:color w:val="000000"/>
                <w:lang w:eastAsia="hu-HU"/>
              </w:rPr>
              <w:t>Társasházakban lévő önkormányzati tulajdonhoz kapcsolódó kiadások (társasházi ügyintézők és megbízottak)</w:t>
            </w:r>
          </w:p>
        </w:tc>
        <w:tc>
          <w:tcPr>
            <w:tcW w:w="1420" w:type="dxa"/>
            <w:tcBorders>
              <w:top w:val="nil"/>
              <w:left w:val="nil"/>
              <w:bottom w:val="single" w:sz="4" w:space="0" w:color="auto"/>
              <w:right w:val="single" w:sz="4" w:space="0" w:color="auto"/>
            </w:tcBorders>
            <w:shd w:val="clear" w:color="auto" w:fill="auto"/>
            <w:vAlign w:val="center"/>
            <w:hideMark/>
          </w:tcPr>
          <w:p w14:paraId="2E00CB1F"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83 554</w:t>
            </w:r>
          </w:p>
        </w:tc>
        <w:tc>
          <w:tcPr>
            <w:tcW w:w="1420" w:type="dxa"/>
            <w:tcBorders>
              <w:top w:val="nil"/>
              <w:left w:val="nil"/>
              <w:bottom w:val="single" w:sz="4" w:space="0" w:color="auto"/>
              <w:right w:val="single" w:sz="4" w:space="0" w:color="auto"/>
            </w:tcBorders>
            <w:shd w:val="clear" w:color="auto" w:fill="auto"/>
            <w:vAlign w:val="center"/>
            <w:hideMark/>
          </w:tcPr>
          <w:p w14:paraId="6F7D22F9"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94 848</w:t>
            </w:r>
          </w:p>
        </w:tc>
        <w:tc>
          <w:tcPr>
            <w:tcW w:w="1420" w:type="dxa"/>
            <w:tcBorders>
              <w:top w:val="nil"/>
              <w:left w:val="nil"/>
              <w:bottom w:val="single" w:sz="4" w:space="0" w:color="auto"/>
              <w:right w:val="single" w:sz="8" w:space="0" w:color="auto"/>
            </w:tcBorders>
            <w:shd w:val="clear" w:color="auto" w:fill="auto"/>
            <w:vAlign w:val="center"/>
            <w:hideMark/>
          </w:tcPr>
          <w:p w14:paraId="2EB3ABEF" w14:textId="77777777" w:rsidR="004573E4" w:rsidRPr="004573E4" w:rsidRDefault="004573E4" w:rsidP="004573E4">
            <w:pPr>
              <w:widowControl/>
              <w:autoSpaceDE/>
              <w:autoSpaceDN/>
              <w:jc w:val="right"/>
              <w:rPr>
                <w:rFonts w:ascii="Arial" w:eastAsia="Times New Roman" w:hAnsi="Arial" w:cs="Arial"/>
                <w:color w:val="000000"/>
                <w:lang w:eastAsia="hu-HU"/>
              </w:rPr>
            </w:pPr>
            <w:r w:rsidRPr="004573E4">
              <w:rPr>
                <w:rFonts w:ascii="Arial" w:eastAsia="Times New Roman" w:hAnsi="Arial" w:cs="Arial"/>
                <w:color w:val="000000"/>
                <w:lang w:eastAsia="hu-HU"/>
              </w:rPr>
              <w:t>11 294</w:t>
            </w:r>
          </w:p>
        </w:tc>
      </w:tr>
      <w:tr w:rsidR="004573E4" w:rsidRPr="004573E4" w14:paraId="3835C573" w14:textId="77777777" w:rsidTr="004573E4">
        <w:trPr>
          <w:trHeight w:val="315"/>
        </w:trPr>
        <w:tc>
          <w:tcPr>
            <w:tcW w:w="4480" w:type="dxa"/>
            <w:tcBorders>
              <w:top w:val="nil"/>
              <w:left w:val="single" w:sz="8" w:space="0" w:color="auto"/>
              <w:bottom w:val="single" w:sz="8" w:space="0" w:color="auto"/>
              <w:right w:val="single" w:sz="4" w:space="0" w:color="auto"/>
            </w:tcBorders>
            <w:shd w:val="clear" w:color="000000" w:fill="D8D8D8"/>
            <w:vAlign w:val="center"/>
            <w:hideMark/>
          </w:tcPr>
          <w:p w14:paraId="19A858B6" w14:textId="77777777" w:rsidR="004573E4" w:rsidRPr="004573E4" w:rsidRDefault="004573E4" w:rsidP="004573E4">
            <w:pPr>
              <w:widowControl/>
              <w:autoSpaceDE/>
              <w:autoSpaceDN/>
              <w:rPr>
                <w:rFonts w:ascii="Arial" w:eastAsia="Times New Roman" w:hAnsi="Arial" w:cs="Arial"/>
                <w:b/>
                <w:bCs/>
                <w:color w:val="000000"/>
                <w:lang w:eastAsia="hu-HU"/>
              </w:rPr>
            </w:pPr>
            <w:r w:rsidRPr="004573E4">
              <w:rPr>
                <w:rFonts w:ascii="Arial" w:eastAsia="Times New Roman" w:hAnsi="Arial" w:cs="Arial"/>
                <w:b/>
                <w:bCs/>
                <w:color w:val="000000"/>
                <w:lang w:eastAsia="hu-HU"/>
              </w:rPr>
              <w:t>Összesen:</w:t>
            </w:r>
          </w:p>
        </w:tc>
        <w:tc>
          <w:tcPr>
            <w:tcW w:w="1420" w:type="dxa"/>
            <w:tcBorders>
              <w:top w:val="nil"/>
              <w:left w:val="nil"/>
              <w:bottom w:val="single" w:sz="8" w:space="0" w:color="auto"/>
              <w:right w:val="single" w:sz="4" w:space="0" w:color="auto"/>
            </w:tcBorders>
            <w:shd w:val="clear" w:color="000000" w:fill="D8D8D8"/>
            <w:vAlign w:val="center"/>
            <w:hideMark/>
          </w:tcPr>
          <w:p w14:paraId="6A5FEC58" w14:textId="77777777" w:rsidR="004573E4" w:rsidRPr="004573E4" w:rsidRDefault="004573E4" w:rsidP="004573E4">
            <w:pPr>
              <w:widowControl/>
              <w:autoSpaceDE/>
              <w:autoSpaceDN/>
              <w:jc w:val="right"/>
              <w:rPr>
                <w:rFonts w:ascii="Arial" w:eastAsia="Times New Roman" w:hAnsi="Arial" w:cs="Arial"/>
                <w:b/>
                <w:bCs/>
                <w:color w:val="000000"/>
                <w:lang w:eastAsia="hu-HU"/>
              </w:rPr>
            </w:pPr>
            <w:r w:rsidRPr="004573E4">
              <w:rPr>
                <w:rFonts w:ascii="Arial" w:eastAsia="Times New Roman" w:hAnsi="Arial" w:cs="Arial"/>
                <w:b/>
                <w:bCs/>
                <w:color w:val="000000"/>
                <w:lang w:eastAsia="hu-HU"/>
              </w:rPr>
              <w:t>1 076 506</w:t>
            </w:r>
          </w:p>
        </w:tc>
        <w:tc>
          <w:tcPr>
            <w:tcW w:w="1420" w:type="dxa"/>
            <w:tcBorders>
              <w:top w:val="nil"/>
              <w:left w:val="nil"/>
              <w:bottom w:val="single" w:sz="8" w:space="0" w:color="auto"/>
              <w:right w:val="single" w:sz="4" w:space="0" w:color="auto"/>
            </w:tcBorders>
            <w:shd w:val="clear" w:color="000000" w:fill="D8D8D8"/>
            <w:vAlign w:val="center"/>
            <w:hideMark/>
          </w:tcPr>
          <w:p w14:paraId="7CFAEEF1" w14:textId="77777777" w:rsidR="004573E4" w:rsidRPr="004573E4" w:rsidRDefault="004573E4" w:rsidP="004573E4">
            <w:pPr>
              <w:widowControl/>
              <w:autoSpaceDE/>
              <w:autoSpaceDN/>
              <w:jc w:val="right"/>
              <w:rPr>
                <w:rFonts w:ascii="Arial" w:eastAsia="Times New Roman" w:hAnsi="Arial" w:cs="Arial"/>
                <w:b/>
                <w:bCs/>
                <w:color w:val="000000"/>
                <w:lang w:eastAsia="hu-HU"/>
              </w:rPr>
            </w:pPr>
            <w:r w:rsidRPr="004573E4">
              <w:rPr>
                <w:rFonts w:ascii="Arial" w:eastAsia="Times New Roman" w:hAnsi="Arial" w:cs="Arial"/>
                <w:b/>
                <w:bCs/>
                <w:color w:val="000000"/>
                <w:lang w:eastAsia="hu-HU"/>
              </w:rPr>
              <w:t>1 337 195</w:t>
            </w:r>
          </w:p>
        </w:tc>
        <w:tc>
          <w:tcPr>
            <w:tcW w:w="1420" w:type="dxa"/>
            <w:tcBorders>
              <w:top w:val="nil"/>
              <w:left w:val="nil"/>
              <w:bottom w:val="single" w:sz="8" w:space="0" w:color="auto"/>
              <w:right w:val="single" w:sz="8" w:space="0" w:color="auto"/>
            </w:tcBorders>
            <w:shd w:val="clear" w:color="000000" w:fill="D8D8D8"/>
            <w:vAlign w:val="center"/>
            <w:hideMark/>
          </w:tcPr>
          <w:p w14:paraId="41AD80DF" w14:textId="77777777" w:rsidR="004573E4" w:rsidRPr="004573E4" w:rsidRDefault="004573E4" w:rsidP="004573E4">
            <w:pPr>
              <w:widowControl/>
              <w:autoSpaceDE/>
              <w:autoSpaceDN/>
              <w:jc w:val="right"/>
              <w:rPr>
                <w:rFonts w:ascii="Arial" w:eastAsia="Times New Roman" w:hAnsi="Arial" w:cs="Arial"/>
                <w:b/>
                <w:bCs/>
                <w:color w:val="000000"/>
                <w:lang w:eastAsia="hu-HU"/>
              </w:rPr>
            </w:pPr>
            <w:r w:rsidRPr="004573E4">
              <w:rPr>
                <w:rFonts w:ascii="Arial" w:eastAsia="Times New Roman" w:hAnsi="Arial" w:cs="Arial"/>
                <w:b/>
                <w:bCs/>
                <w:color w:val="000000"/>
                <w:lang w:eastAsia="hu-HU"/>
              </w:rPr>
              <w:t>260 689</w:t>
            </w:r>
          </w:p>
        </w:tc>
      </w:tr>
    </w:tbl>
    <w:p w14:paraId="3A91BD50" w14:textId="77777777" w:rsidR="00FB05FC" w:rsidRDefault="00FB05FC" w:rsidP="00FB05FC"/>
    <w:p w14:paraId="04186FDF" w14:textId="77777777" w:rsidR="00FB05FC" w:rsidRDefault="00FB05FC" w:rsidP="00FB05FC">
      <w:r>
        <w:t>A 2022. évi előirányzat tartalmazza a 2021.12. havi áthúzódó tételeket összesen 114.544 eFt értékben.</w:t>
      </w:r>
    </w:p>
    <w:p w14:paraId="211BAFF7" w14:textId="1C91940D" w:rsidR="006511C6" w:rsidRDefault="006511C6"/>
    <w:p w14:paraId="17E97E82" w14:textId="6ED1BD38" w:rsidR="00BA7A16" w:rsidRDefault="001A6F8A">
      <w:r>
        <w:rPr>
          <w:noProof/>
        </w:rPr>
        <w:drawing>
          <wp:anchor distT="0" distB="0" distL="0" distR="0" simplePos="0" relativeHeight="487370752" behindDoc="1" locked="0" layoutInCell="1" allowOverlap="1" wp14:anchorId="7F5511E3" wp14:editId="41E50530">
            <wp:simplePos x="0" y="0"/>
            <wp:positionH relativeFrom="page">
              <wp:align>right</wp:align>
            </wp:positionH>
            <wp:positionV relativeFrom="page">
              <wp:posOffset>7277735</wp:posOffset>
            </wp:positionV>
            <wp:extent cx="7555992" cy="3421379"/>
            <wp:effectExtent l="0" t="0" r="6985" b="8255"/>
            <wp:wrapNone/>
            <wp:docPr id="40"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00BA7A16">
        <w:br w:type="page"/>
      </w:r>
    </w:p>
    <w:p w14:paraId="75216218" w14:textId="5574917C" w:rsidR="00BA7A16" w:rsidRDefault="00BA7A16" w:rsidP="00BA7A16">
      <w:pPr>
        <w:pStyle w:val="Cmsor1"/>
        <w:rPr>
          <w:sz w:val="32"/>
          <w:szCs w:val="32"/>
          <w:u w:val="single"/>
        </w:rPr>
      </w:pPr>
      <w:bookmarkStart w:id="14" w:name="_Toc96669284"/>
      <w:r w:rsidRPr="00BA7A16">
        <w:rPr>
          <w:sz w:val="32"/>
          <w:szCs w:val="32"/>
          <w:u w:val="single"/>
        </w:rPr>
        <w:lastRenderedPageBreak/>
        <w:t>Parkolás-üzemeltetési üzletág</w:t>
      </w:r>
      <w:bookmarkEnd w:id="14"/>
    </w:p>
    <w:p w14:paraId="73FE1630" w14:textId="77777777" w:rsidR="001A6F8A" w:rsidRPr="00BA7A16" w:rsidRDefault="001A6F8A" w:rsidP="00BA7A16">
      <w:pPr>
        <w:pStyle w:val="Cmsor1"/>
        <w:rPr>
          <w:sz w:val="32"/>
          <w:szCs w:val="32"/>
          <w:u w:val="single"/>
        </w:rPr>
      </w:pPr>
    </w:p>
    <w:p w14:paraId="77B863E7" w14:textId="77777777" w:rsidR="001A6F8A" w:rsidRPr="00AB29D7" w:rsidRDefault="001A6F8A" w:rsidP="001A6F8A">
      <w:pPr>
        <w:pStyle w:val="Cmsor1"/>
        <w:numPr>
          <w:ilvl w:val="0"/>
          <w:numId w:val="17"/>
        </w:numPr>
        <w:rPr>
          <w:sz w:val="28"/>
          <w:szCs w:val="28"/>
        </w:rPr>
      </w:pPr>
      <w:bookmarkStart w:id="15" w:name="_Toc89709910"/>
      <w:bookmarkStart w:id="16" w:name="_Toc96669285"/>
      <w:r w:rsidRPr="00AB29D7">
        <w:rPr>
          <w:sz w:val="28"/>
          <w:szCs w:val="28"/>
        </w:rPr>
        <w:t>Előzmények</w:t>
      </w:r>
      <w:bookmarkEnd w:id="15"/>
      <w:bookmarkEnd w:id="16"/>
    </w:p>
    <w:p w14:paraId="77DD7BB7" w14:textId="77777777" w:rsidR="001A6F8A" w:rsidRPr="00C84FFC" w:rsidRDefault="001A6F8A" w:rsidP="001A6F8A">
      <w:pPr>
        <w:jc w:val="both"/>
      </w:pPr>
    </w:p>
    <w:p w14:paraId="06E023C7" w14:textId="77777777" w:rsidR="001A6F8A" w:rsidRPr="00C84FFC" w:rsidRDefault="001A6F8A" w:rsidP="004C7715">
      <w:pPr>
        <w:ind w:right="676"/>
        <w:jc w:val="both"/>
      </w:pPr>
      <w:r w:rsidRPr="00C84FFC">
        <w:t xml:space="preserve">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w:t>
      </w:r>
      <w:proofErr w:type="spellStart"/>
      <w:r w:rsidRPr="00C84FFC">
        <w:t>Főv.Kgy</w:t>
      </w:r>
      <w:proofErr w:type="spellEnd"/>
      <w:r w:rsidRPr="00C84FFC">
        <w:t>. rendelet alapján, az Önkormányzat a parkolás üzemeltetéssel kapcsolatos közszolgáltatási feladatok biztonságos, hatékony és jó minőségben történő ellátása érdekében – a Budapest Főváros VII. kerület Erzsébetváros Önkormányzata 114/2020. (II.28) számú Kt. határozat értelmében</w:t>
      </w:r>
      <w:r>
        <w:t xml:space="preserve"> </w:t>
      </w:r>
      <w:r w:rsidRPr="00C84FFC">
        <w:t>– az EVIN Erzsébetvárosi Ingatlangazdálkodási Nonprofit Zártkörűen Működő Részvénytársaságot (a továbbiakban: Társaság) bízta meg.</w:t>
      </w:r>
    </w:p>
    <w:p w14:paraId="5FC94C5A" w14:textId="77777777" w:rsidR="001A6F8A" w:rsidRPr="00C84FFC" w:rsidRDefault="001A6F8A" w:rsidP="004C7715">
      <w:pPr>
        <w:ind w:right="676"/>
        <w:jc w:val="both"/>
      </w:pPr>
      <w:r w:rsidRPr="00C84FFC">
        <w:t>Ennek értelmében 2020. június 27-től kezdődően a Társaság végzi az Önkormányzat közigazgatási területén lévő fizető parkolóhely céljára kijelölt közterületi várakozóhelyek parkolás-üzemeltetési feladatait.</w:t>
      </w:r>
    </w:p>
    <w:p w14:paraId="48830857" w14:textId="77777777" w:rsidR="001A6F8A" w:rsidRPr="00C84FFC" w:rsidRDefault="001A6F8A" w:rsidP="004C7715">
      <w:pPr>
        <w:ind w:right="676"/>
        <w:jc w:val="both"/>
        <w:rPr>
          <w:u w:val="single"/>
        </w:rPr>
      </w:pPr>
      <w:r w:rsidRPr="00C84FFC">
        <w:rPr>
          <w:u w:val="single"/>
        </w:rPr>
        <w:t>A fenti feladatok végrehajtása során:</w:t>
      </w:r>
    </w:p>
    <w:p w14:paraId="65E3BDCE" w14:textId="77777777" w:rsidR="001A6F8A" w:rsidRPr="00C84FFC" w:rsidRDefault="001A6F8A" w:rsidP="004C7715">
      <w:pPr>
        <w:pStyle w:val="Listaszerbekezds"/>
        <w:widowControl/>
        <w:numPr>
          <w:ilvl w:val="0"/>
          <w:numId w:val="14"/>
        </w:numPr>
        <w:autoSpaceDE/>
        <w:autoSpaceDN/>
        <w:spacing w:after="160" w:line="259" w:lineRule="auto"/>
        <w:ind w:right="676"/>
        <w:contextualSpacing/>
        <w:jc w:val="both"/>
      </w:pPr>
      <w:r w:rsidRPr="00C84FFC">
        <w:t>Erzsébetváros Önkormányzata 177 millió forintot szavazott meg két részletben az infrastruktúra kialakításához és az induló költségek fedezéséhez;</w:t>
      </w:r>
    </w:p>
    <w:p w14:paraId="6CF57D9F" w14:textId="77777777" w:rsidR="001A6F8A" w:rsidRPr="00C84FFC" w:rsidRDefault="001A6F8A" w:rsidP="004C7715">
      <w:pPr>
        <w:pStyle w:val="Listaszerbekezds"/>
        <w:widowControl/>
        <w:numPr>
          <w:ilvl w:val="0"/>
          <w:numId w:val="14"/>
        </w:numPr>
        <w:autoSpaceDE/>
        <w:autoSpaceDN/>
        <w:spacing w:after="160" w:line="259" w:lineRule="auto"/>
        <w:ind w:right="676"/>
        <w:contextualSpacing/>
        <w:jc w:val="both"/>
      </w:pPr>
      <w:r w:rsidRPr="00C84FFC">
        <w:t>A végleges elszámolás szerint 94 millió forint kiadás merült fel, ezzel 83 millió forint került megtakarításra.</w:t>
      </w:r>
    </w:p>
    <w:p w14:paraId="20E12B48" w14:textId="77777777" w:rsidR="001A6F8A" w:rsidRPr="00C84FFC" w:rsidRDefault="001A6F8A" w:rsidP="004C7715">
      <w:pPr>
        <w:ind w:right="676"/>
        <w:jc w:val="both"/>
      </w:pPr>
      <w:r w:rsidRPr="00C84FFC">
        <w:t>A Társaság a fenti</w:t>
      </w:r>
      <w:r>
        <w:t xml:space="preserve"> határozatot </w:t>
      </w:r>
      <w:r w:rsidRPr="00C84FFC">
        <w:t>végrehajtotta, melynek eredményeképpen az Önkormányzat és a Társaság között 2020. június 10-án Közszolgáltatási szerződés jött létre parkolás-üzemeltetés tárgyában</w:t>
      </w:r>
      <w:r>
        <w:t>,</w:t>
      </w:r>
      <w:r w:rsidRPr="00C84FFC">
        <w:t xml:space="preserve"> és 2020. július 02-án teljes üzemben elindult a parkolás</w:t>
      </w:r>
      <w:r>
        <w:t xml:space="preserve">i rendszernek a Társaság által történő </w:t>
      </w:r>
      <w:r w:rsidRPr="00C84FFC">
        <w:t>üzemeltetés</w:t>
      </w:r>
      <w:r>
        <w:t>e</w:t>
      </w:r>
      <w:r w:rsidRPr="00C84FFC">
        <w:t xml:space="preserve"> a kerületben.</w:t>
      </w:r>
    </w:p>
    <w:p w14:paraId="79463FFF" w14:textId="77777777" w:rsidR="001A6F8A" w:rsidRPr="00C84FFC" w:rsidRDefault="001A6F8A" w:rsidP="004C7715">
      <w:pPr>
        <w:ind w:right="676"/>
        <w:jc w:val="both"/>
      </w:pPr>
      <w:r w:rsidRPr="00C84FFC">
        <w:t>A Közszolgáltatási szerződés keretében</w:t>
      </w:r>
      <w:r>
        <w:t xml:space="preserve"> 2020.12.31-ig terjedő időszakra</w:t>
      </w:r>
      <w:r w:rsidRPr="00C84FFC">
        <w:t xml:space="preserve"> 353 millió forint előirányzat került elfogadásra a </w:t>
      </w:r>
      <w:r>
        <w:t xml:space="preserve">kb. </w:t>
      </w:r>
      <w:r w:rsidRPr="00C84FFC">
        <w:t>6 hónapos működési költség megelőlegezésére.</w:t>
      </w:r>
    </w:p>
    <w:p w14:paraId="1712077C" w14:textId="77777777" w:rsidR="001A6F8A" w:rsidRPr="00C84FFC" w:rsidRDefault="001A6F8A" w:rsidP="004C7715">
      <w:pPr>
        <w:ind w:right="676"/>
        <w:jc w:val="both"/>
      </w:pPr>
    </w:p>
    <w:p w14:paraId="29B5DE9D" w14:textId="77777777" w:rsidR="001A6F8A" w:rsidRPr="00C84FFC" w:rsidRDefault="001A6F8A" w:rsidP="004C7715">
      <w:pPr>
        <w:ind w:right="676"/>
        <w:jc w:val="both"/>
      </w:pPr>
      <w:r w:rsidRPr="00C84FFC">
        <w:t>Az Önkormányzat és a Társaság között létrejött közszolgáltatási szerződéseben foglalt feladatok a Képviselő-testület rendelkezéseivel összhangban:</w:t>
      </w:r>
    </w:p>
    <w:p w14:paraId="4129FA36" w14:textId="7854C330"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 xml:space="preserve">az egységes parkolás szabályozás fővárosi bevezetésével a terület jellegéhez igazodó </w:t>
      </w:r>
      <w:r w:rsidRPr="00C84FFC">
        <w:tab/>
        <w:t>parkolással, a szabálytalan parkolások visszaszorítása, a fizető várakozóhelyek üzemeltetése</w:t>
      </w:r>
      <w:r>
        <w:t>;</w:t>
      </w:r>
    </w:p>
    <w:p w14:paraId="0270C6E8" w14:textId="09A05B1F"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a szükséges forgalomtechnikai eszközök kihelyezése, időszakos ellenőrzése, módosítása, pótlása</w:t>
      </w:r>
      <w:r>
        <w:t>;</w:t>
      </w:r>
    </w:p>
    <w:p w14:paraId="6E9D6BB5" w14:textId="2049682B" w:rsidR="001A6F8A" w:rsidRPr="00C84FFC" w:rsidRDefault="001A6F8A" w:rsidP="009D7AD5">
      <w:pPr>
        <w:pStyle w:val="Listaszerbekezds"/>
        <w:widowControl/>
        <w:numPr>
          <w:ilvl w:val="0"/>
          <w:numId w:val="16"/>
        </w:numPr>
        <w:autoSpaceDE/>
        <w:autoSpaceDN/>
        <w:spacing w:after="160"/>
        <w:ind w:left="709" w:right="676" w:hanging="567"/>
        <w:contextualSpacing/>
        <w:jc w:val="both"/>
      </w:pPr>
      <w:r>
        <w:rPr>
          <w:noProof/>
        </w:rPr>
        <w:drawing>
          <wp:anchor distT="0" distB="0" distL="0" distR="0" simplePos="0" relativeHeight="487372800" behindDoc="1" locked="0" layoutInCell="1" allowOverlap="1" wp14:anchorId="408F7F8C" wp14:editId="7F2F29B6">
            <wp:simplePos x="0" y="0"/>
            <wp:positionH relativeFrom="page">
              <wp:posOffset>31750</wp:posOffset>
            </wp:positionH>
            <wp:positionV relativeFrom="page">
              <wp:posOffset>7486650</wp:posOffset>
            </wp:positionV>
            <wp:extent cx="7555992" cy="3421379"/>
            <wp:effectExtent l="0" t="0" r="0" b="0"/>
            <wp:wrapNone/>
            <wp:docPr id="41"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C84FFC">
        <w:t>a várakozási övezetek területén a Parkolási rendeletben meghatározott díjfizetési feltételekkel történő várakozás ellenőrzése</w:t>
      </w:r>
      <w:r>
        <w:t>;</w:t>
      </w:r>
    </w:p>
    <w:p w14:paraId="2839F538" w14:textId="20460763" w:rsidR="001A6F8A" w:rsidRPr="00EA3276" w:rsidRDefault="001A6F8A" w:rsidP="004C7715">
      <w:pPr>
        <w:pStyle w:val="Listaszerbekezds"/>
        <w:widowControl/>
        <w:numPr>
          <w:ilvl w:val="0"/>
          <w:numId w:val="16"/>
        </w:numPr>
        <w:autoSpaceDE/>
        <w:autoSpaceDN/>
        <w:spacing w:after="160"/>
        <w:ind w:left="709" w:right="676" w:hanging="567"/>
        <w:contextualSpacing/>
        <w:jc w:val="both"/>
      </w:pPr>
      <w:r w:rsidRPr="00C84FFC">
        <w:t xml:space="preserve">az Önkormányzatot megillető, a Közúti közlekedésről szóló 1988. évi I. törvény szerinti – Parkolási rendeletben szabályozott mértékű várakozási díj és pótdíj beszedése az azzal kapcsolatos pénzfeldolgozás: pénzkazetták ürítése, szállítása, </w:t>
      </w:r>
      <w:r w:rsidRPr="00C84FFC">
        <w:tab/>
        <w:t>pénzintézetnek történő átadása</w:t>
      </w:r>
      <w:r>
        <w:t>;</w:t>
      </w:r>
    </w:p>
    <w:p w14:paraId="52811F90" w14:textId="2A3F04EF" w:rsidR="00010C98" w:rsidRDefault="001A6F8A" w:rsidP="004C7715">
      <w:pPr>
        <w:pStyle w:val="Listaszerbekezds"/>
        <w:widowControl/>
        <w:numPr>
          <w:ilvl w:val="0"/>
          <w:numId w:val="16"/>
        </w:numPr>
        <w:autoSpaceDE/>
        <w:autoSpaceDN/>
        <w:spacing w:after="160"/>
        <w:ind w:left="709" w:right="676" w:hanging="567"/>
        <w:contextualSpacing/>
        <w:jc w:val="both"/>
      </w:pPr>
      <w:r w:rsidRPr="00C84FFC">
        <w:t xml:space="preserve">a várakozási díjak és pótdíjak beszedése érdekében az önkéntes teljesítés elmaradása </w:t>
      </w:r>
      <w:r w:rsidRPr="00C84FFC">
        <w:tab/>
        <w:t>esetén fizetési felszólítások kiküldése, a várakozási díjak és pótdíjak érvényesítése és behajtása érdekében jogi képviselő igénybevételével jogi eljárások lefolytatása</w:t>
      </w:r>
      <w:r>
        <w:t>;</w:t>
      </w:r>
    </w:p>
    <w:p w14:paraId="4EAD1466" w14:textId="77777777" w:rsidR="00010C98" w:rsidRDefault="00010C98">
      <w:r>
        <w:br w:type="page"/>
      </w:r>
    </w:p>
    <w:p w14:paraId="29B89BD5" w14:textId="77777777" w:rsidR="001A6F8A" w:rsidRPr="00C84FFC" w:rsidRDefault="001A6F8A" w:rsidP="00010C98">
      <w:pPr>
        <w:pStyle w:val="Listaszerbekezds"/>
        <w:widowControl/>
        <w:autoSpaceDE/>
        <w:autoSpaceDN/>
        <w:spacing w:after="160"/>
        <w:ind w:left="709" w:firstLine="0"/>
        <w:contextualSpacing/>
        <w:jc w:val="both"/>
      </w:pPr>
    </w:p>
    <w:p w14:paraId="03649991" w14:textId="417D7B75"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 xml:space="preserve">a parkolási automaták üzemeltetése, fenntartása és karbantartása, kellékanyagok pótlása, ügyfélszolgálat működtetése, és a kapcsolódó kommunikációs feladatok ellátása, ideértve az internetes kommunikációt, szórólapok készíttetését, információs </w:t>
      </w:r>
      <w:r w:rsidRPr="00C84FFC">
        <w:tab/>
        <w:t>táblák kihelyezését</w:t>
      </w:r>
      <w:r>
        <w:t>;</w:t>
      </w:r>
    </w:p>
    <w:p w14:paraId="4FF34DEA" w14:textId="77777777"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a jogszabályokban meghatározott parkoláshoz kapcsolódó forgalomtechnikai tervek jogszabályban előírt időpontokban meghatározott, rendszeres felülvizsgálata, és aktualizálása</w:t>
      </w:r>
      <w:r>
        <w:t>;</w:t>
      </w:r>
    </w:p>
    <w:p w14:paraId="4400F9F3" w14:textId="77777777"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a díjfizető övezetekben a közterületi parkolóhelyeket kijelölő közúti közlekedési jelzőtáblák és útburkolati jelek telepítése, fenntartása</w:t>
      </w:r>
      <w:r>
        <w:t>;</w:t>
      </w:r>
    </w:p>
    <w:p w14:paraId="7481C75A" w14:textId="77777777" w:rsidR="001A6F8A" w:rsidRPr="00EA3276" w:rsidRDefault="001A6F8A" w:rsidP="004C7715">
      <w:pPr>
        <w:pStyle w:val="Listaszerbekezds"/>
        <w:widowControl/>
        <w:numPr>
          <w:ilvl w:val="0"/>
          <w:numId w:val="16"/>
        </w:numPr>
        <w:autoSpaceDE/>
        <w:autoSpaceDN/>
        <w:spacing w:after="160"/>
        <w:ind w:left="709" w:right="676" w:hanging="567"/>
        <w:contextualSpacing/>
        <w:jc w:val="both"/>
      </w:pPr>
      <w:r w:rsidRPr="00C84FFC">
        <w:t>a mobiltelefonos parkolás értékesítés elősegítése és működtetése érdekében kapcsolattartás a Nemzeti Mobilfizetési Zrt.-vel</w:t>
      </w:r>
      <w:r>
        <w:t>;</w:t>
      </w:r>
    </w:p>
    <w:p w14:paraId="31C9AD00" w14:textId="77777777"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okos parkolási rendszer kiépítésével kapcsolatos feladatok ellátása</w:t>
      </w:r>
      <w:r>
        <w:t>;</w:t>
      </w:r>
    </w:p>
    <w:p w14:paraId="20FEA2A8" w14:textId="77777777"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a várakozási díjakból és pótdíjakból eredő bevételek közzétételéhez az Önkormányzat számára a parkolási közszolgáltatással kapcsolatos bevételi adatokat havi bontásban, negyedévente írásban történő kötelező rendelkezésre bocsátása</w:t>
      </w:r>
      <w:r>
        <w:t>;</w:t>
      </w:r>
    </w:p>
    <w:p w14:paraId="63B2CFB6" w14:textId="77777777" w:rsidR="001A6F8A" w:rsidRPr="00C84FFC" w:rsidRDefault="001A6F8A" w:rsidP="004C7715">
      <w:pPr>
        <w:pStyle w:val="Listaszerbekezds"/>
        <w:widowControl/>
        <w:numPr>
          <w:ilvl w:val="0"/>
          <w:numId w:val="16"/>
        </w:numPr>
        <w:autoSpaceDE/>
        <w:autoSpaceDN/>
        <w:spacing w:after="160"/>
        <w:ind w:left="709" w:right="676" w:hanging="567"/>
        <w:contextualSpacing/>
        <w:jc w:val="both"/>
      </w:pPr>
      <w:r w:rsidRPr="00C84FFC">
        <w:t>a várakozási díjakból és pótdíjakból eredő bevételekről részletező nyilvántartás vezetése a 4/2013. (I.11.) Korm. rendelet 14. melléklete szerint, a beszedett bevételekről havonta, a követelésekről negyedévente feladás készítése az Önkormányzat részére, az Önkormányzat által megadott táblázat/dokumentum segítségével.</w:t>
      </w:r>
    </w:p>
    <w:p w14:paraId="5DD75A4C" w14:textId="77777777" w:rsidR="001A6F8A" w:rsidRPr="00C84FFC" w:rsidRDefault="001A6F8A" w:rsidP="004C7715">
      <w:pPr>
        <w:ind w:left="709" w:right="676" w:hanging="567"/>
        <w:jc w:val="both"/>
      </w:pPr>
    </w:p>
    <w:p w14:paraId="29B00601" w14:textId="77777777" w:rsidR="001A6F8A" w:rsidRPr="00C84FFC" w:rsidRDefault="001A6F8A" w:rsidP="004C7715">
      <w:pPr>
        <w:ind w:right="676"/>
        <w:jc w:val="both"/>
      </w:pPr>
      <w:r w:rsidRPr="00C84FFC">
        <w:t>Valamivel több, mint 4 havi üzemszerű működést követően azonban – a Covid járványra hivatkozva – Magyarország Kormányának 479/2020. (XI. 3.) számú, a veszélyhelyzet idején alkalmazandó további védelmi intézkedésekről, valamint az 512/2020. (XI. 21.) számú a veszélyhelyzet idején a parkolást könnyítő intézkedésekről szóló Korm. rendelet alapján 2020. november 3-tól a közterületi parkolás díjmentessé vált.</w:t>
      </w:r>
    </w:p>
    <w:p w14:paraId="60E31985" w14:textId="77777777" w:rsidR="001A6F8A" w:rsidRPr="00C84FFC" w:rsidRDefault="001A6F8A" w:rsidP="004C7715">
      <w:pPr>
        <w:ind w:right="676"/>
        <w:jc w:val="both"/>
      </w:pPr>
      <w:r w:rsidRPr="00C84FFC">
        <w:t>A 2021. évi üzleti terv összeállításánál</w:t>
      </w:r>
      <w:r>
        <w:t xml:space="preserve"> </w:t>
      </w:r>
      <w:r w:rsidRPr="00C84FFC">
        <w:t xml:space="preserve">jelentős bizonytalanságot okozott az a körülmény, hogy a vészhelyzet miatti ingyenes parkolás lejáratának határidejét a Korm.rendelet nem határozta meg, ezért a Társaság a bizonytalan körülmények miatt </w:t>
      </w:r>
      <w:r>
        <w:t xml:space="preserve">több verzióban, </w:t>
      </w:r>
      <w:r w:rsidRPr="00C84FFC">
        <w:t>különböző szcenárió</w:t>
      </w:r>
      <w:r>
        <w:t>kat figyelembe véve</w:t>
      </w:r>
      <w:r w:rsidRPr="00C84FFC">
        <w:t xml:space="preserve"> készített költségvetési tervet 2021-re vonatkozóan.</w:t>
      </w:r>
    </w:p>
    <w:p w14:paraId="0356F643" w14:textId="77777777" w:rsidR="001A6F8A" w:rsidRPr="00C84FFC" w:rsidRDefault="001A6F8A" w:rsidP="004C7715">
      <w:pPr>
        <w:ind w:right="676"/>
        <w:jc w:val="both"/>
      </w:pPr>
      <w:r w:rsidRPr="00C84FFC">
        <w:t>Végül a közterületi parkolás ingyenessége 2021.05.25-én szűnt meg. A 2022-es költségvetés teljes éves működést feltételezően készült.</w:t>
      </w:r>
    </w:p>
    <w:p w14:paraId="3A320DE1" w14:textId="7F0FBE79" w:rsidR="001A6F8A" w:rsidRPr="00C84FFC" w:rsidRDefault="004C7715" w:rsidP="004C7715">
      <w:pPr>
        <w:pStyle w:val="Listaszerbekezds"/>
        <w:ind w:left="360" w:right="676"/>
        <w:jc w:val="both"/>
      </w:pPr>
      <w:r>
        <w:rPr>
          <w:noProof/>
        </w:rPr>
        <w:drawing>
          <wp:anchor distT="0" distB="0" distL="0" distR="0" simplePos="0" relativeHeight="487391232" behindDoc="1" locked="0" layoutInCell="1" allowOverlap="1" wp14:anchorId="724FA195" wp14:editId="1A0B156E">
            <wp:simplePos x="0" y="0"/>
            <wp:positionH relativeFrom="page">
              <wp:align>right</wp:align>
            </wp:positionH>
            <wp:positionV relativeFrom="page">
              <wp:posOffset>7493000</wp:posOffset>
            </wp:positionV>
            <wp:extent cx="7555992" cy="3421379"/>
            <wp:effectExtent l="0" t="0" r="6985" b="8255"/>
            <wp:wrapNone/>
            <wp:docPr id="50"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p>
    <w:p w14:paraId="2D4B4AA7" w14:textId="0FE3400E" w:rsidR="001A6F8A" w:rsidRPr="00C84FFC" w:rsidRDefault="001A6F8A" w:rsidP="001A6F8A">
      <w:pPr>
        <w:pStyle w:val="Listaszerbekezds"/>
        <w:ind w:left="360"/>
        <w:jc w:val="both"/>
      </w:pPr>
    </w:p>
    <w:p w14:paraId="3C7BC14F" w14:textId="7902E4C8" w:rsidR="00010C98" w:rsidRDefault="00010C98">
      <w:r>
        <w:br w:type="page"/>
      </w:r>
    </w:p>
    <w:p w14:paraId="5F74554E" w14:textId="77777777" w:rsidR="001A6F8A" w:rsidRPr="00C84FFC" w:rsidRDefault="001A6F8A" w:rsidP="00010C98">
      <w:pPr>
        <w:jc w:val="both"/>
      </w:pPr>
    </w:p>
    <w:p w14:paraId="7631A0B1" w14:textId="534090D4" w:rsidR="001A6F8A" w:rsidRDefault="001A6F8A" w:rsidP="001A6F8A">
      <w:pPr>
        <w:pStyle w:val="Cmsor1"/>
        <w:numPr>
          <w:ilvl w:val="0"/>
          <w:numId w:val="17"/>
        </w:numPr>
        <w:rPr>
          <w:sz w:val="28"/>
          <w:szCs w:val="28"/>
        </w:rPr>
      </w:pPr>
      <w:bookmarkStart w:id="17" w:name="_Toc89709911"/>
      <w:bookmarkStart w:id="18" w:name="_Toc96669286"/>
      <w:r w:rsidRPr="00AB29D7">
        <w:rPr>
          <w:sz w:val="28"/>
          <w:szCs w:val="28"/>
        </w:rPr>
        <w:t>A 2021-es időszak tapasztalatainak bemutatása</w:t>
      </w:r>
      <w:bookmarkEnd w:id="17"/>
      <w:bookmarkEnd w:id="18"/>
    </w:p>
    <w:p w14:paraId="6F010794" w14:textId="77777777" w:rsidR="001F47B4" w:rsidRPr="001F47B4" w:rsidRDefault="001F47B4" w:rsidP="001F47B4"/>
    <w:p w14:paraId="68EE94F8" w14:textId="158CAE8E" w:rsidR="001A6F8A" w:rsidRPr="001F47B4" w:rsidRDefault="001A6F8A" w:rsidP="001F47B4">
      <w:pPr>
        <w:pStyle w:val="Cmsor3"/>
        <w:rPr>
          <w:rFonts w:ascii="Verdana" w:hAnsi="Verdana"/>
          <w:color w:val="auto"/>
          <w:sz w:val="22"/>
          <w:szCs w:val="22"/>
          <w:u w:val="single"/>
        </w:rPr>
      </w:pPr>
      <w:bookmarkStart w:id="19" w:name="_Toc89709912"/>
      <w:bookmarkStart w:id="20" w:name="_Toc96669287"/>
      <w:r w:rsidRPr="001F47B4">
        <w:rPr>
          <w:rFonts w:ascii="Verdana" w:hAnsi="Verdana"/>
          <w:noProof/>
          <w:color w:val="auto"/>
          <w:sz w:val="22"/>
          <w:szCs w:val="22"/>
          <w:u w:val="single"/>
        </w:rPr>
        <w:drawing>
          <wp:anchor distT="0" distB="0" distL="0" distR="0" simplePos="0" relativeHeight="487374848" behindDoc="1" locked="0" layoutInCell="1" allowOverlap="1" wp14:anchorId="48FF0315" wp14:editId="221F952B">
            <wp:simplePos x="0" y="0"/>
            <wp:positionH relativeFrom="page">
              <wp:align>right</wp:align>
            </wp:positionH>
            <wp:positionV relativeFrom="page">
              <wp:posOffset>7612380</wp:posOffset>
            </wp:positionV>
            <wp:extent cx="7555992" cy="3421379"/>
            <wp:effectExtent l="0" t="0" r="6985" b="8255"/>
            <wp:wrapNone/>
            <wp:docPr id="42"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1F47B4">
        <w:rPr>
          <w:rFonts w:ascii="Verdana" w:hAnsi="Verdana"/>
          <w:color w:val="auto"/>
          <w:sz w:val="22"/>
          <w:szCs w:val="22"/>
          <w:u w:val="single"/>
        </w:rPr>
        <w:t>Ügyfélszolgálat</w:t>
      </w:r>
      <w:bookmarkEnd w:id="19"/>
      <w:bookmarkEnd w:id="20"/>
    </w:p>
    <w:p w14:paraId="511145BE" w14:textId="77777777" w:rsidR="001F47B4" w:rsidRPr="001F47B4" w:rsidRDefault="001F47B4" w:rsidP="001F47B4"/>
    <w:p w14:paraId="23D5D2E0" w14:textId="3F9741A2" w:rsidR="001A6F8A" w:rsidRDefault="001A6F8A" w:rsidP="004C7715">
      <w:pPr>
        <w:ind w:right="676"/>
        <w:jc w:val="both"/>
      </w:pPr>
      <w:r w:rsidRPr="00C84FFC">
        <w:t xml:space="preserve">Erzsébetvárosban évente nagyságrendileg 9-10.000 db parkolási hozzájárulást váltanak ki. A fizetős időszak 2021. májusi </w:t>
      </w:r>
      <w:proofErr w:type="spellStart"/>
      <w:r w:rsidRPr="00C84FFC">
        <w:t>újraindulásának</w:t>
      </w:r>
      <w:proofErr w:type="spellEnd"/>
      <w:r w:rsidRPr="00C84FFC">
        <w:t xml:space="preserve"> bejelentését követően a Hatósági és Ügyfélszolgálati Iroda csak 6.000</w:t>
      </w:r>
      <w:r w:rsidR="00C01BF3">
        <w:t xml:space="preserve"> db</w:t>
      </w:r>
      <w:r w:rsidRPr="00C84FFC">
        <w:t xml:space="preserve"> engedélyt állított ki. Ennek következtében az induláskor a szokásosnál jóval több pótdíjat szabtak ki a kollégáink, aminek a nagy részét – az engedélyek bemutatását követően – később töröltük.</w:t>
      </w:r>
    </w:p>
    <w:p w14:paraId="5DA0249D" w14:textId="77777777" w:rsidR="001A6F8A" w:rsidRPr="00C84FFC" w:rsidRDefault="001A6F8A" w:rsidP="004C7715">
      <w:pPr>
        <w:ind w:right="676"/>
        <w:jc w:val="both"/>
      </w:pPr>
    </w:p>
    <w:p w14:paraId="5D079A9D" w14:textId="72A8AC63" w:rsidR="001A6F8A" w:rsidRDefault="001A6F8A" w:rsidP="004C7715">
      <w:pPr>
        <w:ind w:right="676"/>
        <w:jc w:val="both"/>
      </w:pPr>
      <w:r w:rsidRPr="00C84FFC">
        <w:t>Ez az ügyfélszolgálatunkon átmenetileg jelentős leterheltséget okozott, mivel a szokásos forgalomnak a többszörösét kellett kezelni, ami az alábbi táblázatból is jól látható:</w:t>
      </w:r>
    </w:p>
    <w:p w14:paraId="4BEA3C5D" w14:textId="77777777" w:rsidR="001A6F8A" w:rsidRPr="00C84FFC" w:rsidRDefault="001A6F8A" w:rsidP="001A6F8A">
      <w:pPr>
        <w:jc w:val="both"/>
      </w:pPr>
    </w:p>
    <w:p w14:paraId="07C35E91" w14:textId="45B52063" w:rsidR="001A6F8A" w:rsidRDefault="001A6F8A" w:rsidP="001A6F8A">
      <w:pPr>
        <w:jc w:val="both"/>
      </w:pPr>
      <w:r w:rsidRPr="00C84FFC">
        <w:rPr>
          <w:noProof/>
        </w:rPr>
        <w:drawing>
          <wp:inline distT="0" distB="0" distL="0" distR="0" wp14:anchorId="51EFE377" wp14:editId="7AF63367">
            <wp:extent cx="5760720" cy="2921635"/>
            <wp:effectExtent l="0" t="0" r="11430" b="12065"/>
            <wp:docPr id="2" name="Diagram 2">
              <a:extLst xmlns:a="http://schemas.openxmlformats.org/drawingml/2006/main">
                <a:ext uri="{FF2B5EF4-FFF2-40B4-BE49-F238E27FC236}">
                  <a16:creationId xmlns:a16="http://schemas.microsoft.com/office/drawing/2014/main" id="{B6EB05F9-F183-45C3-9C15-5DDBFCC30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0A84011" w14:textId="77777777" w:rsidR="001A6F8A" w:rsidRPr="00C84FFC" w:rsidRDefault="001A6F8A" w:rsidP="001A6F8A">
      <w:pPr>
        <w:jc w:val="both"/>
      </w:pPr>
    </w:p>
    <w:p w14:paraId="6D0F98DF" w14:textId="77777777" w:rsidR="001A6F8A" w:rsidRPr="00C84FFC" w:rsidRDefault="001A6F8A" w:rsidP="004C7715">
      <w:pPr>
        <w:ind w:right="676"/>
        <w:jc w:val="both"/>
      </w:pPr>
      <w:r w:rsidRPr="00C84FFC">
        <w:t>6 fős ügyfélszolgálati állományunkból a veszélyhelyzet ideje alatt 1 kolléga mondott fel, akit augusztusban sikerült csak pótolni, majd novemberben volt még egy kilépőnk, akinek a helyére a parkoló ellenőrök közül találtunk embert.</w:t>
      </w:r>
    </w:p>
    <w:p w14:paraId="0A6885B2" w14:textId="77777777" w:rsidR="001A6F8A" w:rsidRPr="00C84FFC" w:rsidRDefault="001A6F8A" w:rsidP="004C7715">
      <w:pPr>
        <w:ind w:right="676"/>
        <w:jc w:val="both"/>
      </w:pPr>
      <w:r w:rsidRPr="00C84FFC">
        <w:t xml:space="preserve">2021. december 1-vel átvettük a Hatósági és Ügyfélszolgálati Irodától a várakozási hozzájárulások kiadását, melynek </w:t>
      </w:r>
      <w:r>
        <w:t>keretében</w:t>
      </w:r>
      <w:r w:rsidRPr="00C84FFC">
        <w:t xml:space="preserve"> 2022. február vég</w:t>
      </w:r>
      <w:r>
        <w:t>éig 9.213 db</w:t>
      </w:r>
      <w:r w:rsidRPr="00C84FFC">
        <w:t xml:space="preserve"> </w:t>
      </w:r>
      <w:r>
        <w:t>engedély került kiadásra. Az Önkormányzat ebből származó bevétele meghaladta a 20 millió forintot</w:t>
      </w:r>
      <w:r w:rsidRPr="00C84FFC">
        <w:t>.</w:t>
      </w:r>
    </w:p>
    <w:p w14:paraId="66DDB9AE" w14:textId="77777777" w:rsidR="001A6F8A" w:rsidRPr="00C84FFC" w:rsidRDefault="001A6F8A" w:rsidP="004C7715">
      <w:pPr>
        <w:ind w:right="676"/>
        <w:jc w:val="both"/>
      </w:pPr>
    </w:p>
    <w:p w14:paraId="63293501" w14:textId="5866EB5A" w:rsidR="001A6F8A" w:rsidRDefault="001A6F8A" w:rsidP="001F47B4">
      <w:pPr>
        <w:pStyle w:val="Cmsor3"/>
        <w:rPr>
          <w:b/>
          <w:bCs/>
          <w:u w:val="single"/>
        </w:rPr>
      </w:pPr>
      <w:bookmarkStart w:id="21" w:name="_Toc89709913"/>
      <w:bookmarkStart w:id="22" w:name="_Toc96669288"/>
      <w:r w:rsidRPr="001F47B4">
        <w:rPr>
          <w:rFonts w:ascii="Verdana" w:hAnsi="Verdana"/>
          <w:color w:val="auto"/>
          <w:sz w:val="22"/>
          <w:szCs w:val="22"/>
          <w:u w:val="single"/>
        </w:rPr>
        <w:t>Parkolás ellenőrzés</w:t>
      </w:r>
      <w:bookmarkEnd w:id="21"/>
      <w:bookmarkEnd w:id="22"/>
    </w:p>
    <w:p w14:paraId="7F5FBB3A" w14:textId="77777777" w:rsidR="001F47B4" w:rsidRPr="001F47B4" w:rsidRDefault="001F47B4" w:rsidP="001F47B4"/>
    <w:p w14:paraId="3EE35DAD" w14:textId="609C919A" w:rsidR="004C7715" w:rsidRDefault="001A6F8A" w:rsidP="004C7715">
      <w:pPr>
        <w:ind w:right="676"/>
        <w:jc w:val="both"/>
      </w:pPr>
      <w:r>
        <w:rPr>
          <w:noProof/>
        </w:rPr>
        <w:drawing>
          <wp:anchor distT="0" distB="0" distL="0" distR="0" simplePos="0" relativeHeight="487376896" behindDoc="1" locked="0" layoutInCell="1" allowOverlap="1" wp14:anchorId="13D66AA3" wp14:editId="05086890">
            <wp:simplePos x="0" y="0"/>
            <wp:positionH relativeFrom="page">
              <wp:align>right</wp:align>
            </wp:positionH>
            <wp:positionV relativeFrom="page">
              <wp:posOffset>7475220</wp:posOffset>
            </wp:positionV>
            <wp:extent cx="7555992" cy="3421379"/>
            <wp:effectExtent l="0" t="0" r="6985" b="8255"/>
            <wp:wrapNone/>
            <wp:docPr id="43"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C84FFC">
        <w:t xml:space="preserve">Továbbra is a fluktuáció kontrollálása a legnagyobb feladat. A 2020. november 4-i leálláskor 32 főt számlált a parkolóőrök száma, ami a teljes feltöltött létszámunknak felel meg. Dacára annak, hogy a vészhelyzet ideje alatt az Önkormányzatnak nem keletkezett parkolási bevétele, </w:t>
      </w:r>
      <w:r>
        <w:t>m</w:t>
      </w:r>
      <w:r w:rsidRPr="00C84FFC">
        <w:t>inden munkavállalót megtartottunk – köszönhetően az Önkormányzat döntésének – a próbaidőn lévőkkel viszont nem tudtunk hosszabbítani. Időközben különböző indokok miatt is veszítettünk munkatársakat, így a 2021. májusi újrainduláskor a parkolási ellenőrök létszáma 24 főt tett ki.</w:t>
      </w:r>
    </w:p>
    <w:p w14:paraId="718AA9C4" w14:textId="77777777" w:rsidR="004C7715" w:rsidRDefault="004C7715">
      <w:r>
        <w:br w:type="page"/>
      </w:r>
    </w:p>
    <w:p w14:paraId="51310513" w14:textId="77777777" w:rsidR="001A6F8A" w:rsidRPr="001F47B4" w:rsidRDefault="001A6F8A" w:rsidP="001F47B4">
      <w:pPr>
        <w:ind w:right="676"/>
        <w:jc w:val="both"/>
      </w:pPr>
    </w:p>
    <w:p w14:paraId="338D886B" w14:textId="5B29102C" w:rsidR="00010C98" w:rsidRDefault="001A6F8A" w:rsidP="004C7715">
      <w:pPr>
        <w:ind w:right="676"/>
        <w:jc w:val="both"/>
      </w:pPr>
      <w:r w:rsidRPr="00C84FFC">
        <w:t>2021 év közben folyamatosan léptettünk be és ki munkavállalókat, ugyanakkor a legnagyobb pozitívumnak azt értékeljük, hogy más parkolási társasághoz nem volt távozónk.</w:t>
      </w:r>
    </w:p>
    <w:p w14:paraId="5C4B9892" w14:textId="77777777" w:rsidR="001A6F8A" w:rsidRPr="00C84FFC" w:rsidRDefault="001A6F8A" w:rsidP="001A6F8A">
      <w:pPr>
        <w:jc w:val="both"/>
      </w:pPr>
    </w:p>
    <w:p w14:paraId="57B75127" w14:textId="77777777" w:rsidR="001A6F8A" w:rsidRPr="00C84FFC" w:rsidRDefault="001A6F8A" w:rsidP="004C7715">
      <w:pPr>
        <w:ind w:right="676"/>
        <w:jc w:val="both"/>
      </w:pPr>
      <w:r w:rsidRPr="00C84FFC">
        <w:t>Míg nagyságrendileg 10 pozíció tekintetében folyamatos a csere, az állomány 2/3-a stabilnak mondható, több mint 10 ember az indulástól a kollektíva részét képezi.</w:t>
      </w:r>
    </w:p>
    <w:p w14:paraId="2EB12EAB" w14:textId="5FA44395" w:rsidR="001A6F8A" w:rsidRDefault="001A6F8A" w:rsidP="004C7715">
      <w:pPr>
        <w:ind w:right="676"/>
        <w:jc w:val="both"/>
      </w:pPr>
      <w:r>
        <w:t>2021 nyarán</w:t>
      </w:r>
      <w:r w:rsidRPr="00C84FFC">
        <w:t xml:space="preserve"> kiemelkedően sok atrocitás érte ellenőreinket – 2 esetben rendőrségi feljelentést is tettünk – de a Rendészeti Igazgatóság és az Önkormányzat kommunikációs osztályának segítségével ezt sikerült visszaszorítani. Meg akarjuk értetni az emberekkel, hogy 2021. január elsejétől – a B</w:t>
      </w:r>
      <w:r>
        <w:t>tk.</w:t>
      </w:r>
      <w:r w:rsidRPr="00C84FFC">
        <w:t xml:space="preserve"> módosítás</w:t>
      </w:r>
      <w:r>
        <w:t xml:space="preserve">ának köszönhetően </w:t>
      </w:r>
      <w:r w:rsidRPr="00C84FFC">
        <w:t>– munkatársasing közfeladatot ellátó személynek minősülnek, így zaklatásuk, vagy megtámadásuk súlyosabb büntetőjogi következményekkel jár.</w:t>
      </w:r>
    </w:p>
    <w:p w14:paraId="3A837174" w14:textId="77777777" w:rsidR="001A6F8A" w:rsidRPr="00C84FFC" w:rsidRDefault="001A6F8A" w:rsidP="004C7715">
      <w:pPr>
        <w:ind w:right="676"/>
        <w:jc w:val="both"/>
      </w:pPr>
    </w:p>
    <w:p w14:paraId="76C4D297" w14:textId="53AFCDAB" w:rsidR="001A6F8A" w:rsidRPr="001F47B4" w:rsidRDefault="001A6F8A" w:rsidP="001F47B4">
      <w:pPr>
        <w:pStyle w:val="Cmsor3"/>
        <w:rPr>
          <w:rFonts w:ascii="Verdana" w:hAnsi="Verdana"/>
          <w:color w:val="auto"/>
          <w:sz w:val="22"/>
          <w:szCs w:val="22"/>
          <w:u w:val="single"/>
        </w:rPr>
      </w:pPr>
      <w:bookmarkStart w:id="23" w:name="_Toc89709914"/>
      <w:bookmarkStart w:id="24" w:name="_Toc96669289"/>
      <w:r w:rsidRPr="001F47B4">
        <w:rPr>
          <w:rFonts w:ascii="Verdana" w:hAnsi="Verdana"/>
          <w:color w:val="auto"/>
          <w:sz w:val="22"/>
          <w:szCs w:val="22"/>
          <w:u w:val="single"/>
        </w:rPr>
        <w:t>Jogi ügyek, pótdíj behajtások</w:t>
      </w:r>
      <w:bookmarkEnd w:id="23"/>
      <w:bookmarkEnd w:id="24"/>
    </w:p>
    <w:p w14:paraId="1A72094B" w14:textId="77777777" w:rsidR="001F47B4" w:rsidRPr="001F47B4" w:rsidRDefault="001F47B4" w:rsidP="001F47B4"/>
    <w:p w14:paraId="77CFE104" w14:textId="77777777" w:rsidR="001A6F8A" w:rsidRPr="00C84FFC" w:rsidRDefault="001A6F8A" w:rsidP="004C7715">
      <w:pPr>
        <w:ind w:right="676"/>
        <w:jc w:val="both"/>
      </w:pPr>
      <w:r w:rsidRPr="00C84FFC">
        <w:t>Mivel 2020-ban összesen csak 4 hónapot üzemeltünk, így a peres eljárásaink száma még elhanyagolható</w:t>
      </w:r>
      <w:r>
        <w:t xml:space="preserve"> volt</w:t>
      </w:r>
      <w:r w:rsidRPr="00C84FFC">
        <w:t>, lévén azt a pótdíj kiszabásától számított 1 éven belül szükséges megindítani.</w:t>
      </w:r>
    </w:p>
    <w:p w14:paraId="7CF84186" w14:textId="77777777" w:rsidR="001A6F8A" w:rsidRPr="00C84FFC" w:rsidRDefault="001A6F8A" w:rsidP="004C7715">
      <w:pPr>
        <w:ind w:right="676"/>
        <w:jc w:val="both"/>
      </w:pPr>
      <w:r w:rsidRPr="00C84FFC">
        <w:t>Operációnk következetességét mutatja, hogy a Békéltető Testületek elé vitt ügyeink közül eddig csupán egyszer adott helyt a panasznak a bizottság, minden más esetben elutasító határozat született.</w:t>
      </w:r>
    </w:p>
    <w:p w14:paraId="5AF6A13F" w14:textId="77777777" w:rsidR="001A6F8A" w:rsidRPr="00C84FFC" w:rsidRDefault="001A6F8A" w:rsidP="004C7715">
      <w:pPr>
        <w:ind w:right="676"/>
        <w:jc w:val="both"/>
      </w:pPr>
    </w:p>
    <w:p w14:paraId="4294D98F" w14:textId="785DD376" w:rsidR="001A6F8A" w:rsidRPr="00C84FFC" w:rsidRDefault="001A6F8A" w:rsidP="004C7715">
      <w:pPr>
        <w:ind w:right="676"/>
        <w:jc w:val="both"/>
      </w:pPr>
      <w:r w:rsidRPr="00C84FFC">
        <w:t xml:space="preserve">2021-ben a legnagyobb újonnan megjelenő költségek a behajtással kapcsolatban keletkeztek, amelyeket minden esetben előre kell megfinanszíroznunk. (közjegyzői és ügyvédi </w:t>
      </w:r>
      <w:r w:rsidR="00B77459" w:rsidRPr="00C84FFC">
        <w:t>díjak</w:t>
      </w:r>
      <w:r w:rsidRPr="00C84FFC">
        <w:t xml:space="preserve"> stb.) </w:t>
      </w:r>
    </w:p>
    <w:p w14:paraId="636B1D76" w14:textId="42864FB3" w:rsidR="001A6F8A" w:rsidRPr="00C84FFC" w:rsidRDefault="001A6F8A" w:rsidP="004C7715">
      <w:pPr>
        <w:ind w:right="676"/>
        <w:jc w:val="both"/>
      </w:pPr>
      <w:r w:rsidRPr="00C84FFC">
        <w:t>Miután jelenleg is csak a kiosztott pótdíjak kb. 2/3-át fizetik be, így 2022-ben is jelentős behajtási és jogi költségekkel kalkulálunk.</w:t>
      </w:r>
    </w:p>
    <w:p w14:paraId="465F027E" w14:textId="77777777" w:rsidR="001A6F8A" w:rsidRPr="00C84FFC" w:rsidRDefault="001A6F8A" w:rsidP="004C7715">
      <w:pPr>
        <w:ind w:right="676"/>
        <w:jc w:val="both"/>
      </w:pPr>
    </w:p>
    <w:p w14:paraId="45EF6D5F" w14:textId="1784DC0C" w:rsidR="001A6F8A" w:rsidRPr="001F47B4" w:rsidRDefault="001A6F8A" w:rsidP="001F47B4">
      <w:pPr>
        <w:pStyle w:val="Cmsor3"/>
        <w:rPr>
          <w:rFonts w:ascii="Verdana" w:hAnsi="Verdana"/>
          <w:color w:val="auto"/>
          <w:sz w:val="22"/>
          <w:szCs w:val="22"/>
          <w:u w:val="single"/>
        </w:rPr>
      </w:pPr>
      <w:bookmarkStart w:id="25" w:name="_Toc89709915"/>
      <w:bookmarkStart w:id="26" w:name="_Toc96669290"/>
      <w:r w:rsidRPr="001F47B4">
        <w:rPr>
          <w:rFonts w:ascii="Verdana" w:hAnsi="Verdana"/>
          <w:color w:val="auto"/>
          <w:sz w:val="22"/>
          <w:szCs w:val="22"/>
          <w:u w:val="single"/>
        </w:rPr>
        <w:t>Bevételek és kiadások alakulása</w:t>
      </w:r>
      <w:bookmarkEnd w:id="25"/>
      <w:bookmarkEnd w:id="26"/>
    </w:p>
    <w:p w14:paraId="5EFA6C0F" w14:textId="77777777" w:rsidR="001F47B4" w:rsidRPr="001F47B4" w:rsidRDefault="001F47B4" w:rsidP="001F47B4"/>
    <w:p w14:paraId="0D43A7F0" w14:textId="2CB617C9" w:rsidR="001A6F8A" w:rsidRDefault="001A6F8A" w:rsidP="004C7715">
      <w:pPr>
        <w:ind w:right="676"/>
        <w:jc w:val="both"/>
      </w:pPr>
      <w:r w:rsidRPr="00C84FFC">
        <w:t>A 2021. évre vonatkozó bevételeket és kiadásokat tartalmazó üzleti terv számai az üzemszerű működés 2020. július és október között eltelt teljes 4 hónapos időszakának tapasztalatai alapján készült.</w:t>
      </w:r>
    </w:p>
    <w:p w14:paraId="60BB4146" w14:textId="77777777" w:rsidR="00010C98" w:rsidRPr="00C84FFC" w:rsidRDefault="00010C98" w:rsidP="001A6F8A">
      <w:pPr>
        <w:jc w:val="both"/>
      </w:pPr>
    </w:p>
    <w:p w14:paraId="778E4E2B" w14:textId="6878A055" w:rsidR="001A6F8A" w:rsidRDefault="004C7715" w:rsidP="001A6F8A">
      <w:pPr>
        <w:jc w:val="both"/>
        <w:rPr>
          <w:b/>
          <w:bCs/>
        </w:rPr>
      </w:pPr>
      <w:r>
        <w:rPr>
          <w:noProof/>
        </w:rPr>
        <w:drawing>
          <wp:anchor distT="0" distB="0" distL="0" distR="0" simplePos="0" relativeHeight="487389184" behindDoc="1" locked="0" layoutInCell="1" allowOverlap="1" wp14:anchorId="76ABC51A" wp14:editId="7BB395A5">
            <wp:simplePos x="0" y="0"/>
            <wp:positionH relativeFrom="page">
              <wp:align>right</wp:align>
            </wp:positionH>
            <wp:positionV relativeFrom="margin">
              <wp:align>bottom</wp:align>
            </wp:positionV>
            <wp:extent cx="7555992" cy="3421379"/>
            <wp:effectExtent l="0" t="0" r="6985" b="8255"/>
            <wp:wrapNone/>
            <wp:docPr id="4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7555992" cy="3421379"/>
                    </a:xfrm>
                    <a:prstGeom prst="rect">
                      <a:avLst/>
                    </a:prstGeom>
                  </pic:spPr>
                </pic:pic>
              </a:graphicData>
            </a:graphic>
          </wp:anchor>
        </w:drawing>
      </w:r>
      <w:r w:rsidR="001A6F8A" w:rsidRPr="00DA7CCF">
        <w:rPr>
          <w:noProof/>
        </w:rPr>
        <w:drawing>
          <wp:inline distT="0" distB="0" distL="0" distR="0" wp14:anchorId="521EFB31" wp14:editId="1ED01541">
            <wp:extent cx="5760720" cy="2881630"/>
            <wp:effectExtent l="0" t="0" r="0" b="0"/>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881630"/>
                    </a:xfrm>
                    <a:prstGeom prst="rect">
                      <a:avLst/>
                    </a:prstGeom>
                    <a:noFill/>
                    <a:ln>
                      <a:noFill/>
                    </a:ln>
                  </pic:spPr>
                </pic:pic>
              </a:graphicData>
            </a:graphic>
          </wp:inline>
        </w:drawing>
      </w:r>
    </w:p>
    <w:p w14:paraId="1EC03BBA" w14:textId="77777777" w:rsidR="00010C98" w:rsidRDefault="00010C98">
      <w:pPr>
        <w:rPr>
          <w:b/>
          <w:bCs/>
        </w:rPr>
      </w:pPr>
      <w:r>
        <w:rPr>
          <w:b/>
          <w:bCs/>
        </w:rPr>
        <w:br w:type="page"/>
      </w:r>
    </w:p>
    <w:p w14:paraId="0AD131E8" w14:textId="0AC410AC" w:rsidR="001A6F8A" w:rsidRPr="00C84FFC" w:rsidRDefault="001A6F8A" w:rsidP="001A6F8A">
      <w:pPr>
        <w:jc w:val="both"/>
        <w:rPr>
          <w:b/>
          <w:bCs/>
        </w:rPr>
      </w:pPr>
      <w:r>
        <w:rPr>
          <w:noProof/>
        </w:rPr>
        <w:lastRenderedPageBreak/>
        <w:drawing>
          <wp:anchor distT="0" distB="0" distL="0" distR="0" simplePos="0" relativeHeight="487378944" behindDoc="1" locked="0" layoutInCell="1" allowOverlap="1" wp14:anchorId="4F8D12E8" wp14:editId="68332100">
            <wp:simplePos x="0" y="0"/>
            <wp:positionH relativeFrom="page">
              <wp:align>left</wp:align>
            </wp:positionH>
            <wp:positionV relativeFrom="page">
              <wp:posOffset>7519670</wp:posOffset>
            </wp:positionV>
            <wp:extent cx="7555992" cy="3421379"/>
            <wp:effectExtent l="0" t="0" r="6985" b="8255"/>
            <wp:wrapNone/>
            <wp:docPr id="44"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p>
    <w:p w14:paraId="2959B95D" w14:textId="052AC0D2" w:rsidR="001A6F8A" w:rsidRPr="00C84FFC" w:rsidRDefault="001A6F8A" w:rsidP="004C7715">
      <w:pPr>
        <w:ind w:right="676"/>
        <w:jc w:val="both"/>
      </w:pPr>
      <w:r w:rsidRPr="00C84FFC">
        <w:t>A 603/2020. (XII. 18.) számú, a koronavírus-világjárvány nemzetgazdaságot érintő hatásának enyhítése érdekében szükséges gazdasági intézkedésről szóló Korm. rendelet alapján az Önkormányzatnak, az ingyenes parkolási időszak lejártát követően sem volt lehetősége a parkolási díjak 2021. évi emelésére.</w:t>
      </w:r>
    </w:p>
    <w:p w14:paraId="7228F46E" w14:textId="77777777" w:rsidR="001A6F8A" w:rsidRDefault="001A6F8A" w:rsidP="004C7715">
      <w:pPr>
        <w:ind w:right="676"/>
        <w:jc w:val="both"/>
      </w:pPr>
      <w:r w:rsidRPr="00C84FFC">
        <w:t>Ezáltal az ingyenes parkolási időszak miatt kiesett bevételek részleges kompenzálására sem maradt lehetőség 2021-ben.</w:t>
      </w:r>
    </w:p>
    <w:p w14:paraId="1C12D0D7" w14:textId="4FC00C9C" w:rsidR="001A6F8A" w:rsidRDefault="001A6F8A" w:rsidP="004C7715">
      <w:pPr>
        <w:ind w:right="676"/>
        <w:jc w:val="both"/>
      </w:pPr>
    </w:p>
    <w:p w14:paraId="15B0A5CD" w14:textId="77777777" w:rsidR="00010C98" w:rsidRPr="00C84FFC" w:rsidRDefault="00010C98" w:rsidP="004C7715">
      <w:pPr>
        <w:ind w:right="676"/>
        <w:jc w:val="both"/>
      </w:pPr>
    </w:p>
    <w:p w14:paraId="3FF85785" w14:textId="23AA84AA" w:rsidR="001A6F8A" w:rsidRDefault="001A6F8A" w:rsidP="004C7715">
      <w:pPr>
        <w:pStyle w:val="Cmsor1"/>
        <w:numPr>
          <w:ilvl w:val="0"/>
          <w:numId w:val="17"/>
        </w:numPr>
        <w:ind w:right="676"/>
        <w:rPr>
          <w:sz w:val="28"/>
          <w:szCs w:val="28"/>
        </w:rPr>
      </w:pPr>
      <w:bookmarkStart w:id="27" w:name="_Toc89709916"/>
      <w:bookmarkStart w:id="28" w:name="_Toc96669291"/>
      <w:r w:rsidRPr="00AB29D7">
        <w:rPr>
          <w:sz w:val="28"/>
          <w:szCs w:val="28"/>
        </w:rPr>
        <w:t>2022-es költségvetési terv</w:t>
      </w:r>
      <w:bookmarkEnd w:id="27"/>
      <w:bookmarkEnd w:id="28"/>
    </w:p>
    <w:p w14:paraId="5FB0219B" w14:textId="77777777" w:rsidR="001F47B4" w:rsidRPr="001F47B4" w:rsidRDefault="001F47B4" w:rsidP="001F47B4">
      <w:pPr>
        <w:ind w:right="676"/>
        <w:jc w:val="both"/>
      </w:pPr>
    </w:p>
    <w:p w14:paraId="354258E4" w14:textId="138652CB" w:rsidR="001A6F8A" w:rsidRPr="001F47B4" w:rsidRDefault="001A6F8A" w:rsidP="001F47B4">
      <w:pPr>
        <w:pStyle w:val="Cmsor3"/>
        <w:rPr>
          <w:rFonts w:ascii="Verdana" w:hAnsi="Verdana"/>
          <w:color w:val="auto"/>
          <w:sz w:val="22"/>
          <w:szCs w:val="22"/>
          <w:u w:val="single"/>
        </w:rPr>
      </w:pPr>
      <w:bookmarkStart w:id="29" w:name="_Toc89709917"/>
      <w:bookmarkStart w:id="30" w:name="_Toc96669292"/>
      <w:r w:rsidRPr="001F47B4">
        <w:rPr>
          <w:rFonts w:ascii="Verdana" w:hAnsi="Verdana"/>
          <w:color w:val="auto"/>
          <w:sz w:val="22"/>
          <w:szCs w:val="22"/>
          <w:u w:val="single"/>
        </w:rPr>
        <w:t>Bevételek</w:t>
      </w:r>
      <w:bookmarkEnd w:id="29"/>
      <w:bookmarkEnd w:id="30"/>
    </w:p>
    <w:p w14:paraId="2322E088" w14:textId="77777777" w:rsidR="001F47B4" w:rsidRPr="001F47B4" w:rsidRDefault="001F47B4" w:rsidP="001F47B4"/>
    <w:p w14:paraId="4D58F8EC" w14:textId="77777777" w:rsidR="001A6F8A" w:rsidRPr="00C84FFC" w:rsidRDefault="001A6F8A" w:rsidP="004C7715">
      <w:pPr>
        <w:ind w:right="676"/>
        <w:jc w:val="both"/>
      </w:pPr>
      <w:r w:rsidRPr="00C84FFC">
        <w:t>A 2020. októberében leadott parkolási bevételi tervekhez képest, a november 4-én életbe lépő ingyenes parkolási rendelet miatt, 2021-ben 214.293 eFt bevételcsökkenéssel, illetve 2021. február 22-i indulással kalkuláltunk.</w:t>
      </w:r>
    </w:p>
    <w:p w14:paraId="69524442" w14:textId="77777777" w:rsidR="001A6F8A" w:rsidRPr="00C84FFC" w:rsidRDefault="001A6F8A" w:rsidP="004C7715">
      <w:pPr>
        <w:ind w:right="676"/>
        <w:jc w:val="both"/>
      </w:pPr>
      <w:r w:rsidRPr="00C84FFC">
        <w:t xml:space="preserve">Ezzel szemben az ingyenes parkolás 2021. május 23-án szűnt meg, így a korábban tervezett bevételkiesés az eredetileg kalkulálthoz képest jelentősen növekedett. A 2021. évre tervezett, korrigált 1.369.823 eFt bevétele helyett a 2021. évi </w:t>
      </w:r>
      <w:r>
        <w:t xml:space="preserve">parkolási </w:t>
      </w:r>
      <w:r w:rsidRPr="00C84FFC">
        <w:t xml:space="preserve">bevételek </w:t>
      </w:r>
      <w:r>
        <w:t xml:space="preserve">ténylegesen </w:t>
      </w:r>
      <w:r w:rsidRPr="00C84FFC">
        <w:t>9</w:t>
      </w:r>
      <w:r>
        <w:t>3</w:t>
      </w:r>
      <w:r w:rsidRPr="00C84FFC">
        <w:t>9.</w:t>
      </w:r>
      <w:r>
        <w:t>249</w:t>
      </w:r>
      <w:r w:rsidRPr="00C84FFC">
        <w:t xml:space="preserve"> eFt</w:t>
      </w:r>
      <w:r>
        <w:t>-ot tettek ki</w:t>
      </w:r>
      <w:r w:rsidRPr="00C84FFC">
        <w:t xml:space="preserve">, amely további </w:t>
      </w:r>
      <w:r>
        <w:t>430</w:t>
      </w:r>
      <w:r w:rsidRPr="00C84FFC">
        <w:t>.</w:t>
      </w:r>
      <w:r>
        <w:t>574</w:t>
      </w:r>
      <w:r w:rsidRPr="00C84FFC">
        <w:t xml:space="preserve"> eFt bevételkiesést jelent</w:t>
      </w:r>
      <w:r>
        <w:t>ett</w:t>
      </w:r>
      <w:r w:rsidRPr="00C84FFC">
        <w:t>.</w:t>
      </w:r>
    </w:p>
    <w:p w14:paraId="14117F9B" w14:textId="656811AC" w:rsidR="001A6F8A" w:rsidRPr="00744206" w:rsidRDefault="001A6F8A" w:rsidP="004C7715">
      <w:pPr>
        <w:ind w:right="676"/>
        <w:jc w:val="both"/>
      </w:pPr>
      <w:r w:rsidRPr="00744206">
        <w:t xml:space="preserve">A 2022. január 2-án elfogadott a vészhelyzettel összefüggő átmeneti szabályozásról szóló 2021. évi XCIX törvény alapján 2022. június 30-ig </w:t>
      </w:r>
      <w:r w:rsidR="004000E7">
        <w:t>nem volt</w:t>
      </w:r>
      <w:r w:rsidRPr="00744206">
        <w:t xml:space="preserve"> lehetőség a parkolási díjak emelésére, így a</w:t>
      </w:r>
      <w:r w:rsidR="004000E7">
        <w:t xml:space="preserve"> korábbi</w:t>
      </w:r>
      <w:r w:rsidRPr="00744206">
        <w:t xml:space="preserve"> tervezésnél a</w:t>
      </w:r>
      <w:r w:rsidR="004000E7">
        <w:t xml:space="preserve">z előző </w:t>
      </w:r>
      <w:r w:rsidRPr="00744206">
        <w:t>évek parkolási díj bevételeiből tudtunk kiindulni, feltételezve ugyanakkor, hogy 2022-ben nem várható a parkolási kormányrendelettel történő ingyenessé tétele.</w:t>
      </w:r>
    </w:p>
    <w:p w14:paraId="7E5918CC" w14:textId="647ADAE2" w:rsidR="001A6F8A" w:rsidRDefault="001A6F8A" w:rsidP="004C7715">
      <w:pPr>
        <w:ind w:right="676"/>
        <w:jc w:val="both"/>
      </w:pPr>
      <w:r w:rsidRPr="00744206">
        <w:t>A 2022. évi bevételek tervezésénél a 2021. évi tapasztalatokból, valamint a pandémiát megelőző teljes évre vonatkozó tényleges bevételekből indultunk ki</w:t>
      </w:r>
      <w:r>
        <w:t>, feltételezve a díjemelés 2. félévben történő bevezetését.</w:t>
      </w:r>
    </w:p>
    <w:p w14:paraId="326C74E4" w14:textId="57F9AA6F" w:rsidR="007B5968" w:rsidRDefault="007B5968" w:rsidP="004C7715">
      <w:pPr>
        <w:ind w:right="676"/>
        <w:jc w:val="both"/>
      </w:pPr>
    </w:p>
    <w:p w14:paraId="17A29367" w14:textId="77777777" w:rsidR="003728F5" w:rsidRPr="00560F3D" w:rsidRDefault="007B5968" w:rsidP="003728F5">
      <w:pPr>
        <w:adjustRightInd w:val="0"/>
        <w:ind w:right="676"/>
        <w:jc w:val="both"/>
      </w:pPr>
      <w:r>
        <w:t xml:space="preserve">Ezzel szemben </w:t>
      </w:r>
      <w:r w:rsidR="003728F5" w:rsidRPr="00560F3D">
        <w:t>Budapest Főváros Közgyűlésének 2022.06.29-i ülésén hozott döntése értelmében, 2022. szeptember 5-től változik a Budapest főváros közigazgatási területén a járművel várakozás rendjének egységes kialakításáról, a várakozás díjáról és az üzemképtelen járművek tárolásának szabályozásáról szóló 30/2010. (VI.4.) számú önkormányzati rendelet (a továbbiakban: Rendelet).</w:t>
      </w:r>
    </w:p>
    <w:p w14:paraId="200C3A45" w14:textId="5F38F5C7" w:rsidR="007B5968" w:rsidRDefault="007B5968" w:rsidP="004C7715">
      <w:pPr>
        <w:ind w:right="676"/>
        <w:jc w:val="both"/>
      </w:pPr>
    </w:p>
    <w:p w14:paraId="5679AC02" w14:textId="590DD604" w:rsidR="00C62B37" w:rsidRDefault="00C62B37" w:rsidP="003728F5">
      <w:pPr>
        <w:spacing w:before="120"/>
        <w:ind w:right="676"/>
        <w:jc w:val="both"/>
      </w:pPr>
      <w:r>
        <w:t>A módosított Rendelet a Főváros területén négy parkolási zónát határoz meg (A, B, C, D), amelyeknél egységes parkolási díjat határoz meg. A VII. kerületet érintő</w:t>
      </w:r>
      <w:r w:rsidR="00550575">
        <w:t xml:space="preserve"> két parkolási zónánál (A és B), az</w:t>
      </w:r>
      <w:r>
        <w:t xml:space="preserve"> „A” zóna esetében a parkolási díj 600,- Ft/órára emelkedik, illetve a </w:t>
      </w:r>
      <w:r w:rsidR="00550575">
        <w:t>korábbi szabályozással ellentétben bővül a díjfizetési időszak, 8:00 – 22:00 óra közötti időre. A „B” zóna esetében a parkolási díj 450,- Ft/órára emelkedik, valamint 8:00 – 20:00 óra közötti időre nő a díjfizetési időszak.</w:t>
      </w:r>
    </w:p>
    <w:p w14:paraId="3E916380" w14:textId="7F25D74B" w:rsidR="00550575" w:rsidRDefault="00550575" w:rsidP="003728F5">
      <w:pPr>
        <w:spacing w:before="120"/>
        <w:ind w:right="676"/>
        <w:jc w:val="both"/>
      </w:pPr>
      <w:r>
        <w:t>A fenti változásokat figyelembe véve a</w:t>
      </w:r>
      <w:r w:rsidR="003728F5">
        <w:t xml:space="preserve"> parkolásból származó bevételek a korábban elfogadott üzleti tervben meghatározott bruttó 1.699.990 eFt-</w:t>
      </w:r>
      <w:proofErr w:type="spellStart"/>
      <w:r w:rsidR="003728F5">
        <w:t>ról</w:t>
      </w:r>
      <w:proofErr w:type="spellEnd"/>
      <w:r w:rsidR="003728F5">
        <w:t xml:space="preserve"> 1.963.240 eFt-ra növekednek, amely 263.250 </w:t>
      </w:r>
      <w:proofErr w:type="spellStart"/>
      <w:r w:rsidR="003728F5">
        <w:t>eF</w:t>
      </w:r>
      <w:proofErr w:type="spellEnd"/>
      <w:r w:rsidR="003728F5">
        <w:t xml:space="preserve"> bevételnövekedést jelent</w:t>
      </w:r>
      <w:r>
        <w:t>, az alábbi megoszlásban:</w:t>
      </w:r>
    </w:p>
    <w:p w14:paraId="1F849C22" w14:textId="77777777" w:rsidR="00550575" w:rsidRDefault="00550575">
      <w:r>
        <w:br w:type="page"/>
      </w:r>
    </w:p>
    <w:p w14:paraId="25E046BD" w14:textId="77777777" w:rsidR="003728F5" w:rsidRDefault="003728F5" w:rsidP="00560F3D">
      <w:pPr>
        <w:spacing w:before="120"/>
        <w:ind w:right="676"/>
        <w:jc w:val="both"/>
      </w:pPr>
    </w:p>
    <w:p w14:paraId="2739BB12" w14:textId="77777777" w:rsidR="003728F5" w:rsidRDefault="003728F5" w:rsidP="004C7715">
      <w:pPr>
        <w:ind w:right="676"/>
        <w:jc w:val="both"/>
      </w:pPr>
    </w:p>
    <w:p w14:paraId="43E55237" w14:textId="77777777" w:rsidR="001A6F8A" w:rsidRPr="00C84FFC" w:rsidRDefault="001A6F8A" w:rsidP="001A6F8A">
      <w:pPr>
        <w:jc w:val="both"/>
      </w:pPr>
    </w:p>
    <w:tbl>
      <w:tblPr>
        <w:tblW w:w="7371" w:type="dxa"/>
        <w:tblCellMar>
          <w:left w:w="70" w:type="dxa"/>
          <w:right w:w="70" w:type="dxa"/>
        </w:tblCellMar>
        <w:tblLook w:val="04A0" w:firstRow="1" w:lastRow="0" w:firstColumn="1" w:lastColumn="0" w:noHBand="0" w:noVBand="1"/>
      </w:tblPr>
      <w:tblGrid>
        <w:gridCol w:w="1820"/>
        <w:gridCol w:w="1866"/>
        <w:gridCol w:w="1843"/>
        <w:gridCol w:w="1842"/>
      </w:tblGrid>
      <w:tr w:rsidR="003E0238" w:rsidRPr="00C84FFC" w14:paraId="059AFD19" w14:textId="24E844C9" w:rsidTr="00560F3D">
        <w:trPr>
          <w:trHeight w:val="300"/>
        </w:trPr>
        <w:tc>
          <w:tcPr>
            <w:tcW w:w="1820" w:type="dxa"/>
            <w:tcBorders>
              <w:top w:val="nil"/>
              <w:left w:val="nil"/>
              <w:bottom w:val="nil"/>
              <w:right w:val="nil"/>
            </w:tcBorders>
            <w:shd w:val="clear" w:color="auto" w:fill="auto"/>
            <w:noWrap/>
            <w:vAlign w:val="bottom"/>
            <w:hideMark/>
          </w:tcPr>
          <w:p w14:paraId="3B1952DB" w14:textId="77777777" w:rsidR="003E0238" w:rsidRPr="00C84FFC" w:rsidRDefault="003E0238" w:rsidP="00A75F06">
            <w:pPr>
              <w:rPr>
                <w:rFonts w:ascii="Times New Roman" w:eastAsia="Times New Roman" w:hAnsi="Times New Roman" w:cs="Times New Roman"/>
                <w:sz w:val="24"/>
                <w:szCs w:val="24"/>
                <w:lang w:eastAsia="hu-HU"/>
              </w:rPr>
            </w:pPr>
          </w:p>
        </w:tc>
        <w:tc>
          <w:tcPr>
            <w:tcW w:w="5551" w:type="dxa"/>
            <w:gridSpan w:val="3"/>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DA3ABA8" w14:textId="45D84915" w:rsidR="003E0238" w:rsidRPr="00C84FFC" w:rsidRDefault="003E0238" w:rsidP="00A75F06">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Bruttó bevételi terv</w:t>
            </w:r>
          </w:p>
        </w:tc>
      </w:tr>
      <w:tr w:rsidR="003E0238" w:rsidRPr="00C84FFC" w14:paraId="70E01EA5" w14:textId="0AFD47AB" w:rsidTr="00560F3D">
        <w:trPr>
          <w:trHeight w:val="315"/>
        </w:trPr>
        <w:tc>
          <w:tcPr>
            <w:tcW w:w="1820" w:type="dxa"/>
            <w:tcBorders>
              <w:top w:val="nil"/>
              <w:left w:val="nil"/>
              <w:bottom w:val="nil"/>
              <w:right w:val="nil"/>
            </w:tcBorders>
            <w:shd w:val="clear" w:color="auto" w:fill="auto"/>
            <w:noWrap/>
            <w:vAlign w:val="bottom"/>
            <w:hideMark/>
          </w:tcPr>
          <w:p w14:paraId="25EC502C" w14:textId="77777777" w:rsidR="003E0238" w:rsidRPr="00C84FFC" w:rsidRDefault="003E0238" w:rsidP="00A75F06">
            <w:pPr>
              <w:jc w:val="center"/>
              <w:rPr>
                <w:rFonts w:ascii="Calibri" w:eastAsia="Times New Roman" w:hAnsi="Calibri" w:cs="Calibri"/>
                <w:b/>
                <w:bCs/>
                <w:color w:val="000000"/>
                <w:lang w:eastAsia="hu-HU"/>
              </w:rPr>
            </w:pPr>
          </w:p>
        </w:tc>
        <w:tc>
          <w:tcPr>
            <w:tcW w:w="1866"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75CC6247" w14:textId="77777777" w:rsidR="003E0238" w:rsidRPr="00C84FFC" w:rsidRDefault="003E0238" w:rsidP="00A75F06">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2021</w:t>
            </w:r>
          </w:p>
        </w:tc>
        <w:tc>
          <w:tcPr>
            <w:tcW w:w="1843" w:type="dxa"/>
            <w:tcBorders>
              <w:top w:val="single" w:sz="4" w:space="0" w:color="auto"/>
              <w:left w:val="single" w:sz="8" w:space="0" w:color="auto"/>
              <w:bottom w:val="single" w:sz="8" w:space="0" w:color="auto"/>
              <w:right w:val="single" w:sz="8" w:space="0" w:color="000000"/>
            </w:tcBorders>
            <w:shd w:val="clear" w:color="auto" w:fill="auto"/>
            <w:vAlign w:val="center"/>
          </w:tcPr>
          <w:p w14:paraId="3CE323C5" w14:textId="00E9717B" w:rsidR="003E0238" w:rsidRPr="00C84FFC" w:rsidRDefault="003E0238" w:rsidP="00A75F06">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2022</w:t>
            </w:r>
            <w:r>
              <w:rPr>
                <w:rFonts w:ascii="Calibri" w:eastAsia="Times New Roman" w:hAnsi="Calibri" w:cs="Calibri"/>
                <w:b/>
                <w:bCs/>
                <w:color w:val="000000"/>
                <w:lang w:eastAsia="hu-HU"/>
              </w:rPr>
              <w:t xml:space="preserve"> eredeti terv</w:t>
            </w:r>
          </w:p>
        </w:tc>
        <w:tc>
          <w:tcPr>
            <w:tcW w:w="1842" w:type="dxa"/>
            <w:tcBorders>
              <w:top w:val="single" w:sz="4" w:space="0" w:color="auto"/>
              <w:left w:val="single" w:sz="8" w:space="0" w:color="auto"/>
              <w:bottom w:val="single" w:sz="8" w:space="0" w:color="auto"/>
              <w:right w:val="single" w:sz="8" w:space="0" w:color="000000"/>
            </w:tcBorders>
            <w:vAlign w:val="center"/>
          </w:tcPr>
          <w:p w14:paraId="31B31382" w14:textId="2E2E9FF8" w:rsidR="003E0238" w:rsidRPr="00C84FFC" w:rsidRDefault="003E0238" w:rsidP="00A75F06">
            <w:pPr>
              <w:jc w:val="center"/>
              <w:rPr>
                <w:rFonts w:ascii="Calibri" w:eastAsia="Times New Roman" w:hAnsi="Calibri" w:cs="Calibri"/>
                <w:b/>
                <w:bCs/>
                <w:color w:val="000000"/>
                <w:lang w:eastAsia="hu-HU"/>
              </w:rPr>
            </w:pPr>
            <w:r>
              <w:rPr>
                <w:rFonts w:ascii="Calibri" w:eastAsia="Times New Roman" w:hAnsi="Calibri" w:cs="Calibri"/>
                <w:b/>
                <w:bCs/>
                <w:color w:val="000000"/>
                <w:lang w:eastAsia="hu-HU"/>
              </w:rPr>
              <w:t>2022 módosított terv</w:t>
            </w:r>
          </w:p>
        </w:tc>
      </w:tr>
      <w:tr w:rsidR="003E0238" w:rsidRPr="00C84FFC" w14:paraId="0A66FC32" w14:textId="3E003865" w:rsidTr="00560F3D">
        <w:trPr>
          <w:trHeight w:val="300"/>
        </w:trPr>
        <w:tc>
          <w:tcPr>
            <w:tcW w:w="182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104973A" w14:textId="77777777" w:rsidR="003E0238" w:rsidRPr="00C84FFC" w:rsidRDefault="003E0238" w:rsidP="00A75F06">
            <w:pP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Automata bevétel</w:t>
            </w:r>
          </w:p>
        </w:tc>
        <w:tc>
          <w:tcPr>
            <w:tcW w:w="1866" w:type="dxa"/>
            <w:tcBorders>
              <w:top w:val="nil"/>
              <w:left w:val="nil"/>
              <w:bottom w:val="single" w:sz="4" w:space="0" w:color="auto"/>
              <w:right w:val="single" w:sz="4" w:space="0" w:color="auto"/>
            </w:tcBorders>
            <w:shd w:val="clear" w:color="auto" w:fill="auto"/>
            <w:noWrap/>
            <w:vAlign w:val="bottom"/>
            <w:hideMark/>
          </w:tcPr>
          <w:p w14:paraId="082A6C82" w14:textId="77777777" w:rsidR="003E0238" w:rsidRPr="00C84FFC" w:rsidRDefault="003E0238" w:rsidP="00A75F06">
            <w:pPr>
              <w:jc w:val="right"/>
              <w:rPr>
                <w:rFonts w:ascii="Calibri" w:eastAsia="Times New Roman" w:hAnsi="Calibri" w:cs="Calibri"/>
                <w:color w:val="000000"/>
                <w:lang w:eastAsia="hu-HU"/>
              </w:rPr>
            </w:pPr>
            <w:r w:rsidRPr="00C84FFC">
              <w:rPr>
                <w:rFonts w:ascii="Calibri" w:eastAsia="Times New Roman" w:hAnsi="Calibri" w:cs="Calibri"/>
                <w:color w:val="000000"/>
                <w:lang w:eastAsia="hu-HU"/>
              </w:rPr>
              <w:t>204.429 eFt</w:t>
            </w:r>
          </w:p>
        </w:tc>
        <w:tc>
          <w:tcPr>
            <w:tcW w:w="1843" w:type="dxa"/>
            <w:tcBorders>
              <w:top w:val="nil"/>
              <w:left w:val="nil"/>
              <w:bottom w:val="single" w:sz="4" w:space="0" w:color="auto"/>
              <w:right w:val="single" w:sz="8" w:space="0" w:color="auto"/>
            </w:tcBorders>
            <w:shd w:val="clear" w:color="auto" w:fill="auto"/>
            <w:noWrap/>
            <w:vAlign w:val="bottom"/>
            <w:hideMark/>
          </w:tcPr>
          <w:p w14:paraId="5E9161EF" w14:textId="77777777" w:rsidR="003E0238" w:rsidRPr="00C84FFC" w:rsidRDefault="003E0238" w:rsidP="00A75F06">
            <w:pPr>
              <w:jc w:val="right"/>
              <w:rPr>
                <w:rFonts w:ascii="Calibri" w:eastAsia="Times New Roman" w:hAnsi="Calibri" w:cs="Calibri"/>
                <w:color w:val="000000"/>
                <w:lang w:eastAsia="hu-HU"/>
              </w:rPr>
            </w:pPr>
            <w:r>
              <w:rPr>
                <w:rFonts w:ascii="Calibri" w:eastAsia="Times New Roman" w:hAnsi="Calibri" w:cs="Calibri"/>
                <w:color w:val="000000"/>
                <w:lang w:eastAsia="hu-HU"/>
              </w:rPr>
              <w:t>275.120</w:t>
            </w:r>
            <w:r w:rsidRPr="00C84FFC">
              <w:rPr>
                <w:rFonts w:ascii="Calibri" w:eastAsia="Times New Roman" w:hAnsi="Calibri" w:cs="Calibri"/>
                <w:color w:val="000000"/>
                <w:lang w:eastAsia="hu-HU"/>
              </w:rPr>
              <w:t xml:space="preserve"> eFt</w:t>
            </w:r>
          </w:p>
        </w:tc>
        <w:tc>
          <w:tcPr>
            <w:tcW w:w="1842" w:type="dxa"/>
            <w:tcBorders>
              <w:top w:val="nil"/>
              <w:left w:val="nil"/>
              <w:bottom w:val="single" w:sz="4" w:space="0" w:color="auto"/>
              <w:right w:val="single" w:sz="8" w:space="0" w:color="auto"/>
            </w:tcBorders>
          </w:tcPr>
          <w:p w14:paraId="29805030" w14:textId="4BF6FA9C" w:rsidR="003E0238" w:rsidRDefault="00F4026F" w:rsidP="00A75F06">
            <w:pPr>
              <w:jc w:val="right"/>
              <w:rPr>
                <w:rFonts w:ascii="Calibri" w:eastAsia="Times New Roman" w:hAnsi="Calibri" w:cs="Calibri"/>
                <w:color w:val="000000"/>
                <w:lang w:eastAsia="hu-HU"/>
              </w:rPr>
            </w:pPr>
            <w:r>
              <w:rPr>
                <w:rFonts w:ascii="Calibri" w:eastAsia="Times New Roman" w:hAnsi="Calibri" w:cs="Calibri"/>
                <w:color w:val="000000"/>
                <w:lang w:eastAsia="hu-HU"/>
              </w:rPr>
              <w:t>279.616 eFt</w:t>
            </w:r>
          </w:p>
        </w:tc>
      </w:tr>
      <w:tr w:rsidR="003E0238" w:rsidRPr="00C84FFC" w14:paraId="57F35997" w14:textId="3A90FE94" w:rsidTr="00560F3D">
        <w:trPr>
          <w:trHeight w:val="300"/>
        </w:trPr>
        <w:tc>
          <w:tcPr>
            <w:tcW w:w="1820" w:type="dxa"/>
            <w:tcBorders>
              <w:top w:val="nil"/>
              <w:left w:val="single" w:sz="8" w:space="0" w:color="auto"/>
              <w:bottom w:val="single" w:sz="4" w:space="0" w:color="auto"/>
              <w:right w:val="single" w:sz="8" w:space="0" w:color="auto"/>
            </w:tcBorders>
            <w:shd w:val="clear" w:color="auto" w:fill="auto"/>
            <w:noWrap/>
            <w:vAlign w:val="bottom"/>
            <w:hideMark/>
          </w:tcPr>
          <w:p w14:paraId="2BE5D2FF" w14:textId="77777777" w:rsidR="003E0238" w:rsidRPr="00C84FFC" w:rsidRDefault="003E0238" w:rsidP="00A75F06">
            <w:pP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Mobil bevétel</w:t>
            </w:r>
          </w:p>
        </w:tc>
        <w:tc>
          <w:tcPr>
            <w:tcW w:w="1866" w:type="dxa"/>
            <w:tcBorders>
              <w:top w:val="nil"/>
              <w:left w:val="nil"/>
              <w:bottom w:val="single" w:sz="4" w:space="0" w:color="auto"/>
              <w:right w:val="single" w:sz="4" w:space="0" w:color="auto"/>
            </w:tcBorders>
            <w:shd w:val="clear" w:color="auto" w:fill="auto"/>
            <w:noWrap/>
            <w:vAlign w:val="bottom"/>
            <w:hideMark/>
          </w:tcPr>
          <w:p w14:paraId="2ADC4965" w14:textId="77777777" w:rsidR="003E0238" w:rsidRPr="00C84FFC" w:rsidRDefault="003E0238" w:rsidP="00A75F06">
            <w:pPr>
              <w:jc w:val="right"/>
              <w:rPr>
                <w:rFonts w:ascii="Calibri" w:eastAsia="Times New Roman" w:hAnsi="Calibri" w:cs="Calibri"/>
                <w:color w:val="000000"/>
                <w:lang w:eastAsia="hu-HU"/>
              </w:rPr>
            </w:pPr>
            <w:r w:rsidRPr="00C84FFC">
              <w:rPr>
                <w:rFonts w:ascii="Calibri" w:eastAsia="Times New Roman" w:hAnsi="Calibri" w:cs="Calibri"/>
                <w:color w:val="000000"/>
                <w:lang w:eastAsia="hu-HU"/>
              </w:rPr>
              <w:t>873.102 eFt</w:t>
            </w:r>
          </w:p>
        </w:tc>
        <w:tc>
          <w:tcPr>
            <w:tcW w:w="1843" w:type="dxa"/>
            <w:tcBorders>
              <w:top w:val="nil"/>
              <w:left w:val="nil"/>
              <w:bottom w:val="single" w:sz="4" w:space="0" w:color="auto"/>
              <w:right w:val="single" w:sz="8" w:space="0" w:color="auto"/>
            </w:tcBorders>
            <w:shd w:val="clear" w:color="auto" w:fill="auto"/>
            <w:noWrap/>
            <w:vAlign w:val="bottom"/>
            <w:hideMark/>
          </w:tcPr>
          <w:p w14:paraId="5FF8697A" w14:textId="77777777" w:rsidR="003E0238" w:rsidRPr="00C84FFC" w:rsidRDefault="003E0238" w:rsidP="00A75F06">
            <w:pPr>
              <w:jc w:val="right"/>
              <w:rPr>
                <w:rFonts w:ascii="Calibri" w:eastAsia="Times New Roman" w:hAnsi="Calibri" w:cs="Calibri"/>
                <w:color w:val="000000"/>
                <w:lang w:eastAsia="hu-HU"/>
              </w:rPr>
            </w:pPr>
            <w:r>
              <w:rPr>
                <w:rFonts w:ascii="Calibri" w:eastAsia="Times New Roman" w:hAnsi="Calibri" w:cs="Calibri"/>
                <w:color w:val="000000"/>
                <w:lang w:eastAsia="hu-HU"/>
              </w:rPr>
              <w:t>1.064.870</w:t>
            </w:r>
            <w:r w:rsidRPr="00C84FFC">
              <w:rPr>
                <w:rFonts w:ascii="Calibri" w:eastAsia="Times New Roman" w:hAnsi="Calibri" w:cs="Calibri"/>
                <w:color w:val="000000"/>
                <w:lang w:eastAsia="hu-HU"/>
              </w:rPr>
              <w:t xml:space="preserve"> eFt</w:t>
            </w:r>
          </w:p>
        </w:tc>
        <w:tc>
          <w:tcPr>
            <w:tcW w:w="1842" w:type="dxa"/>
            <w:tcBorders>
              <w:top w:val="nil"/>
              <w:left w:val="nil"/>
              <w:bottom w:val="single" w:sz="4" w:space="0" w:color="auto"/>
              <w:right w:val="single" w:sz="8" w:space="0" w:color="auto"/>
            </w:tcBorders>
          </w:tcPr>
          <w:p w14:paraId="678355FF" w14:textId="3673C4DF" w:rsidR="003E0238" w:rsidRDefault="00F4026F" w:rsidP="00A75F06">
            <w:pPr>
              <w:jc w:val="right"/>
              <w:rPr>
                <w:rFonts w:ascii="Calibri" w:eastAsia="Times New Roman" w:hAnsi="Calibri" w:cs="Calibri"/>
                <w:color w:val="000000"/>
                <w:lang w:eastAsia="hu-HU"/>
              </w:rPr>
            </w:pPr>
            <w:r>
              <w:rPr>
                <w:rFonts w:ascii="Calibri" w:eastAsia="Times New Roman" w:hAnsi="Calibri" w:cs="Calibri"/>
                <w:color w:val="000000"/>
                <w:lang w:eastAsia="hu-HU"/>
              </w:rPr>
              <w:t>1.294.426 eFt</w:t>
            </w:r>
          </w:p>
        </w:tc>
      </w:tr>
      <w:tr w:rsidR="003E0238" w:rsidRPr="00C84FFC" w14:paraId="7FC1DAF1" w14:textId="3486F67F" w:rsidTr="00560F3D">
        <w:trPr>
          <w:trHeight w:val="315"/>
        </w:trPr>
        <w:tc>
          <w:tcPr>
            <w:tcW w:w="1820" w:type="dxa"/>
            <w:tcBorders>
              <w:top w:val="nil"/>
              <w:left w:val="single" w:sz="8" w:space="0" w:color="auto"/>
              <w:bottom w:val="single" w:sz="8" w:space="0" w:color="auto"/>
              <w:right w:val="single" w:sz="8" w:space="0" w:color="auto"/>
            </w:tcBorders>
            <w:shd w:val="clear" w:color="auto" w:fill="auto"/>
            <w:noWrap/>
            <w:vAlign w:val="bottom"/>
            <w:hideMark/>
          </w:tcPr>
          <w:p w14:paraId="2DC0E1C1" w14:textId="77777777" w:rsidR="003E0238" w:rsidRPr="00C84FFC" w:rsidRDefault="003E0238" w:rsidP="00A75F06">
            <w:pPr>
              <w:rPr>
                <w:rFonts w:ascii="Calibri" w:eastAsia="Times New Roman" w:hAnsi="Calibri" w:cs="Calibri"/>
                <w:b/>
                <w:bCs/>
                <w:color w:val="000000"/>
                <w:lang w:eastAsia="hu-HU"/>
              </w:rPr>
            </w:pPr>
            <w:bookmarkStart w:id="31" w:name="_Hlk89619388"/>
            <w:r w:rsidRPr="00C84FFC">
              <w:rPr>
                <w:rFonts w:ascii="Calibri" w:eastAsia="Times New Roman" w:hAnsi="Calibri" w:cs="Calibri"/>
                <w:b/>
                <w:bCs/>
                <w:color w:val="000000"/>
                <w:lang w:eastAsia="hu-HU"/>
              </w:rPr>
              <w:t>Pótdíj bevétel</w:t>
            </w:r>
          </w:p>
        </w:tc>
        <w:tc>
          <w:tcPr>
            <w:tcW w:w="1866" w:type="dxa"/>
            <w:tcBorders>
              <w:top w:val="nil"/>
              <w:left w:val="nil"/>
              <w:bottom w:val="single" w:sz="8" w:space="0" w:color="auto"/>
              <w:right w:val="single" w:sz="4" w:space="0" w:color="auto"/>
            </w:tcBorders>
            <w:shd w:val="clear" w:color="auto" w:fill="auto"/>
            <w:noWrap/>
            <w:vAlign w:val="bottom"/>
            <w:hideMark/>
          </w:tcPr>
          <w:p w14:paraId="5BA1722B" w14:textId="77777777" w:rsidR="003E0238" w:rsidRPr="00C84FFC" w:rsidRDefault="003E0238" w:rsidP="00A75F06">
            <w:pPr>
              <w:jc w:val="right"/>
              <w:rPr>
                <w:rFonts w:ascii="Calibri" w:eastAsia="Times New Roman" w:hAnsi="Calibri" w:cs="Calibri"/>
                <w:color w:val="000000"/>
                <w:lang w:eastAsia="hu-HU"/>
              </w:rPr>
            </w:pPr>
            <w:r w:rsidRPr="00C84FFC">
              <w:rPr>
                <w:rFonts w:ascii="Calibri" w:eastAsia="Times New Roman" w:hAnsi="Calibri" w:cs="Calibri"/>
                <w:color w:val="000000"/>
                <w:lang w:eastAsia="hu-HU"/>
              </w:rPr>
              <w:t>292.293 eFt</w:t>
            </w:r>
          </w:p>
        </w:tc>
        <w:tc>
          <w:tcPr>
            <w:tcW w:w="1843" w:type="dxa"/>
            <w:tcBorders>
              <w:top w:val="nil"/>
              <w:left w:val="nil"/>
              <w:bottom w:val="single" w:sz="8" w:space="0" w:color="auto"/>
              <w:right w:val="single" w:sz="8" w:space="0" w:color="auto"/>
            </w:tcBorders>
            <w:shd w:val="clear" w:color="auto" w:fill="auto"/>
            <w:noWrap/>
            <w:vAlign w:val="bottom"/>
            <w:hideMark/>
          </w:tcPr>
          <w:p w14:paraId="5BA5B948" w14:textId="77777777" w:rsidR="003E0238" w:rsidRPr="00C84FFC" w:rsidRDefault="003E0238" w:rsidP="00A75F06">
            <w:pPr>
              <w:jc w:val="right"/>
              <w:rPr>
                <w:rFonts w:ascii="Calibri" w:eastAsia="Times New Roman" w:hAnsi="Calibri" w:cs="Calibri"/>
                <w:color w:val="000000"/>
                <w:lang w:eastAsia="hu-HU"/>
              </w:rPr>
            </w:pPr>
            <w:r w:rsidRPr="00C84FFC">
              <w:rPr>
                <w:rFonts w:ascii="Calibri" w:eastAsia="Times New Roman" w:hAnsi="Calibri" w:cs="Calibri"/>
                <w:color w:val="000000"/>
                <w:lang w:eastAsia="hu-HU"/>
              </w:rPr>
              <w:t>3</w:t>
            </w:r>
            <w:r>
              <w:rPr>
                <w:rFonts w:ascii="Calibri" w:eastAsia="Times New Roman" w:hAnsi="Calibri" w:cs="Calibri"/>
                <w:color w:val="000000"/>
                <w:lang w:eastAsia="hu-HU"/>
              </w:rPr>
              <w:t>60</w:t>
            </w:r>
            <w:r w:rsidRPr="00C84FFC">
              <w:rPr>
                <w:rFonts w:ascii="Calibri" w:eastAsia="Times New Roman" w:hAnsi="Calibri" w:cs="Calibri"/>
                <w:color w:val="000000"/>
                <w:lang w:eastAsia="hu-HU"/>
              </w:rPr>
              <w:t>.000 eFt</w:t>
            </w:r>
          </w:p>
        </w:tc>
        <w:tc>
          <w:tcPr>
            <w:tcW w:w="1842" w:type="dxa"/>
            <w:tcBorders>
              <w:top w:val="nil"/>
              <w:left w:val="nil"/>
              <w:bottom w:val="single" w:sz="8" w:space="0" w:color="auto"/>
              <w:right w:val="single" w:sz="8" w:space="0" w:color="auto"/>
            </w:tcBorders>
          </w:tcPr>
          <w:p w14:paraId="38AB3E54" w14:textId="47A5EE9E" w:rsidR="003E0238" w:rsidRPr="00C84FFC" w:rsidRDefault="00F4026F" w:rsidP="00A75F06">
            <w:pPr>
              <w:jc w:val="right"/>
              <w:rPr>
                <w:rFonts w:ascii="Calibri" w:eastAsia="Times New Roman" w:hAnsi="Calibri" w:cs="Calibri"/>
                <w:color w:val="000000"/>
                <w:lang w:eastAsia="hu-HU"/>
              </w:rPr>
            </w:pPr>
            <w:r>
              <w:rPr>
                <w:rFonts w:ascii="Calibri" w:eastAsia="Times New Roman" w:hAnsi="Calibri" w:cs="Calibri"/>
                <w:color w:val="000000"/>
                <w:lang w:eastAsia="hu-HU"/>
              </w:rPr>
              <w:t>368.642 eFt</w:t>
            </w:r>
          </w:p>
        </w:tc>
      </w:tr>
      <w:tr w:rsidR="003E0238" w:rsidRPr="00C84FFC" w14:paraId="4F559510" w14:textId="77777777" w:rsidTr="00560F3D">
        <w:trPr>
          <w:trHeight w:val="315"/>
        </w:trPr>
        <w:tc>
          <w:tcPr>
            <w:tcW w:w="1820" w:type="dxa"/>
            <w:tcBorders>
              <w:top w:val="nil"/>
              <w:left w:val="single" w:sz="8" w:space="0" w:color="auto"/>
              <w:bottom w:val="single" w:sz="8" w:space="0" w:color="auto"/>
              <w:right w:val="single" w:sz="8" w:space="0" w:color="auto"/>
            </w:tcBorders>
            <w:shd w:val="clear" w:color="auto" w:fill="auto"/>
            <w:noWrap/>
            <w:vAlign w:val="bottom"/>
          </w:tcPr>
          <w:p w14:paraId="53E7E0DE" w14:textId="7842F931" w:rsidR="003E0238" w:rsidRPr="00C84FFC" w:rsidRDefault="003E0238" w:rsidP="00A75F06">
            <w:pPr>
              <w:rPr>
                <w:rFonts w:ascii="Calibri" w:eastAsia="Times New Roman" w:hAnsi="Calibri" w:cs="Calibri"/>
                <w:b/>
                <w:bCs/>
                <w:color w:val="000000"/>
                <w:lang w:eastAsia="hu-HU"/>
              </w:rPr>
            </w:pPr>
            <w:r>
              <w:rPr>
                <w:rFonts w:ascii="Calibri" w:eastAsia="Times New Roman" w:hAnsi="Calibri" w:cs="Calibri"/>
                <w:b/>
                <w:bCs/>
                <w:color w:val="000000"/>
                <w:lang w:eastAsia="hu-HU"/>
              </w:rPr>
              <w:t>Várakozási díj hozzájárulás</w:t>
            </w:r>
          </w:p>
        </w:tc>
        <w:tc>
          <w:tcPr>
            <w:tcW w:w="1866" w:type="dxa"/>
            <w:tcBorders>
              <w:top w:val="nil"/>
              <w:left w:val="nil"/>
              <w:bottom w:val="single" w:sz="8" w:space="0" w:color="auto"/>
              <w:right w:val="single" w:sz="4" w:space="0" w:color="auto"/>
            </w:tcBorders>
            <w:shd w:val="clear" w:color="auto" w:fill="auto"/>
            <w:noWrap/>
            <w:vAlign w:val="bottom"/>
          </w:tcPr>
          <w:p w14:paraId="01AA7F3E" w14:textId="0FBA7720" w:rsidR="003E0238" w:rsidRPr="00560F3D" w:rsidRDefault="003E0238" w:rsidP="00A75F06">
            <w:pPr>
              <w:jc w:val="right"/>
              <w:rPr>
                <w:rFonts w:ascii="Calibri" w:eastAsia="Times New Roman" w:hAnsi="Calibri" w:cs="Calibri"/>
                <w:color w:val="000000"/>
                <w:lang w:eastAsia="hu-HU"/>
              </w:rPr>
            </w:pPr>
            <w:r w:rsidRPr="00560F3D">
              <w:rPr>
                <w:rFonts w:ascii="Calibri" w:eastAsia="Times New Roman" w:hAnsi="Calibri" w:cs="Calibri"/>
                <w:color w:val="000000"/>
                <w:lang w:eastAsia="hu-HU"/>
              </w:rPr>
              <w:t>0 eFt</w:t>
            </w:r>
          </w:p>
        </w:tc>
        <w:tc>
          <w:tcPr>
            <w:tcW w:w="1843" w:type="dxa"/>
            <w:tcBorders>
              <w:top w:val="nil"/>
              <w:left w:val="nil"/>
              <w:bottom w:val="single" w:sz="8" w:space="0" w:color="auto"/>
              <w:right w:val="single" w:sz="8" w:space="0" w:color="auto"/>
            </w:tcBorders>
            <w:shd w:val="clear" w:color="auto" w:fill="auto"/>
            <w:noWrap/>
            <w:vAlign w:val="bottom"/>
          </w:tcPr>
          <w:p w14:paraId="04E011CB" w14:textId="3A0DB0FC" w:rsidR="003E0238" w:rsidRPr="00560F3D" w:rsidRDefault="003E0238" w:rsidP="00A75F06">
            <w:pPr>
              <w:jc w:val="right"/>
              <w:rPr>
                <w:rFonts w:ascii="Calibri" w:eastAsia="Times New Roman" w:hAnsi="Calibri" w:cs="Calibri"/>
                <w:color w:val="000000"/>
                <w:lang w:eastAsia="hu-HU"/>
              </w:rPr>
            </w:pPr>
            <w:r w:rsidRPr="00560F3D">
              <w:rPr>
                <w:rFonts w:ascii="Calibri" w:eastAsia="Times New Roman" w:hAnsi="Calibri" w:cs="Calibri"/>
                <w:color w:val="000000"/>
                <w:lang w:eastAsia="hu-HU"/>
              </w:rPr>
              <w:t>0 eFt</w:t>
            </w:r>
          </w:p>
        </w:tc>
        <w:tc>
          <w:tcPr>
            <w:tcW w:w="1842" w:type="dxa"/>
            <w:tcBorders>
              <w:top w:val="nil"/>
              <w:left w:val="nil"/>
              <w:bottom w:val="single" w:sz="8" w:space="0" w:color="auto"/>
              <w:right w:val="single" w:sz="8" w:space="0" w:color="auto"/>
            </w:tcBorders>
            <w:vAlign w:val="bottom"/>
          </w:tcPr>
          <w:p w14:paraId="231748EE" w14:textId="465DF695" w:rsidR="003E0238" w:rsidRPr="00560F3D" w:rsidRDefault="00F4026F" w:rsidP="00A75F06">
            <w:pPr>
              <w:jc w:val="right"/>
              <w:rPr>
                <w:rFonts w:ascii="Calibri" w:eastAsia="Times New Roman" w:hAnsi="Calibri" w:cs="Calibri"/>
                <w:color w:val="000000"/>
                <w:lang w:eastAsia="hu-HU"/>
              </w:rPr>
            </w:pPr>
            <w:r w:rsidRPr="00560F3D">
              <w:rPr>
                <w:rFonts w:ascii="Calibri" w:eastAsia="Times New Roman" w:hAnsi="Calibri" w:cs="Calibri"/>
                <w:color w:val="000000"/>
                <w:lang w:eastAsia="hu-HU"/>
              </w:rPr>
              <w:t>20.556 eFt</w:t>
            </w:r>
          </w:p>
        </w:tc>
      </w:tr>
      <w:bookmarkEnd w:id="31"/>
      <w:tr w:rsidR="003E0238" w:rsidRPr="00C84FFC" w14:paraId="1F9AEF7A" w14:textId="1C82EE57" w:rsidTr="00560F3D">
        <w:trPr>
          <w:trHeight w:val="315"/>
        </w:trPr>
        <w:tc>
          <w:tcPr>
            <w:tcW w:w="1820" w:type="dxa"/>
            <w:tcBorders>
              <w:top w:val="nil"/>
              <w:left w:val="single" w:sz="8" w:space="0" w:color="auto"/>
              <w:bottom w:val="single" w:sz="8" w:space="0" w:color="auto"/>
              <w:right w:val="single" w:sz="8" w:space="0" w:color="auto"/>
            </w:tcBorders>
            <w:shd w:val="clear" w:color="auto" w:fill="auto"/>
            <w:noWrap/>
            <w:vAlign w:val="bottom"/>
            <w:hideMark/>
          </w:tcPr>
          <w:p w14:paraId="4AF93CF2" w14:textId="77777777" w:rsidR="003E0238" w:rsidRPr="00C84FFC" w:rsidRDefault="003E0238" w:rsidP="00A75F06">
            <w:pP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Összes bevétel</w:t>
            </w:r>
          </w:p>
        </w:tc>
        <w:tc>
          <w:tcPr>
            <w:tcW w:w="1866" w:type="dxa"/>
            <w:tcBorders>
              <w:top w:val="nil"/>
              <w:left w:val="nil"/>
              <w:bottom w:val="single" w:sz="8" w:space="0" w:color="auto"/>
              <w:right w:val="single" w:sz="4" w:space="0" w:color="auto"/>
            </w:tcBorders>
            <w:shd w:val="clear" w:color="auto" w:fill="auto"/>
            <w:noWrap/>
            <w:vAlign w:val="bottom"/>
            <w:hideMark/>
          </w:tcPr>
          <w:p w14:paraId="56A3F13F" w14:textId="77777777" w:rsidR="003E0238" w:rsidRPr="00C84FFC" w:rsidRDefault="003E0238" w:rsidP="00A75F06">
            <w:pPr>
              <w:jc w:val="right"/>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1.369.823 eFt</w:t>
            </w:r>
          </w:p>
        </w:tc>
        <w:tc>
          <w:tcPr>
            <w:tcW w:w="1843" w:type="dxa"/>
            <w:tcBorders>
              <w:top w:val="nil"/>
              <w:left w:val="nil"/>
              <w:bottom w:val="single" w:sz="8" w:space="0" w:color="auto"/>
              <w:right w:val="single" w:sz="8" w:space="0" w:color="auto"/>
            </w:tcBorders>
            <w:shd w:val="clear" w:color="auto" w:fill="auto"/>
            <w:noWrap/>
            <w:vAlign w:val="bottom"/>
            <w:hideMark/>
          </w:tcPr>
          <w:p w14:paraId="6A6AD5DA" w14:textId="77777777" w:rsidR="003E0238" w:rsidRPr="00C84FFC" w:rsidRDefault="003E0238" w:rsidP="00A75F06">
            <w:pPr>
              <w:jc w:val="right"/>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1.</w:t>
            </w:r>
            <w:r>
              <w:rPr>
                <w:rFonts w:ascii="Calibri" w:eastAsia="Times New Roman" w:hAnsi="Calibri" w:cs="Calibri"/>
                <w:b/>
                <w:bCs/>
                <w:color w:val="000000"/>
                <w:lang w:eastAsia="hu-HU"/>
              </w:rPr>
              <w:t>699</w:t>
            </w:r>
            <w:r w:rsidRPr="00C84FFC">
              <w:rPr>
                <w:rFonts w:ascii="Calibri" w:eastAsia="Times New Roman" w:hAnsi="Calibri" w:cs="Calibri"/>
                <w:b/>
                <w:bCs/>
                <w:color w:val="000000"/>
                <w:lang w:eastAsia="hu-HU"/>
              </w:rPr>
              <w:t>.</w:t>
            </w:r>
            <w:r>
              <w:rPr>
                <w:rFonts w:ascii="Calibri" w:eastAsia="Times New Roman" w:hAnsi="Calibri" w:cs="Calibri"/>
                <w:b/>
                <w:bCs/>
                <w:color w:val="000000"/>
                <w:lang w:eastAsia="hu-HU"/>
              </w:rPr>
              <w:t>990</w:t>
            </w:r>
            <w:r w:rsidRPr="00C84FFC">
              <w:rPr>
                <w:rFonts w:ascii="Calibri" w:eastAsia="Times New Roman" w:hAnsi="Calibri" w:cs="Calibri"/>
                <w:b/>
                <w:bCs/>
                <w:color w:val="000000"/>
                <w:lang w:eastAsia="hu-HU"/>
              </w:rPr>
              <w:t xml:space="preserve"> eFt</w:t>
            </w:r>
          </w:p>
        </w:tc>
        <w:tc>
          <w:tcPr>
            <w:tcW w:w="1842" w:type="dxa"/>
            <w:tcBorders>
              <w:top w:val="nil"/>
              <w:left w:val="nil"/>
              <w:bottom w:val="single" w:sz="8" w:space="0" w:color="auto"/>
              <w:right w:val="single" w:sz="8" w:space="0" w:color="auto"/>
            </w:tcBorders>
            <w:vAlign w:val="bottom"/>
          </w:tcPr>
          <w:p w14:paraId="65FE4091" w14:textId="350D99D4" w:rsidR="003E0238" w:rsidRPr="00C84FFC" w:rsidRDefault="00F4026F" w:rsidP="00A75F06">
            <w:pPr>
              <w:jc w:val="right"/>
              <w:rPr>
                <w:rFonts w:ascii="Calibri" w:eastAsia="Times New Roman" w:hAnsi="Calibri" w:cs="Calibri"/>
                <w:b/>
                <w:bCs/>
                <w:color w:val="000000"/>
                <w:lang w:eastAsia="hu-HU"/>
              </w:rPr>
            </w:pPr>
            <w:r>
              <w:rPr>
                <w:rFonts w:ascii="Calibri" w:eastAsia="Times New Roman" w:hAnsi="Calibri" w:cs="Calibri"/>
                <w:b/>
                <w:bCs/>
                <w:color w:val="000000"/>
                <w:lang w:eastAsia="hu-HU"/>
              </w:rPr>
              <w:t>1.963.240 eFt</w:t>
            </w:r>
          </w:p>
        </w:tc>
      </w:tr>
    </w:tbl>
    <w:p w14:paraId="15E1E8A6" w14:textId="6175AB3F" w:rsidR="001A6F8A" w:rsidRDefault="001A6F8A" w:rsidP="004C7715">
      <w:pPr>
        <w:spacing w:before="240"/>
        <w:ind w:right="676"/>
        <w:jc w:val="both"/>
      </w:pPr>
      <w:r w:rsidRPr="00C84FFC">
        <w:t>Mobil bevételeinkben elhanyagolható a szezonális hatás és a variancia, így 2022-es bevételi adataink becslésekor pusztán a 2021-es adatokra hagyatkoztunk</w:t>
      </w:r>
      <w:r>
        <w:t>, de figyelembe vettük azt a tényt, hogy a mobiltelefonnal történő díjfizetés egyre népszerűbb</w:t>
      </w:r>
      <w:r w:rsidRPr="00C84FFC">
        <w:t>.</w:t>
      </w:r>
    </w:p>
    <w:p w14:paraId="7A378140" w14:textId="7848FFCB" w:rsidR="002E3DCB" w:rsidRDefault="002E3DCB" w:rsidP="004C7715">
      <w:pPr>
        <w:spacing w:before="240"/>
        <w:ind w:right="676"/>
        <w:jc w:val="both"/>
      </w:pPr>
      <w:r>
        <w:t xml:space="preserve">A módosított bevételi tervszámok kiszámításánál figyelembe vettük, hogy az eredeti tervezésnél a 2. félév elejétől történő díjemelés bevezetésével kalkuláltunk, ugyanakkor a ténylegesen elfogadott díjemelés összegénél alacsonyabb mértékben. </w:t>
      </w:r>
    </w:p>
    <w:p w14:paraId="5CEB5190" w14:textId="24E1ACF7" w:rsidR="001A6F8A" w:rsidRPr="00C84FFC" w:rsidRDefault="001A6F8A" w:rsidP="004C7715">
      <w:pPr>
        <w:spacing w:before="240"/>
        <w:ind w:right="676"/>
        <w:jc w:val="both"/>
      </w:pPr>
    </w:p>
    <w:p w14:paraId="16A6ED2B" w14:textId="00B53742" w:rsidR="001A6F8A" w:rsidRPr="00C84FFC" w:rsidRDefault="001A6F8A" w:rsidP="001A6F8A">
      <w:pPr>
        <w:jc w:val="center"/>
      </w:pPr>
      <w:r>
        <w:rPr>
          <w:noProof/>
        </w:rPr>
        <w:drawing>
          <wp:anchor distT="0" distB="0" distL="0" distR="0" simplePos="0" relativeHeight="487380992" behindDoc="1" locked="0" layoutInCell="1" allowOverlap="1" wp14:anchorId="0935FDC0" wp14:editId="2F5BFEDB">
            <wp:simplePos x="0" y="0"/>
            <wp:positionH relativeFrom="page">
              <wp:align>left</wp:align>
            </wp:positionH>
            <wp:positionV relativeFrom="page">
              <wp:posOffset>7472680</wp:posOffset>
            </wp:positionV>
            <wp:extent cx="7555992" cy="3421379"/>
            <wp:effectExtent l="0" t="0" r="6985" b="8255"/>
            <wp:wrapNone/>
            <wp:docPr id="45"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Pr="00C84FFC">
        <w:rPr>
          <w:noProof/>
        </w:rPr>
        <w:drawing>
          <wp:inline distT="0" distB="0" distL="0" distR="0" wp14:anchorId="0E9FCE0C" wp14:editId="23B06114">
            <wp:extent cx="4763143" cy="3051740"/>
            <wp:effectExtent l="0" t="0" r="18415" b="15875"/>
            <wp:docPr id="1" name="Diagram 1">
              <a:extLst xmlns:a="http://schemas.openxmlformats.org/drawingml/2006/main">
                <a:ext uri="{FF2B5EF4-FFF2-40B4-BE49-F238E27FC236}">
                  <a16:creationId xmlns:a16="http://schemas.microsoft.com/office/drawing/2014/main" id="{F0203BA1-1686-438B-8A03-FA1C7BC051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72D26C" w14:textId="77777777" w:rsidR="00010C98" w:rsidRDefault="00010C98" w:rsidP="001A6F8A"/>
    <w:p w14:paraId="2121BB8B" w14:textId="34D556E1" w:rsidR="001A6F8A" w:rsidRPr="00C84FFC" w:rsidRDefault="001A6F8A" w:rsidP="004C7715">
      <w:pPr>
        <w:ind w:right="676"/>
      </w:pPr>
      <w:r w:rsidRPr="00C84FFC">
        <w:t>Figyelembe vett tények a kalkulációkor:</w:t>
      </w:r>
    </w:p>
    <w:p w14:paraId="2624758D" w14:textId="77777777" w:rsidR="001A6F8A" w:rsidRPr="00C84FFC" w:rsidRDefault="001A6F8A" w:rsidP="004C7715">
      <w:pPr>
        <w:pStyle w:val="Listaszerbekezds"/>
        <w:widowControl/>
        <w:numPr>
          <w:ilvl w:val="0"/>
          <w:numId w:val="15"/>
        </w:numPr>
        <w:autoSpaceDE/>
        <w:autoSpaceDN/>
        <w:spacing w:after="160" w:line="259" w:lineRule="auto"/>
        <w:ind w:right="676"/>
        <w:contextualSpacing/>
        <w:jc w:val="both"/>
      </w:pPr>
      <w:r w:rsidRPr="00C84FFC">
        <w:t xml:space="preserve">csökkenő parkolóhely szám </w:t>
      </w:r>
      <w:proofErr w:type="spellStart"/>
      <w:r w:rsidRPr="00C84FFC">
        <w:t>mikroMobilitási</w:t>
      </w:r>
      <w:proofErr w:type="spellEnd"/>
      <w:r w:rsidRPr="00C84FFC">
        <w:t xml:space="preserve"> pontok és forgalomcsillapítás miatt,</w:t>
      </w:r>
    </w:p>
    <w:p w14:paraId="5FBE6296" w14:textId="77777777" w:rsidR="001A6F8A" w:rsidRPr="00C84FFC" w:rsidRDefault="001A6F8A" w:rsidP="004C7715">
      <w:pPr>
        <w:pStyle w:val="Listaszerbekezds"/>
        <w:widowControl/>
        <w:numPr>
          <w:ilvl w:val="0"/>
          <w:numId w:val="15"/>
        </w:numPr>
        <w:autoSpaceDE/>
        <w:autoSpaceDN/>
        <w:spacing w:after="160" w:line="259" w:lineRule="auto"/>
        <w:ind w:right="676"/>
        <w:contextualSpacing/>
        <w:jc w:val="both"/>
      </w:pPr>
      <w:r w:rsidRPr="00C84FFC">
        <w:t>csökkenő bevételek a kizárólagos lakossági parkolóhelyek miatt,</w:t>
      </w:r>
    </w:p>
    <w:p w14:paraId="25D8EF75" w14:textId="32EC020B" w:rsidR="001A6F8A" w:rsidRPr="00C84FFC" w:rsidRDefault="001A6F8A" w:rsidP="004C7715">
      <w:pPr>
        <w:pStyle w:val="Listaszerbekezds"/>
        <w:widowControl/>
        <w:numPr>
          <w:ilvl w:val="0"/>
          <w:numId w:val="15"/>
        </w:numPr>
        <w:autoSpaceDE/>
        <w:autoSpaceDN/>
        <w:spacing w:after="160" w:line="259" w:lineRule="auto"/>
        <w:ind w:right="676"/>
        <w:contextualSpacing/>
        <w:jc w:val="both"/>
      </w:pPr>
      <w:r w:rsidRPr="00C84FFC">
        <w:t>emelkedő bevételek a pandémia hatásainak potenciális csökkenése</w:t>
      </w:r>
      <w:r>
        <w:t xml:space="preserve"> és a turizmus várható fellendülése</w:t>
      </w:r>
      <w:r w:rsidRPr="00C84FFC">
        <w:t xml:space="preserve"> miatt</w:t>
      </w:r>
      <w:r w:rsidR="00B77459">
        <w:t>.</w:t>
      </w:r>
    </w:p>
    <w:p w14:paraId="0E67229D" w14:textId="46141F5A" w:rsidR="004D35EB" w:rsidRDefault="004D35EB">
      <w:r>
        <w:br w:type="page"/>
      </w:r>
    </w:p>
    <w:p w14:paraId="0D0391BF" w14:textId="77777777" w:rsidR="001A6F8A" w:rsidRPr="00C84FFC" w:rsidRDefault="001A6F8A" w:rsidP="004C7715">
      <w:pPr>
        <w:ind w:right="676"/>
      </w:pPr>
    </w:p>
    <w:p w14:paraId="25A7A2F9" w14:textId="2FCDBF3D" w:rsidR="001A6F8A" w:rsidRDefault="001A6F8A" w:rsidP="004C7715">
      <w:pPr>
        <w:ind w:right="676"/>
        <w:jc w:val="both"/>
      </w:pPr>
      <w:r w:rsidRPr="00C84FFC">
        <w:t>Pótdíjak tekintetében egyértelműen látszik a felfutás a májusi indulás után és az az utáni stabilitás.</w:t>
      </w:r>
    </w:p>
    <w:p w14:paraId="032E4787" w14:textId="77777777" w:rsidR="00A40E04" w:rsidRPr="00C84FFC" w:rsidRDefault="00A40E04" w:rsidP="004C7715">
      <w:pPr>
        <w:ind w:right="676"/>
        <w:jc w:val="both"/>
      </w:pPr>
    </w:p>
    <w:p w14:paraId="2B23FE4E" w14:textId="77777777" w:rsidR="001A6F8A" w:rsidRPr="00C84FFC" w:rsidRDefault="001A6F8A" w:rsidP="001A6F8A">
      <w:pPr>
        <w:jc w:val="center"/>
      </w:pPr>
      <w:r w:rsidRPr="00C84FFC">
        <w:rPr>
          <w:noProof/>
        </w:rPr>
        <w:drawing>
          <wp:inline distT="0" distB="0" distL="0" distR="0" wp14:anchorId="4088F104" wp14:editId="6092FB7F">
            <wp:extent cx="4647382" cy="2821738"/>
            <wp:effectExtent l="0" t="0" r="1270" b="17145"/>
            <wp:docPr id="34" name="Diagram 34">
              <a:extLst xmlns:a="http://schemas.openxmlformats.org/drawingml/2006/main">
                <a:ext uri="{FF2B5EF4-FFF2-40B4-BE49-F238E27FC236}">
                  <a16:creationId xmlns:a16="http://schemas.microsoft.com/office/drawing/2014/main" id="{F0203BA1-1686-438B-8A03-FA1C7BC051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216B8C2" w14:textId="77777777" w:rsidR="00F4026F" w:rsidRDefault="00F4026F"/>
    <w:p w14:paraId="06FAF14C" w14:textId="2393E30B" w:rsidR="001A6F8A" w:rsidRDefault="001A6F8A" w:rsidP="004C7715">
      <w:pPr>
        <w:ind w:right="676"/>
        <w:jc w:val="both"/>
      </w:pPr>
      <w:r w:rsidRPr="00C84FFC">
        <w:t>Egyedül az automata bevételekben mutatkozik szezonalitás – amit 2020-ban is tapasztaltunk.</w:t>
      </w:r>
    </w:p>
    <w:p w14:paraId="7B79D9E9" w14:textId="77777777" w:rsidR="00A40E04" w:rsidRPr="00C84FFC" w:rsidRDefault="00A40E04" w:rsidP="004C7715">
      <w:pPr>
        <w:ind w:right="676"/>
        <w:jc w:val="both"/>
      </w:pPr>
    </w:p>
    <w:p w14:paraId="6407A0DC" w14:textId="61E6D132" w:rsidR="001A6F8A" w:rsidRDefault="001A6F8A" w:rsidP="004C7715">
      <w:pPr>
        <w:ind w:right="-33"/>
        <w:jc w:val="center"/>
      </w:pPr>
      <w:r>
        <w:rPr>
          <w:noProof/>
        </w:rPr>
        <w:drawing>
          <wp:anchor distT="0" distB="0" distL="0" distR="0" simplePos="0" relativeHeight="487383040" behindDoc="1" locked="0" layoutInCell="1" allowOverlap="1" wp14:anchorId="4EE6870D" wp14:editId="12C3312F">
            <wp:simplePos x="0" y="0"/>
            <wp:positionH relativeFrom="page">
              <wp:align>left</wp:align>
            </wp:positionH>
            <wp:positionV relativeFrom="page">
              <wp:posOffset>7280275</wp:posOffset>
            </wp:positionV>
            <wp:extent cx="7555992" cy="3421379"/>
            <wp:effectExtent l="0" t="0" r="6985" b="8255"/>
            <wp:wrapNone/>
            <wp:docPr id="4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7555992" cy="3421379"/>
                    </a:xfrm>
                    <a:prstGeom prst="rect">
                      <a:avLst/>
                    </a:prstGeom>
                  </pic:spPr>
                </pic:pic>
              </a:graphicData>
            </a:graphic>
          </wp:anchor>
        </w:drawing>
      </w:r>
      <w:r w:rsidRPr="00C84FFC">
        <w:rPr>
          <w:noProof/>
        </w:rPr>
        <w:drawing>
          <wp:inline distT="0" distB="0" distL="0" distR="0" wp14:anchorId="01C71733" wp14:editId="4DD1ADC2">
            <wp:extent cx="4641772" cy="2720760"/>
            <wp:effectExtent l="0" t="0" r="6985" b="3810"/>
            <wp:docPr id="35" name="Diagram 35">
              <a:extLst xmlns:a="http://schemas.openxmlformats.org/drawingml/2006/main">
                <a:ext uri="{FF2B5EF4-FFF2-40B4-BE49-F238E27FC236}">
                  <a16:creationId xmlns:a16="http://schemas.microsoft.com/office/drawing/2014/main" id="{F0203BA1-1686-438B-8A03-FA1C7BC051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EF44A8C" w14:textId="77777777" w:rsidR="00010C98" w:rsidRPr="00C84FFC" w:rsidRDefault="00010C98" w:rsidP="001A6F8A">
      <w:pPr>
        <w:jc w:val="center"/>
      </w:pPr>
    </w:p>
    <w:p w14:paraId="13B3173A" w14:textId="2C622CE3" w:rsidR="001A6F8A" w:rsidRDefault="001A6F8A" w:rsidP="004C7715">
      <w:pPr>
        <w:ind w:right="676"/>
        <w:jc w:val="both"/>
      </w:pPr>
      <w:r w:rsidRPr="00C84FFC">
        <w:t>Az automata bevételek esetében valószínűsíthetően akkor van több bevételünk amikor több vidéki lakos érkezik a kerületbe. A kiugró hetek a hónapok zárására vezethetőek vissza. A csökkenő trendvonal az emelkedő mobillal állhat párhuzamban.</w:t>
      </w:r>
    </w:p>
    <w:p w14:paraId="360D0413" w14:textId="2B892B25" w:rsidR="004D35EB" w:rsidRDefault="004D35EB">
      <w:r>
        <w:br w:type="page"/>
      </w:r>
    </w:p>
    <w:p w14:paraId="4848F30C" w14:textId="77777777" w:rsidR="001A6F8A" w:rsidRPr="00C84FFC" w:rsidRDefault="001A6F8A" w:rsidP="004C7715">
      <w:pPr>
        <w:ind w:right="676"/>
        <w:jc w:val="both"/>
      </w:pPr>
    </w:p>
    <w:p w14:paraId="588ED6D9" w14:textId="3E74E23A" w:rsidR="001A6F8A" w:rsidRPr="001F47B4" w:rsidRDefault="001A6F8A" w:rsidP="001F47B4">
      <w:pPr>
        <w:pStyle w:val="Cmsor3"/>
        <w:rPr>
          <w:rFonts w:ascii="Verdana" w:hAnsi="Verdana"/>
          <w:color w:val="auto"/>
          <w:sz w:val="22"/>
          <w:szCs w:val="22"/>
          <w:u w:val="single"/>
        </w:rPr>
      </w:pPr>
      <w:bookmarkStart w:id="32" w:name="_Toc89709918"/>
      <w:bookmarkStart w:id="33" w:name="_Toc96669293"/>
      <w:r w:rsidRPr="001F47B4">
        <w:rPr>
          <w:rFonts w:ascii="Verdana" w:hAnsi="Verdana"/>
          <w:color w:val="auto"/>
          <w:sz w:val="22"/>
          <w:szCs w:val="22"/>
          <w:u w:val="single"/>
        </w:rPr>
        <w:t>Kiadások</w:t>
      </w:r>
      <w:bookmarkEnd w:id="32"/>
      <w:bookmarkEnd w:id="33"/>
    </w:p>
    <w:p w14:paraId="2517B146" w14:textId="77777777" w:rsidR="001F47B4" w:rsidRPr="001F47B4" w:rsidRDefault="001F47B4" w:rsidP="001F47B4"/>
    <w:p w14:paraId="7AD5274F" w14:textId="638C4CE9" w:rsidR="001A6F8A" w:rsidRDefault="001A6F8A" w:rsidP="004C7715">
      <w:pPr>
        <w:ind w:right="676"/>
        <w:jc w:val="both"/>
      </w:pPr>
      <w:r w:rsidRPr="00C84FFC">
        <w:t>A</w:t>
      </w:r>
      <w:r w:rsidR="004D35EB">
        <w:t>z eredeti 2022. évi tervezésnél a</w:t>
      </w:r>
      <w:r w:rsidRPr="00C84FFC">
        <w:t xml:space="preserve"> kiadások </w:t>
      </w:r>
      <w:r w:rsidR="004D35EB">
        <w:t>esetében</w:t>
      </w:r>
      <w:r w:rsidR="004D35EB" w:rsidRPr="00C84FFC">
        <w:t xml:space="preserve"> </w:t>
      </w:r>
      <w:r w:rsidRPr="00C84FFC">
        <w:t xml:space="preserve">a 2020-2021 évi tapasztalatokból és a ténylegesen felmerült kiadásokból indultunk ki. </w:t>
      </w:r>
      <w:r>
        <w:t>Ugyanakkor nem lehetett figyelmen kívül hagyni a tervezés során a jelentős</w:t>
      </w:r>
      <w:r w:rsidRPr="00C84FFC">
        <w:t xml:space="preserve"> inflációs hatás miatt </w:t>
      </w:r>
      <w:r>
        <w:t xml:space="preserve">várható </w:t>
      </w:r>
      <w:r w:rsidRPr="00C84FFC">
        <w:t>áremelkedéseke</w:t>
      </w:r>
      <w:r>
        <w:t>t</w:t>
      </w:r>
      <w:r w:rsidRPr="00C84FFC">
        <w:t xml:space="preserve"> </w:t>
      </w:r>
      <w:r>
        <w:t xml:space="preserve">úgy az anyagköltségek, mint </w:t>
      </w:r>
      <w:r w:rsidRPr="00C84FFC">
        <w:t>az igénybe vett szolgáltatáso</w:t>
      </w:r>
      <w:r>
        <w:t>k esetében.</w:t>
      </w:r>
    </w:p>
    <w:p w14:paraId="5C1A782D" w14:textId="77777777" w:rsidR="00A9286A" w:rsidRDefault="004D35EB" w:rsidP="004D35EB">
      <w:pPr>
        <w:spacing w:before="120"/>
        <w:ind w:right="676"/>
        <w:jc w:val="both"/>
      </w:pPr>
      <w:r>
        <w:t xml:space="preserve">A módosított költségszámok tervezésekor a megnövekedett parkolási idő, valamint a bevételek kalkulált növekedésével párhuzamosan együtt </w:t>
      </w:r>
      <w:r w:rsidR="00A9286A">
        <w:t>mozgó</w:t>
      </w:r>
      <w:r>
        <w:t xml:space="preserve"> költségek (pl. </w:t>
      </w:r>
      <w:r w:rsidR="00A9286A">
        <w:t xml:space="preserve">parkolási idő miatt növekvő </w:t>
      </w:r>
      <w:r>
        <w:t>munkabér, mobildíjfizetés költsége, behajtási költségek) növekedésén túlmenőe</w:t>
      </w:r>
      <w:r w:rsidR="00A9286A">
        <w:t>n</w:t>
      </w:r>
      <w:r>
        <w:t>,</w:t>
      </w:r>
      <w:r w:rsidR="00A9286A">
        <w:t xml:space="preserve"> figyelembe vettük a költségek alakulásának 1-8. havi tapasztalatát is.</w:t>
      </w:r>
    </w:p>
    <w:p w14:paraId="1F053CDB" w14:textId="307F0944" w:rsidR="004D35EB" w:rsidRDefault="00A9286A" w:rsidP="00595438">
      <w:pPr>
        <w:spacing w:before="120"/>
        <w:ind w:right="676"/>
        <w:jc w:val="both"/>
      </w:pPr>
      <w:r>
        <w:t xml:space="preserve">Mindezeket figyelembe véve </w:t>
      </w:r>
      <w:r w:rsidR="004D35EB">
        <w:t>a korábban elfogadott üzleti tervben meghatározott költségek, számításaink szerint bruttó 959.996 eFt-</w:t>
      </w:r>
      <w:proofErr w:type="spellStart"/>
      <w:r w:rsidR="004D35EB">
        <w:t>ról</w:t>
      </w:r>
      <w:proofErr w:type="spellEnd"/>
      <w:r w:rsidR="004D35EB">
        <w:t xml:space="preserve"> 1.046.133 eFt-ra növekednek, amely 86.137 </w:t>
      </w:r>
      <w:proofErr w:type="spellStart"/>
      <w:r w:rsidR="004D35EB">
        <w:t>eF</w:t>
      </w:r>
      <w:proofErr w:type="spellEnd"/>
      <w:r w:rsidR="004D35EB">
        <w:t xml:space="preserve"> költségnövekedést jelent.</w:t>
      </w:r>
    </w:p>
    <w:p w14:paraId="2AD687BC" w14:textId="26FC6DCF" w:rsidR="004D35EB" w:rsidRDefault="004D35EB" w:rsidP="004C7715">
      <w:pPr>
        <w:ind w:right="676"/>
        <w:jc w:val="both"/>
      </w:pPr>
    </w:p>
    <w:tbl>
      <w:tblPr>
        <w:tblW w:w="8921" w:type="dxa"/>
        <w:tblCellMar>
          <w:left w:w="70" w:type="dxa"/>
          <w:right w:w="70" w:type="dxa"/>
        </w:tblCellMar>
        <w:tblLook w:val="04A0" w:firstRow="1" w:lastRow="0" w:firstColumn="1" w:lastColumn="0" w:noHBand="0" w:noVBand="1"/>
      </w:tblPr>
      <w:tblGrid>
        <w:gridCol w:w="4810"/>
        <w:gridCol w:w="1417"/>
        <w:gridCol w:w="1276"/>
        <w:gridCol w:w="1418"/>
      </w:tblGrid>
      <w:tr w:rsidR="005E6A0A" w:rsidRPr="005E6A0A" w14:paraId="26A2505B" w14:textId="77777777" w:rsidTr="00560F3D">
        <w:trPr>
          <w:trHeight w:val="315"/>
        </w:trPr>
        <w:tc>
          <w:tcPr>
            <w:tcW w:w="481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A0409DF" w14:textId="77777777" w:rsidR="005E6A0A" w:rsidRPr="005E6A0A" w:rsidRDefault="005E6A0A" w:rsidP="005E6A0A">
            <w:pPr>
              <w:widowControl/>
              <w:autoSpaceDE/>
              <w:autoSpaceDN/>
              <w:jc w:val="center"/>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Megnevezés</w:t>
            </w:r>
          </w:p>
        </w:tc>
        <w:tc>
          <w:tcPr>
            <w:tcW w:w="4111"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7FB8176" w14:textId="77777777" w:rsidR="005E6A0A" w:rsidRPr="005E6A0A" w:rsidRDefault="005E6A0A" w:rsidP="005E6A0A">
            <w:pPr>
              <w:widowControl/>
              <w:autoSpaceDE/>
              <w:autoSpaceDN/>
              <w:jc w:val="center"/>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Bruttó kiadási terv (eFt)</w:t>
            </w:r>
          </w:p>
        </w:tc>
      </w:tr>
      <w:tr w:rsidR="005E6A0A" w:rsidRPr="005E6A0A" w14:paraId="60928D3C" w14:textId="77777777" w:rsidTr="00560F3D">
        <w:trPr>
          <w:trHeight w:val="945"/>
        </w:trPr>
        <w:tc>
          <w:tcPr>
            <w:tcW w:w="4810" w:type="dxa"/>
            <w:vMerge/>
            <w:tcBorders>
              <w:top w:val="single" w:sz="8" w:space="0" w:color="auto"/>
              <w:left w:val="single" w:sz="8" w:space="0" w:color="auto"/>
              <w:bottom w:val="single" w:sz="4" w:space="0" w:color="auto"/>
              <w:right w:val="single" w:sz="4" w:space="0" w:color="auto"/>
            </w:tcBorders>
            <w:vAlign w:val="center"/>
            <w:hideMark/>
          </w:tcPr>
          <w:p w14:paraId="3BF16749" w14:textId="77777777" w:rsidR="005E6A0A" w:rsidRPr="005E6A0A" w:rsidRDefault="005E6A0A" w:rsidP="005E6A0A">
            <w:pPr>
              <w:widowControl/>
              <w:autoSpaceDE/>
              <w:autoSpaceDN/>
              <w:rPr>
                <w:rFonts w:ascii="Calibri" w:eastAsia="Times New Roman" w:hAnsi="Calibri" w:cs="Calibri"/>
                <w:b/>
                <w:bCs/>
                <w:color w:val="000000"/>
                <w:sz w:val="24"/>
                <w:szCs w:val="24"/>
                <w:lang w:eastAsia="hu-HU"/>
              </w:rPr>
            </w:pPr>
          </w:p>
        </w:tc>
        <w:tc>
          <w:tcPr>
            <w:tcW w:w="1417" w:type="dxa"/>
            <w:tcBorders>
              <w:top w:val="nil"/>
              <w:left w:val="nil"/>
              <w:bottom w:val="single" w:sz="4" w:space="0" w:color="auto"/>
              <w:right w:val="single" w:sz="4" w:space="0" w:color="auto"/>
            </w:tcBorders>
            <w:shd w:val="clear" w:color="auto" w:fill="auto"/>
            <w:vAlign w:val="center"/>
            <w:hideMark/>
          </w:tcPr>
          <w:p w14:paraId="37142626" w14:textId="77777777" w:rsidR="005E6A0A" w:rsidRPr="005E6A0A" w:rsidRDefault="005E6A0A" w:rsidP="005E6A0A">
            <w:pPr>
              <w:widowControl/>
              <w:autoSpaceDE/>
              <w:autoSpaceDN/>
              <w:jc w:val="center"/>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2021</w:t>
            </w:r>
          </w:p>
        </w:tc>
        <w:tc>
          <w:tcPr>
            <w:tcW w:w="1276" w:type="dxa"/>
            <w:tcBorders>
              <w:top w:val="nil"/>
              <w:left w:val="nil"/>
              <w:bottom w:val="single" w:sz="4" w:space="0" w:color="auto"/>
              <w:right w:val="single" w:sz="4" w:space="0" w:color="auto"/>
            </w:tcBorders>
            <w:shd w:val="clear" w:color="auto" w:fill="auto"/>
            <w:vAlign w:val="center"/>
            <w:hideMark/>
          </w:tcPr>
          <w:p w14:paraId="1B085659" w14:textId="77777777" w:rsidR="005E6A0A" w:rsidRPr="005E6A0A" w:rsidRDefault="005E6A0A" w:rsidP="005E6A0A">
            <w:pPr>
              <w:widowControl/>
              <w:autoSpaceDE/>
              <w:autoSpaceDN/>
              <w:jc w:val="center"/>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2022 eredeti terv</w:t>
            </w:r>
          </w:p>
        </w:tc>
        <w:tc>
          <w:tcPr>
            <w:tcW w:w="1418" w:type="dxa"/>
            <w:tcBorders>
              <w:top w:val="nil"/>
              <w:left w:val="nil"/>
              <w:bottom w:val="single" w:sz="4" w:space="0" w:color="auto"/>
              <w:right w:val="single" w:sz="8" w:space="0" w:color="auto"/>
            </w:tcBorders>
            <w:shd w:val="clear" w:color="auto" w:fill="auto"/>
            <w:vAlign w:val="center"/>
            <w:hideMark/>
          </w:tcPr>
          <w:p w14:paraId="29E5664E" w14:textId="77777777" w:rsidR="005E6A0A" w:rsidRPr="005E6A0A" w:rsidRDefault="005E6A0A" w:rsidP="005E6A0A">
            <w:pPr>
              <w:widowControl/>
              <w:autoSpaceDE/>
              <w:autoSpaceDN/>
              <w:jc w:val="center"/>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2022 módosított terv</w:t>
            </w:r>
          </w:p>
        </w:tc>
      </w:tr>
      <w:tr w:rsidR="005E6A0A" w:rsidRPr="005E6A0A" w14:paraId="6C5E2436"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71411AE6"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Tárgyi eszköz (nem beruházás)</w:t>
            </w:r>
          </w:p>
        </w:tc>
        <w:tc>
          <w:tcPr>
            <w:tcW w:w="1417" w:type="dxa"/>
            <w:tcBorders>
              <w:top w:val="nil"/>
              <w:left w:val="nil"/>
              <w:bottom w:val="single" w:sz="4" w:space="0" w:color="auto"/>
              <w:right w:val="single" w:sz="4" w:space="0" w:color="auto"/>
            </w:tcBorders>
            <w:shd w:val="clear" w:color="auto" w:fill="auto"/>
            <w:noWrap/>
            <w:vAlign w:val="center"/>
            <w:hideMark/>
          </w:tcPr>
          <w:p w14:paraId="69B1DD2B"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0</w:t>
            </w:r>
          </w:p>
        </w:tc>
        <w:tc>
          <w:tcPr>
            <w:tcW w:w="1276" w:type="dxa"/>
            <w:tcBorders>
              <w:top w:val="nil"/>
              <w:left w:val="nil"/>
              <w:bottom w:val="single" w:sz="4" w:space="0" w:color="auto"/>
              <w:right w:val="single" w:sz="4" w:space="0" w:color="auto"/>
            </w:tcBorders>
            <w:shd w:val="clear" w:color="auto" w:fill="auto"/>
            <w:noWrap/>
            <w:vAlign w:val="center"/>
            <w:hideMark/>
          </w:tcPr>
          <w:p w14:paraId="677E9EF3"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0</w:t>
            </w:r>
          </w:p>
        </w:tc>
        <w:tc>
          <w:tcPr>
            <w:tcW w:w="1418" w:type="dxa"/>
            <w:tcBorders>
              <w:top w:val="nil"/>
              <w:left w:val="nil"/>
              <w:bottom w:val="single" w:sz="4" w:space="0" w:color="auto"/>
              <w:right w:val="single" w:sz="8" w:space="0" w:color="auto"/>
            </w:tcBorders>
            <w:shd w:val="clear" w:color="auto" w:fill="auto"/>
            <w:vAlign w:val="center"/>
            <w:hideMark/>
          </w:tcPr>
          <w:p w14:paraId="7FA4B26E"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0</w:t>
            </w:r>
          </w:p>
        </w:tc>
      </w:tr>
      <w:tr w:rsidR="005E6A0A" w:rsidRPr="005E6A0A" w14:paraId="0CE8E7C9"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72A02E5D"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Anyagköltség</w:t>
            </w:r>
          </w:p>
        </w:tc>
        <w:tc>
          <w:tcPr>
            <w:tcW w:w="1417" w:type="dxa"/>
            <w:tcBorders>
              <w:top w:val="nil"/>
              <w:left w:val="nil"/>
              <w:bottom w:val="single" w:sz="4" w:space="0" w:color="auto"/>
              <w:right w:val="single" w:sz="4" w:space="0" w:color="auto"/>
            </w:tcBorders>
            <w:shd w:val="clear" w:color="auto" w:fill="auto"/>
            <w:noWrap/>
            <w:vAlign w:val="center"/>
            <w:hideMark/>
          </w:tcPr>
          <w:p w14:paraId="061FA4A5"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31 846</w:t>
            </w:r>
          </w:p>
        </w:tc>
        <w:tc>
          <w:tcPr>
            <w:tcW w:w="1276" w:type="dxa"/>
            <w:tcBorders>
              <w:top w:val="nil"/>
              <w:left w:val="nil"/>
              <w:bottom w:val="single" w:sz="4" w:space="0" w:color="auto"/>
              <w:right w:val="single" w:sz="4" w:space="0" w:color="auto"/>
            </w:tcBorders>
            <w:shd w:val="clear" w:color="auto" w:fill="auto"/>
            <w:noWrap/>
            <w:vAlign w:val="center"/>
            <w:hideMark/>
          </w:tcPr>
          <w:p w14:paraId="06FBEEFD"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41 064</w:t>
            </w:r>
          </w:p>
        </w:tc>
        <w:tc>
          <w:tcPr>
            <w:tcW w:w="1418" w:type="dxa"/>
            <w:tcBorders>
              <w:top w:val="nil"/>
              <w:left w:val="nil"/>
              <w:bottom w:val="single" w:sz="4" w:space="0" w:color="auto"/>
              <w:right w:val="single" w:sz="8" w:space="0" w:color="auto"/>
            </w:tcBorders>
            <w:shd w:val="clear" w:color="auto" w:fill="auto"/>
            <w:vAlign w:val="center"/>
            <w:hideMark/>
          </w:tcPr>
          <w:p w14:paraId="0A0C175C"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20 715</w:t>
            </w:r>
          </w:p>
        </w:tc>
      </w:tr>
      <w:tr w:rsidR="005E6A0A" w:rsidRPr="005E6A0A" w14:paraId="687C252C"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5E10C8CF"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Igénybe vett szolgáltatások költsége</w:t>
            </w:r>
          </w:p>
        </w:tc>
        <w:tc>
          <w:tcPr>
            <w:tcW w:w="1417" w:type="dxa"/>
            <w:tcBorders>
              <w:top w:val="nil"/>
              <w:left w:val="nil"/>
              <w:bottom w:val="single" w:sz="4" w:space="0" w:color="auto"/>
              <w:right w:val="single" w:sz="4" w:space="0" w:color="auto"/>
            </w:tcBorders>
            <w:shd w:val="clear" w:color="auto" w:fill="auto"/>
            <w:noWrap/>
            <w:vAlign w:val="center"/>
            <w:hideMark/>
          </w:tcPr>
          <w:p w14:paraId="44F48F48"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238 078</w:t>
            </w:r>
          </w:p>
        </w:tc>
        <w:tc>
          <w:tcPr>
            <w:tcW w:w="1276" w:type="dxa"/>
            <w:tcBorders>
              <w:top w:val="nil"/>
              <w:left w:val="nil"/>
              <w:bottom w:val="single" w:sz="4" w:space="0" w:color="auto"/>
              <w:right w:val="single" w:sz="4" w:space="0" w:color="auto"/>
            </w:tcBorders>
            <w:shd w:val="clear" w:color="auto" w:fill="auto"/>
            <w:noWrap/>
            <w:vAlign w:val="center"/>
            <w:hideMark/>
          </w:tcPr>
          <w:p w14:paraId="75298E13" w14:textId="284C02ED"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333</w:t>
            </w:r>
            <w:r w:rsidR="0051796F">
              <w:rPr>
                <w:rFonts w:ascii="Calibri" w:eastAsia="Times New Roman" w:hAnsi="Calibri" w:cs="Calibri"/>
                <w:color w:val="000000"/>
                <w:sz w:val="24"/>
                <w:szCs w:val="24"/>
                <w:lang w:eastAsia="hu-HU"/>
              </w:rPr>
              <w:t> </w:t>
            </w:r>
            <w:r w:rsidRPr="005E6A0A">
              <w:rPr>
                <w:rFonts w:ascii="Calibri" w:eastAsia="Times New Roman" w:hAnsi="Calibri" w:cs="Calibri"/>
                <w:color w:val="000000"/>
                <w:sz w:val="24"/>
                <w:szCs w:val="24"/>
                <w:lang w:eastAsia="hu-HU"/>
              </w:rPr>
              <w:t>853</w:t>
            </w:r>
          </w:p>
        </w:tc>
        <w:tc>
          <w:tcPr>
            <w:tcW w:w="1418" w:type="dxa"/>
            <w:tcBorders>
              <w:top w:val="nil"/>
              <w:left w:val="nil"/>
              <w:bottom w:val="single" w:sz="4" w:space="0" w:color="auto"/>
              <w:right w:val="single" w:sz="8" w:space="0" w:color="auto"/>
            </w:tcBorders>
            <w:shd w:val="clear" w:color="auto" w:fill="auto"/>
            <w:vAlign w:val="center"/>
            <w:hideMark/>
          </w:tcPr>
          <w:p w14:paraId="563C75B3"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403 074</w:t>
            </w:r>
          </w:p>
        </w:tc>
      </w:tr>
      <w:tr w:rsidR="005E6A0A" w:rsidRPr="005E6A0A" w14:paraId="74D58C45"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7DAAFE52"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Egyéb szolgáltatások költségei</w:t>
            </w:r>
          </w:p>
        </w:tc>
        <w:tc>
          <w:tcPr>
            <w:tcW w:w="1417" w:type="dxa"/>
            <w:tcBorders>
              <w:top w:val="nil"/>
              <w:left w:val="nil"/>
              <w:bottom w:val="single" w:sz="4" w:space="0" w:color="auto"/>
              <w:right w:val="single" w:sz="4" w:space="0" w:color="auto"/>
            </w:tcBorders>
            <w:shd w:val="clear" w:color="auto" w:fill="auto"/>
            <w:noWrap/>
            <w:vAlign w:val="center"/>
            <w:hideMark/>
          </w:tcPr>
          <w:p w14:paraId="23EB7ADD"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93 815</w:t>
            </w:r>
          </w:p>
        </w:tc>
        <w:tc>
          <w:tcPr>
            <w:tcW w:w="1276" w:type="dxa"/>
            <w:tcBorders>
              <w:top w:val="nil"/>
              <w:left w:val="nil"/>
              <w:bottom w:val="single" w:sz="4" w:space="0" w:color="auto"/>
              <w:right w:val="single" w:sz="4" w:space="0" w:color="auto"/>
            </w:tcBorders>
            <w:shd w:val="clear" w:color="auto" w:fill="auto"/>
            <w:noWrap/>
            <w:vAlign w:val="center"/>
            <w:hideMark/>
          </w:tcPr>
          <w:p w14:paraId="1BD5397E"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122 332</w:t>
            </w:r>
          </w:p>
        </w:tc>
        <w:tc>
          <w:tcPr>
            <w:tcW w:w="1418" w:type="dxa"/>
            <w:tcBorders>
              <w:top w:val="nil"/>
              <w:left w:val="nil"/>
              <w:bottom w:val="single" w:sz="4" w:space="0" w:color="auto"/>
              <w:right w:val="single" w:sz="8" w:space="0" w:color="auto"/>
            </w:tcBorders>
            <w:shd w:val="clear" w:color="auto" w:fill="auto"/>
            <w:vAlign w:val="center"/>
            <w:hideMark/>
          </w:tcPr>
          <w:p w14:paraId="5E0B5C01"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154 124</w:t>
            </w:r>
          </w:p>
        </w:tc>
      </w:tr>
      <w:tr w:rsidR="005E6A0A" w:rsidRPr="005E6A0A" w14:paraId="134FCD96"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3F732136"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Bérköltség - Parkolás üzletág</w:t>
            </w:r>
          </w:p>
        </w:tc>
        <w:tc>
          <w:tcPr>
            <w:tcW w:w="1417" w:type="dxa"/>
            <w:tcBorders>
              <w:top w:val="nil"/>
              <w:left w:val="nil"/>
              <w:bottom w:val="single" w:sz="4" w:space="0" w:color="auto"/>
              <w:right w:val="single" w:sz="4" w:space="0" w:color="auto"/>
            </w:tcBorders>
            <w:shd w:val="clear" w:color="auto" w:fill="auto"/>
            <w:noWrap/>
            <w:vAlign w:val="center"/>
            <w:hideMark/>
          </w:tcPr>
          <w:p w14:paraId="3ECDEF0E"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216 060</w:t>
            </w:r>
          </w:p>
        </w:tc>
        <w:tc>
          <w:tcPr>
            <w:tcW w:w="1276" w:type="dxa"/>
            <w:tcBorders>
              <w:top w:val="nil"/>
              <w:left w:val="nil"/>
              <w:bottom w:val="single" w:sz="4" w:space="0" w:color="auto"/>
              <w:right w:val="single" w:sz="4" w:space="0" w:color="auto"/>
            </w:tcBorders>
            <w:shd w:val="clear" w:color="auto" w:fill="auto"/>
            <w:noWrap/>
            <w:vAlign w:val="center"/>
            <w:hideMark/>
          </w:tcPr>
          <w:p w14:paraId="7D58CF23"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258 379</w:t>
            </w:r>
          </w:p>
        </w:tc>
        <w:tc>
          <w:tcPr>
            <w:tcW w:w="1418" w:type="dxa"/>
            <w:tcBorders>
              <w:top w:val="nil"/>
              <w:left w:val="nil"/>
              <w:bottom w:val="single" w:sz="4" w:space="0" w:color="auto"/>
              <w:right w:val="single" w:sz="8" w:space="0" w:color="auto"/>
            </w:tcBorders>
            <w:shd w:val="clear" w:color="auto" w:fill="auto"/>
            <w:vAlign w:val="center"/>
            <w:hideMark/>
          </w:tcPr>
          <w:p w14:paraId="530F76DD"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288 973</w:t>
            </w:r>
          </w:p>
        </w:tc>
      </w:tr>
      <w:tr w:rsidR="005E6A0A" w:rsidRPr="005E6A0A" w14:paraId="3A014F30"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778EAA09"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Személyi jellegű egyéb kifizetések - Parkolás üzletág</w:t>
            </w:r>
          </w:p>
        </w:tc>
        <w:tc>
          <w:tcPr>
            <w:tcW w:w="1417" w:type="dxa"/>
            <w:tcBorders>
              <w:top w:val="nil"/>
              <w:left w:val="nil"/>
              <w:bottom w:val="single" w:sz="4" w:space="0" w:color="auto"/>
              <w:right w:val="single" w:sz="4" w:space="0" w:color="auto"/>
            </w:tcBorders>
            <w:shd w:val="clear" w:color="auto" w:fill="auto"/>
            <w:noWrap/>
            <w:vAlign w:val="center"/>
            <w:hideMark/>
          </w:tcPr>
          <w:p w14:paraId="371E2477"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17 723</w:t>
            </w:r>
          </w:p>
        </w:tc>
        <w:tc>
          <w:tcPr>
            <w:tcW w:w="1276" w:type="dxa"/>
            <w:tcBorders>
              <w:top w:val="nil"/>
              <w:left w:val="nil"/>
              <w:bottom w:val="single" w:sz="4" w:space="0" w:color="auto"/>
              <w:right w:val="single" w:sz="4" w:space="0" w:color="auto"/>
            </w:tcBorders>
            <w:shd w:val="clear" w:color="auto" w:fill="auto"/>
            <w:noWrap/>
            <w:vAlign w:val="center"/>
            <w:hideMark/>
          </w:tcPr>
          <w:p w14:paraId="1A69B330"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15 453</w:t>
            </w:r>
          </w:p>
        </w:tc>
        <w:tc>
          <w:tcPr>
            <w:tcW w:w="1418" w:type="dxa"/>
            <w:tcBorders>
              <w:top w:val="nil"/>
              <w:left w:val="nil"/>
              <w:bottom w:val="single" w:sz="4" w:space="0" w:color="auto"/>
              <w:right w:val="single" w:sz="8" w:space="0" w:color="auto"/>
            </w:tcBorders>
            <w:shd w:val="clear" w:color="auto" w:fill="auto"/>
            <w:vAlign w:val="center"/>
            <w:hideMark/>
          </w:tcPr>
          <w:p w14:paraId="640BF6A0"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16 883</w:t>
            </w:r>
          </w:p>
        </w:tc>
      </w:tr>
      <w:tr w:rsidR="005E6A0A" w:rsidRPr="005E6A0A" w14:paraId="69D4882F"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5F47AFF7"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Bérjárulékok - Parkolás üzletág</w:t>
            </w:r>
          </w:p>
        </w:tc>
        <w:tc>
          <w:tcPr>
            <w:tcW w:w="1417" w:type="dxa"/>
            <w:tcBorders>
              <w:top w:val="nil"/>
              <w:left w:val="nil"/>
              <w:bottom w:val="single" w:sz="4" w:space="0" w:color="auto"/>
              <w:right w:val="single" w:sz="4" w:space="0" w:color="auto"/>
            </w:tcBorders>
            <w:shd w:val="clear" w:color="auto" w:fill="auto"/>
            <w:noWrap/>
            <w:vAlign w:val="center"/>
            <w:hideMark/>
          </w:tcPr>
          <w:p w14:paraId="5C36742A"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30 885</w:t>
            </w:r>
          </w:p>
        </w:tc>
        <w:tc>
          <w:tcPr>
            <w:tcW w:w="1276" w:type="dxa"/>
            <w:tcBorders>
              <w:top w:val="nil"/>
              <w:left w:val="nil"/>
              <w:bottom w:val="single" w:sz="4" w:space="0" w:color="auto"/>
              <w:right w:val="single" w:sz="4" w:space="0" w:color="auto"/>
            </w:tcBorders>
            <w:shd w:val="clear" w:color="auto" w:fill="auto"/>
            <w:noWrap/>
            <w:vAlign w:val="center"/>
            <w:hideMark/>
          </w:tcPr>
          <w:p w14:paraId="30135C81"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37 917</w:t>
            </w:r>
          </w:p>
        </w:tc>
        <w:tc>
          <w:tcPr>
            <w:tcW w:w="1418" w:type="dxa"/>
            <w:tcBorders>
              <w:top w:val="nil"/>
              <w:left w:val="nil"/>
              <w:bottom w:val="single" w:sz="4" w:space="0" w:color="auto"/>
              <w:right w:val="single" w:sz="8" w:space="0" w:color="auto"/>
            </w:tcBorders>
            <w:shd w:val="clear" w:color="auto" w:fill="auto"/>
            <w:vAlign w:val="center"/>
            <w:hideMark/>
          </w:tcPr>
          <w:p w14:paraId="71D09441"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36 309</w:t>
            </w:r>
          </w:p>
        </w:tc>
      </w:tr>
      <w:tr w:rsidR="005E6A0A" w:rsidRPr="005E6A0A" w14:paraId="3D6FD68A"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1979559C"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 xml:space="preserve">Bérköltség - EVIN … % </w:t>
            </w:r>
          </w:p>
        </w:tc>
        <w:tc>
          <w:tcPr>
            <w:tcW w:w="1417" w:type="dxa"/>
            <w:tcBorders>
              <w:top w:val="nil"/>
              <w:left w:val="nil"/>
              <w:bottom w:val="single" w:sz="4" w:space="0" w:color="auto"/>
              <w:right w:val="single" w:sz="4" w:space="0" w:color="auto"/>
            </w:tcBorders>
            <w:shd w:val="clear" w:color="auto" w:fill="auto"/>
            <w:noWrap/>
            <w:vAlign w:val="center"/>
            <w:hideMark/>
          </w:tcPr>
          <w:p w14:paraId="5ED5EFAD"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76 200</w:t>
            </w:r>
          </w:p>
        </w:tc>
        <w:tc>
          <w:tcPr>
            <w:tcW w:w="1276" w:type="dxa"/>
            <w:tcBorders>
              <w:top w:val="nil"/>
              <w:left w:val="nil"/>
              <w:bottom w:val="single" w:sz="4" w:space="0" w:color="auto"/>
              <w:right w:val="single" w:sz="4" w:space="0" w:color="auto"/>
            </w:tcBorders>
            <w:shd w:val="clear" w:color="auto" w:fill="auto"/>
            <w:noWrap/>
            <w:vAlign w:val="center"/>
            <w:hideMark/>
          </w:tcPr>
          <w:p w14:paraId="5058ADEB"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128 039</w:t>
            </w:r>
          </w:p>
        </w:tc>
        <w:tc>
          <w:tcPr>
            <w:tcW w:w="1418" w:type="dxa"/>
            <w:tcBorders>
              <w:top w:val="nil"/>
              <w:left w:val="nil"/>
              <w:bottom w:val="single" w:sz="4" w:space="0" w:color="auto"/>
              <w:right w:val="single" w:sz="8" w:space="0" w:color="auto"/>
            </w:tcBorders>
            <w:shd w:val="clear" w:color="auto" w:fill="auto"/>
            <w:vAlign w:val="center"/>
            <w:hideMark/>
          </w:tcPr>
          <w:p w14:paraId="7514E3B0"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103 188</w:t>
            </w:r>
          </w:p>
        </w:tc>
      </w:tr>
      <w:tr w:rsidR="005E6A0A" w:rsidRPr="005E6A0A" w14:paraId="01CB5174"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068652DD"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Személyi jellegű egyéb kifizetések - EVIN … %</w:t>
            </w:r>
          </w:p>
        </w:tc>
        <w:tc>
          <w:tcPr>
            <w:tcW w:w="1417" w:type="dxa"/>
            <w:tcBorders>
              <w:top w:val="nil"/>
              <w:left w:val="nil"/>
              <w:bottom w:val="single" w:sz="4" w:space="0" w:color="auto"/>
              <w:right w:val="single" w:sz="4" w:space="0" w:color="auto"/>
            </w:tcBorders>
            <w:shd w:val="clear" w:color="auto" w:fill="auto"/>
            <w:noWrap/>
            <w:vAlign w:val="center"/>
            <w:hideMark/>
          </w:tcPr>
          <w:p w14:paraId="6A259CE2"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3 750</w:t>
            </w:r>
          </w:p>
        </w:tc>
        <w:tc>
          <w:tcPr>
            <w:tcW w:w="1276" w:type="dxa"/>
            <w:tcBorders>
              <w:top w:val="nil"/>
              <w:left w:val="nil"/>
              <w:bottom w:val="single" w:sz="4" w:space="0" w:color="auto"/>
              <w:right w:val="single" w:sz="4" w:space="0" w:color="auto"/>
            </w:tcBorders>
            <w:shd w:val="clear" w:color="auto" w:fill="auto"/>
            <w:noWrap/>
            <w:vAlign w:val="center"/>
            <w:hideMark/>
          </w:tcPr>
          <w:p w14:paraId="40007792"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4 930</w:t>
            </w:r>
          </w:p>
        </w:tc>
        <w:tc>
          <w:tcPr>
            <w:tcW w:w="1418" w:type="dxa"/>
            <w:tcBorders>
              <w:top w:val="nil"/>
              <w:left w:val="nil"/>
              <w:bottom w:val="single" w:sz="4" w:space="0" w:color="auto"/>
              <w:right w:val="single" w:sz="8" w:space="0" w:color="auto"/>
            </w:tcBorders>
            <w:shd w:val="clear" w:color="auto" w:fill="auto"/>
            <w:vAlign w:val="center"/>
            <w:hideMark/>
          </w:tcPr>
          <w:p w14:paraId="6CF80456"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5 727</w:t>
            </w:r>
          </w:p>
        </w:tc>
      </w:tr>
      <w:tr w:rsidR="005E6A0A" w:rsidRPr="005E6A0A" w14:paraId="4FB2F6B9" w14:textId="77777777" w:rsidTr="00560F3D">
        <w:trPr>
          <w:trHeight w:val="315"/>
        </w:trPr>
        <w:tc>
          <w:tcPr>
            <w:tcW w:w="4810" w:type="dxa"/>
            <w:tcBorders>
              <w:top w:val="nil"/>
              <w:left w:val="single" w:sz="8" w:space="0" w:color="auto"/>
              <w:bottom w:val="single" w:sz="4" w:space="0" w:color="auto"/>
              <w:right w:val="single" w:sz="4" w:space="0" w:color="auto"/>
            </w:tcBorders>
            <w:shd w:val="clear" w:color="auto" w:fill="auto"/>
            <w:noWrap/>
            <w:vAlign w:val="center"/>
            <w:hideMark/>
          </w:tcPr>
          <w:p w14:paraId="70008C81" w14:textId="77777777" w:rsidR="005E6A0A" w:rsidRPr="005E6A0A" w:rsidRDefault="005E6A0A" w:rsidP="005E6A0A">
            <w:pPr>
              <w:widowControl/>
              <w:autoSpaceDE/>
              <w:autoSpaceDN/>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Bérjárulékok - EVIN … %</w:t>
            </w:r>
          </w:p>
        </w:tc>
        <w:tc>
          <w:tcPr>
            <w:tcW w:w="1417" w:type="dxa"/>
            <w:tcBorders>
              <w:top w:val="nil"/>
              <w:left w:val="nil"/>
              <w:bottom w:val="single" w:sz="4" w:space="0" w:color="auto"/>
              <w:right w:val="single" w:sz="4" w:space="0" w:color="auto"/>
            </w:tcBorders>
            <w:shd w:val="clear" w:color="auto" w:fill="auto"/>
            <w:noWrap/>
            <w:vAlign w:val="center"/>
            <w:hideMark/>
          </w:tcPr>
          <w:p w14:paraId="601B2800"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11 921</w:t>
            </w:r>
          </w:p>
        </w:tc>
        <w:tc>
          <w:tcPr>
            <w:tcW w:w="1276" w:type="dxa"/>
            <w:tcBorders>
              <w:top w:val="nil"/>
              <w:left w:val="nil"/>
              <w:bottom w:val="single" w:sz="4" w:space="0" w:color="auto"/>
              <w:right w:val="single" w:sz="4" w:space="0" w:color="auto"/>
            </w:tcBorders>
            <w:shd w:val="clear" w:color="auto" w:fill="auto"/>
            <w:noWrap/>
            <w:vAlign w:val="center"/>
            <w:hideMark/>
          </w:tcPr>
          <w:p w14:paraId="0CDA7194"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18 029</w:t>
            </w:r>
          </w:p>
        </w:tc>
        <w:tc>
          <w:tcPr>
            <w:tcW w:w="1418" w:type="dxa"/>
            <w:tcBorders>
              <w:top w:val="nil"/>
              <w:left w:val="nil"/>
              <w:bottom w:val="single" w:sz="4" w:space="0" w:color="auto"/>
              <w:right w:val="single" w:sz="8" w:space="0" w:color="auto"/>
            </w:tcBorders>
            <w:shd w:val="clear" w:color="auto" w:fill="auto"/>
            <w:vAlign w:val="center"/>
            <w:hideMark/>
          </w:tcPr>
          <w:p w14:paraId="3343EB9F" w14:textId="77777777" w:rsidR="005E6A0A" w:rsidRPr="005E6A0A" w:rsidRDefault="005E6A0A" w:rsidP="005E6A0A">
            <w:pPr>
              <w:widowControl/>
              <w:autoSpaceDE/>
              <w:autoSpaceDN/>
              <w:jc w:val="right"/>
              <w:rPr>
                <w:rFonts w:ascii="Calibri" w:eastAsia="Times New Roman" w:hAnsi="Calibri" w:cs="Calibri"/>
                <w:color w:val="000000"/>
                <w:sz w:val="24"/>
                <w:szCs w:val="24"/>
                <w:lang w:eastAsia="hu-HU"/>
              </w:rPr>
            </w:pPr>
            <w:r w:rsidRPr="005E6A0A">
              <w:rPr>
                <w:rFonts w:ascii="Calibri" w:eastAsia="Times New Roman" w:hAnsi="Calibri" w:cs="Calibri"/>
                <w:color w:val="000000"/>
                <w:sz w:val="24"/>
                <w:szCs w:val="24"/>
                <w:lang w:eastAsia="hu-HU"/>
              </w:rPr>
              <w:t>17 140</w:t>
            </w:r>
          </w:p>
        </w:tc>
      </w:tr>
      <w:tr w:rsidR="005E6A0A" w:rsidRPr="005E6A0A" w14:paraId="396766E5" w14:textId="77777777" w:rsidTr="00560F3D">
        <w:trPr>
          <w:trHeight w:val="330"/>
        </w:trPr>
        <w:tc>
          <w:tcPr>
            <w:tcW w:w="4810" w:type="dxa"/>
            <w:tcBorders>
              <w:top w:val="nil"/>
              <w:left w:val="single" w:sz="8" w:space="0" w:color="auto"/>
              <w:bottom w:val="single" w:sz="8" w:space="0" w:color="auto"/>
              <w:right w:val="single" w:sz="4" w:space="0" w:color="auto"/>
            </w:tcBorders>
            <w:shd w:val="clear" w:color="auto" w:fill="auto"/>
            <w:noWrap/>
            <w:vAlign w:val="center"/>
            <w:hideMark/>
          </w:tcPr>
          <w:p w14:paraId="1FAFE762" w14:textId="77777777" w:rsidR="005E6A0A" w:rsidRPr="005E6A0A" w:rsidRDefault="005E6A0A" w:rsidP="005E6A0A">
            <w:pPr>
              <w:widowControl/>
              <w:autoSpaceDE/>
              <w:autoSpaceDN/>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Összes kiadás:</w:t>
            </w:r>
          </w:p>
        </w:tc>
        <w:tc>
          <w:tcPr>
            <w:tcW w:w="1417" w:type="dxa"/>
            <w:tcBorders>
              <w:top w:val="nil"/>
              <w:left w:val="nil"/>
              <w:bottom w:val="single" w:sz="8" w:space="0" w:color="auto"/>
              <w:right w:val="single" w:sz="4" w:space="0" w:color="auto"/>
            </w:tcBorders>
            <w:shd w:val="clear" w:color="auto" w:fill="auto"/>
            <w:noWrap/>
            <w:vAlign w:val="center"/>
            <w:hideMark/>
          </w:tcPr>
          <w:p w14:paraId="3A4C5BB7" w14:textId="77777777" w:rsidR="005E6A0A" w:rsidRPr="005E6A0A" w:rsidRDefault="005E6A0A" w:rsidP="005E6A0A">
            <w:pPr>
              <w:widowControl/>
              <w:autoSpaceDE/>
              <w:autoSpaceDN/>
              <w:jc w:val="right"/>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720 278</w:t>
            </w:r>
          </w:p>
        </w:tc>
        <w:tc>
          <w:tcPr>
            <w:tcW w:w="1276" w:type="dxa"/>
            <w:tcBorders>
              <w:top w:val="nil"/>
              <w:left w:val="nil"/>
              <w:bottom w:val="single" w:sz="8" w:space="0" w:color="auto"/>
              <w:right w:val="single" w:sz="4" w:space="0" w:color="auto"/>
            </w:tcBorders>
            <w:shd w:val="clear" w:color="auto" w:fill="auto"/>
            <w:noWrap/>
            <w:vAlign w:val="center"/>
            <w:hideMark/>
          </w:tcPr>
          <w:p w14:paraId="1E674F67" w14:textId="77777777" w:rsidR="005E6A0A" w:rsidRPr="005E6A0A" w:rsidRDefault="005E6A0A" w:rsidP="005E6A0A">
            <w:pPr>
              <w:widowControl/>
              <w:autoSpaceDE/>
              <w:autoSpaceDN/>
              <w:jc w:val="right"/>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959 996</w:t>
            </w:r>
          </w:p>
        </w:tc>
        <w:tc>
          <w:tcPr>
            <w:tcW w:w="1418" w:type="dxa"/>
            <w:tcBorders>
              <w:top w:val="nil"/>
              <w:left w:val="nil"/>
              <w:bottom w:val="single" w:sz="8" w:space="0" w:color="auto"/>
              <w:right w:val="single" w:sz="8" w:space="0" w:color="auto"/>
            </w:tcBorders>
            <w:shd w:val="clear" w:color="auto" w:fill="auto"/>
            <w:vAlign w:val="center"/>
            <w:hideMark/>
          </w:tcPr>
          <w:p w14:paraId="7C5DE6AD" w14:textId="77777777" w:rsidR="005E6A0A" w:rsidRPr="005E6A0A" w:rsidRDefault="005E6A0A" w:rsidP="005E6A0A">
            <w:pPr>
              <w:widowControl/>
              <w:autoSpaceDE/>
              <w:autoSpaceDN/>
              <w:jc w:val="right"/>
              <w:rPr>
                <w:rFonts w:ascii="Calibri" w:eastAsia="Times New Roman" w:hAnsi="Calibri" w:cs="Calibri"/>
                <w:b/>
                <w:bCs/>
                <w:color w:val="000000"/>
                <w:sz w:val="24"/>
                <w:szCs w:val="24"/>
                <w:lang w:eastAsia="hu-HU"/>
              </w:rPr>
            </w:pPr>
            <w:r w:rsidRPr="005E6A0A">
              <w:rPr>
                <w:rFonts w:ascii="Calibri" w:eastAsia="Times New Roman" w:hAnsi="Calibri" w:cs="Calibri"/>
                <w:b/>
                <w:bCs/>
                <w:color w:val="000000"/>
                <w:sz w:val="24"/>
                <w:szCs w:val="24"/>
                <w:lang w:eastAsia="hu-HU"/>
              </w:rPr>
              <w:t>1 046 133</w:t>
            </w:r>
          </w:p>
        </w:tc>
      </w:tr>
    </w:tbl>
    <w:p w14:paraId="376AFD4C" w14:textId="420E1B37" w:rsidR="00A40E04" w:rsidRDefault="00A40E04" w:rsidP="004C7715">
      <w:pPr>
        <w:ind w:right="676"/>
        <w:jc w:val="both"/>
      </w:pPr>
    </w:p>
    <w:p w14:paraId="3236D510" w14:textId="666BD5A4" w:rsidR="005E6A0A" w:rsidRDefault="005E6A0A" w:rsidP="004C7715">
      <w:pPr>
        <w:ind w:right="676"/>
        <w:jc w:val="both"/>
      </w:pPr>
    </w:p>
    <w:p w14:paraId="51EFDC94" w14:textId="77777777" w:rsidR="005E6A0A" w:rsidRDefault="005E6A0A" w:rsidP="004C7715">
      <w:pPr>
        <w:ind w:right="676"/>
        <w:jc w:val="both"/>
      </w:pPr>
    </w:p>
    <w:p w14:paraId="08B5C866" w14:textId="324D9275" w:rsidR="00010C98" w:rsidRDefault="001A6F8A" w:rsidP="004C7715">
      <w:pPr>
        <w:ind w:right="676"/>
        <w:jc w:val="both"/>
      </w:pPr>
      <w:r>
        <w:t xml:space="preserve">Az </w:t>
      </w:r>
      <w:r w:rsidRPr="00D363E8">
        <w:rPr>
          <w:b/>
          <w:bCs/>
          <w:u w:val="single"/>
        </w:rPr>
        <w:t>anyagköltségek</w:t>
      </w:r>
      <w:r>
        <w:t xml:space="preserve"> esetében </w:t>
      </w:r>
      <w:r w:rsidR="00171EAA">
        <w:t>a 20 mFt-ot meghaladó megtakarítás a korábban tervezettel alacsonyabb mértékben megvalósuló karbantartási igénnyel, parkolóhelyek felfestésének anyagköltségével és a</w:t>
      </w:r>
      <w:r>
        <w:t xml:space="preserve"> parkolóellenőrök számára </w:t>
      </w:r>
      <w:r w:rsidR="00171EAA">
        <w:t xml:space="preserve">biztosított </w:t>
      </w:r>
      <w:r>
        <w:t>céges mobilkészülé</w:t>
      </w:r>
      <w:r w:rsidR="00385909">
        <w:t>kek</w:t>
      </w:r>
      <w:r>
        <w:t>, illetve azok használat</w:t>
      </w:r>
      <w:r w:rsidR="00385909">
        <w:t>ának költségével függ össze.</w:t>
      </w:r>
    </w:p>
    <w:p w14:paraId="59996E29" w14:textId="6877D82B" w:rsidR="0051796F" w:rsidRDefault="0051796F">
      <w:r>
        <w:br w:type="page"/>
      </w:r>
    </w:p>
    <w:p w14:paraId="58ACE8A0" w14:textId="77777777" w:rsidR="0051796F" w:rsidRDefault="0051796F" w:rsidP="004C7715">
      <w:pPr>
        <w:ind w:right="676"/>
        <w:jc w:val="both"/>
      </w:pPr>
    </w:p>
    <w:p w14:paraId="5F916184" w14:textId="13E5ADB8" w:rsidR="00A9286A" w:rsidRDefault="001A6F8A" w:rsidP="00595438">
      <w:pPr>
        <w:ind w:right="676"/>
        <w:jc w:val="both"/>
      </w:pPr>
      <w:r>
        <w:t xml:space="preserve">Az </w:t>
      </w:r>
      <w:r w:rsidRPr="00D363E8">
        <w:rPr>
          <w:b/>
          <w:bCs/>
          <w:u w:val="single"/>
        </w:rPr>
        <w:t>igénybe vett szolgáltatások</w:t>
      </w:r>
      <w:r w:rsidR="00385909">
        <w:t xml:space="preserve"> várhatóan mintegy 67 millió Ft-tal történő </w:t>
      </w:r>
      <w:r>
        <w:t>növekedésénék oka jelentős részben</w:t>
      </w:r>
      <w:r w:rsidR="00385909">
        <w:t xml:space="preserve"> a mobildíjfizetéssel összefüggő jutalékok (</w:t>
      </w:r>
      <w:r w:rsidR="00595438">
        <w:t>+</w:t>
      </w:r>
      <w:r w:rsidR="00385909">
        <w:t>36 millió Ft), a jogi tanácsadással (behajtással) kapcsolatos költségek (</w:t>
      </w:r>
      <w:r w:rsidR="00595438">
        <w:t>+</w:t>
      </w:r>
      <w:r w:rsidR="00385909">
        <w:t xml:space="preserve">21 millió Ft), valamint a </w:t>
      </w:r>
      <w:r w:rsidR="00595438">
        <w:t>postaköltségek (+15,5 millió Ft) és az érmeszállítás díjának (+8,6 millió Ft) növekedésére vezethető vissza. Mindeközben egyes igénybe vett szolgáltatások esetében a költségek várhatóan elmaradnak az eredetileg tervezett összegektől, amelyet a módosított üzleti terv összeállításakor szintén figyelembe vettünk.</w:t>
      </w:r>
    </w:p>
    <w:p w14:paraId="36066C1E" w14:textId="16654211" w:rsidR="0051796F" w:rsidRDefault="0051796F" w:rsidP="004C7715">
      <w:pPr>
        <w:ind w:right="676"/>
        <w:jc w:val="both"/>
      </w:pPr>
    </w:p>
    <w:p w14:paraId="0CCD2AFB" w14:textId="448E96F1" w:rsidR="001A6F8A" w:rsidRDefault="001A6F8A" w:rsidP="004C7715">
      <w:pPr>
        <w:ind w:right="676"/>
        <w:jc w:val="both"/>
      </w:pPr>
      <w:r>
        <w:t xml:space="preserve">Az </w:t>
      </w:r>
      <w:r w:rsidRPr="00E04A13">
        <w:rPr>
          <w:b/>
          <w:bCs/>
          <w:u w:val="single"/>
        </w:rPr>
        <w:t>egyéb szolgáltatások</w:t>
      </w:r>
      <w:r>
        <w:t xml:space="preserve"> </w:t>
      </w:r>
      <w:r w:rsidR="002E2746">
        <w:t>közel 32 millió Ft-os</w:t>
      </w:r>
      <w:r>
        <w:t xml:space="preserve"> növekedés</w:t>
      </w:r>
      <w:r w:rsidR="002E2746">
        <w:t>ét egyértelműen a jogi tanácsadáson túlmenően, a parkolási díjak behajtásával kapcsolatos egyéb költségeknek a tervezetthez képest történő növekedése eredményezi. (fizetési meghagyás</w:t>
      </w:r>
      <w:r w:rsidR="00D62B56">
        <w:t>ok díja</w:t>
      </w:r>
      <w:r w:rsidR="002E2746">
        <w:t>, végrehajtói díj</w:t>
      </w:r>
      <w:r w:rsidR="00D62B56">
        <w:t>ak</w:t>
      </w:r>
      <w:r w:rsidR="002E2746">
        <w:t>, perköltség stb.)</w:t>
      </w:r>
    </w:p>
    <w:p w14:paraId="03A11A75" w14:textId="77777777" w:rsidR="0051796F" w:rsidRDefault="0051796F" w:rsidP="004C7715">
      <w:pPr>
        <w:ind w:right="676"/>
        <w:jc w:val="both"/>
      </w:pPr>
    </w:p>
    <w:p w14:paraId="35F68699" w14:textId="593F0C6A" w:rsidR="001A6F8A" w:rsidRDefault="001A6F8A" w:rsidP="004C7715">
      <w:pPr>
        <w:ind w:right="676"/>
        <w:jc w:val="both"/>
      </w:pPr>
      <w:r w:rsidRPr="00C84FFC">
        <w:t xml:space="preserve">A </w:t>
      </w:r>
      <w:r w:rsidRPr="00BF240E">
        <w:rPr>
          <w:b/>
          <w:bCs/>
          <w:u w:val="single"/>
        </w:rPr>
        <w:t>személyi jellegű kiadások</w:t>
      </w:r>
      <w:r w:rsidRPr="00C84FFC">
        <w:t xml:space="preserve"> esetében a</w:t>
      </w:r>
      <w:r w:rsidR="00C45C72">
        <w:t>z 5,5 millió Ft</w:t>
      </w:r>
      <w:r w:rsidRPr="00C84FFC">
        <w:t xml:space="preserve"> növekedés a</w:t>
      </w:r>
      <w:r w:rsidR="002E2746">
        <w:t xml:space="preserve"> parkolási idő növekedésével összefüggő műszakpótlékokra, illetve az ezzel kapcsolatban </w:t>
      </w:r>
      <w:r w:rsidR="00C45C72">
        <w:t xml:space="preserve">IV. negyedévben </w:t>
      </w:r>
      <w:r w:rsidR="002E2746">
        <w:t>tervezett</w:t>
      </w:r>
      <w:r w:rsidRPr="00C84FFC">
        <w:t xml:space="preserve"> létszámbővítésre</w:t>
      </w:r>
      <w:r w:rsidR="002E2746">
        <w:t xml:space="preserve"> </w:t>
      </w:r>
      <w:r w:rsidRPr="00C84FFC">
        <w:t>vezethető vissza.</w:t>
      </w:r>
    </w:p>
    <w:p w14:paraId="1D82E02C" w14:textId="77777777" w:rsidR="001A6F8A" w:rsidRPr="00C84FFC" w:rsidRDefault="001A6F8A" w:rsidP="001A6F8A"/>
    <w:p w14:paraId="40DEB041" w14:textId="52DA51F4" w:rsidR="001A6F8A" w:rsidRPr="001F47B4" w:rsidRDefault="001A6F8A" w:rsidP="001F47B4">
      <w:pPr>
        <w:pStyle w:val="Cmsor3"/>
        <w:rPr>
          <w:rFonts w:ascii="Verdana" w:hAnsi="Verdana"/>
          <w:color w:val="auto"/>
          <w:sz w:val="22"/>
          <w:szCs w:val="22"/>
          <w:u w:val="single"/>
        </w:rPr>
      </w:pPr>
      <w:bookmarkStart w:id="34" w:name="_Toc89709919"/>
      <w:bookmarkStart w:id="35" w:name="_Toc96669294"/>
      <w:r w:rsidRPr="001F47B4">
        <w:rPr>
          <w:rFonts w:ascii="Verdana" w:hAnsi="Verdana"/>
          <w:color w:val="auto"/>
          <w:sz w:val="22"/>
          <w:szCs w:val="22"/>
          <w:u w:val="single"/>
        </w:rPr>
        <w:t>Eredmény</w:t>
      </w:r>
      <w:bookmarkEnd w:id="34"/>
      <w:bookmarkEnd w:id="35"/>
    </w:p>
    <w:p w14:paraId="1C86D42F" w14:textId="77777777" w:rsidR="001F47B4" w:rsidRPr="001F47B4" w:rsidRDefault="001F47B4" w:rsidP="001F47B4"/>
    <w:p w14:paraId="3A1C9743" w14:textId="38CC5D11" w:rsidR="001A6F8A" w:rsidRDefault="001C1B20" w:rsidP="00560F3D">
      <w:pPr>
        <w:spacing w:before="120"/>
        <w:ind w:right="676"/>
        <w:jc w:val="both"/>
      </w:pPr>
      <w:r>
        <w:t>A fentiek alapján a</w:t>
      </w:r>
      <w:r w:rsidRPr="00C84FFC">
        <w:t xml:space="preserve"> </w:t>
      </w:r>
      <w:r w:rsidR="001A6F8A" w:rsidRPr="00C84FFC">
        <w:t>parkolási üzletág tervezett eredmény</w:t>
      </w:r>
      <w:r>
        <w:t>e várhatóan 177.113 eFt-</w:t>
      </w:r>
      <w:proofErr w:type="spellStart"/>
      <w:r>
        <w:t>tal</w:t>
      </w:r>
      <w:proofErr w:type="spellEnd"/>
      <w:r>
        <w:t xml:space="preserve"> javul.</w:t>
      </w:r>
    </w:p>
    <w:p w14:paraId="7E017AC7" w14:textId="77777777" w:rsidR="00435872" w:rsidRPr="00C84FFC" w:rsidRDefault="00435872" w:rsidP="001A6F8A"/>
    <w:tbl>
      <w:tblPr>
        <w:tblW w:w="9214" w:type="dxa"/>
        <w:tblCellMar>
          <w:left w:w="70" w:type="dxa"/>
          <w:right w:w="70" w:type="dxa"/>
        </w:tblCellMar>
        <w:tblLook w:val="04A0" w:firstRow="1" w:lastRow="0" w:firstColumn="1" w:lastColumn="0" w:noHBand="0" w:noVBand="1"/>
      </w:tblPr>
      <w:tblGrid>
        <w:gridCol w:w="1820"/>
        <w:gridCol w:w="1866"/>
        <w:gridCol w:w="1843"/>
        <w:gridCol w:w="1842"/>
        <w:gridCol w:w="1843"/>
      </w:tblGrid>
      <w:tr w:rsidR="0051796F" w:rsidRPr="00C84FFC" w14:paraId="0F109BA7" w14:textId="1F63F1A0" w:rsidTr="00B90F85">
        <w:trPr>
          <w:trHeight w:val="300"/>
        </w:trPr>
        <w:tc>
          <w:tcPr>
            <w:tcW w:w="1820" w:type="dxa"/>
            <w:tcBorders>
              <w:top w:val="nil"/>
              <w:left w:val="nil"/>
              <w:bottom w:val="nil"/>
              <w:right w:val="nil"/>
            </w:tcBorders>
            <w:shd w:val="clear" w:color="auto" w:fill="auto"/>
            <w:noWrap/>
            <w:vAlign w:val="bottom"/>
            <w:hideMark/>
          </w:tcPr>
          <w:p w14:paraId="75E3C386" w14:textId="77777777" w:rsidR="0051796F" w:rsidRPr="00C84FFC" w:rsidRDefault="0051796F" w:rsidP="00A75F06">
            <w:pPr>
              <w:rPr>
                <w:rFonts w:ascii="Times New Roman" w:eastAsia="Times New Roman" w:hAnsi="Times New Roman" w:cs="Times New Roman"/>
                <w:sz w:val="24"/>
                <w:szCs w:val="24"/>
                <w:lang w:eastAsia="hu-HU"/>
              </w:rPr>
            </w:pPr>
          </w:p>
        </w:tc>
        <w:tc>
          <w:tcPr>
            <w:tcW w:w="7394" w:type="dxa"/>
            <w:gridSpan w:val="4"/>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839502E" w14:textId="198597D1" w:rsidR="0051796F" w:rsidRPr="00C84FFC" w:rsidRDefault="0051796F" w:rsidP="00A75F06">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Eredmény</w:t>
            </w:r>
          </w:p>
        </w:tc>
      </w:tr>
      <w:tr w:rsidR="0051796F" w:rsidRPr="00C84FFC" w14:paraId="442B3BB8" w14:textId="29C5D25F" w:rsidTr="00560F3D">
        <w:trPr>
          <w:trHeight w:val="315"/>
        </w:trPr>
        <w:tc>
          <w:tcPr>
            <w:tcW w:w="1820" w:type="dxa"/>
            <w:tcBorders>
              <w:top w:val="nil"/>
              <w:left w:val="nil"/>
              <w:bottom w:val="nil"/>
              <w:right w:val="nil"/>
            </w:tcBorders>
            <w:shd w:val="clear" w:color="auto" w:fill="auto"/>
            <w:noWrap/>
            <w:vAlign w:val="bottom"/>
            <w:hideMark/>
          </w:tcPr>
          <w:p w14:paraId="0B301343" w14:textId="77777777" w:rsidR="0051796F" w:rsidRPr="00C84FFC" w:rsidRDefault="0051796F" w:rsidP="00435872">
            <w:pPr>
              <w:jc w:val="center"/>
              <w:rPr>
                <w:rFonts w:ascii="Calibri" w:eastAsia="Times New Roman" w:hAnsi="Calibri" w:cs="Calibri"/>
                <w:b/>
                <w:bCs/>
                <w:color w:val="000000"/>
                <w:lang w:eastAsia="hu-HU"/>
              </w:rPr>
            </w:pPr>
          </w:p>
        </w:tc>
        <w:tc>
          <w:tcPr>
            <w:tcW w:w="1866"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4E5FB0A7" w14:textId="77777777" w:rsidR="0051796F" w:rsidRPr="00C84FFC" w:rsidRDefault="0051796F" w:rsidP="00435872">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2021 terv</w:t>
            </w:r>
          </w:p>
        </w:tc>
        <w:tc>
          <w:tcPr>
            <w:tcW w:w="1843" w:type="dxa"/>
            <w:tcBorders>
              <w:top w:val="single" w:sz="4" w:space="0" w:color="auto"/>
              <w:left w:val="single" w:sz="8" w:space="0" w:color="auto"/>
              <w:bottom w:val="single" w:sz="8" w:space="0" w:color="auto"/>
              <w:right w:val="single" w:sz="8" w:space="0" w:color="000000"/>
            </w:tcBorders>
            <w:shd w:val="clear" w:color="auto" w:fill="auto"/>
            <w:vAlign w:val="center"/>
          </w:tcPr>
          <w:p w14:paraId="4808E32A" w14:textId="77777777" w:rsidR="0051796F" w:rsidRPr="00C84FFC" w:rsidRDefault="0051796F" w:rsidP="00435872">
            <w:pPr>
              <w:jc w:val="cente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 xml:space="preserve">2021 </w:t>
            </w:r>
            <w:r>
              <w:rPr>
                <w:rFonts w:ascii="Calibri" w:eastAsia="Times New Roman" w:hAnsi="Calibri" w:cs="Calibri"/>
                <w:b/>
                <w:bCs/>
                <w:color w:val="000000"/>
                <w:lang w:eastAsia="hu-HU"/>
              </w:rPr>
              <w:t>tény</w:t>
            </w:r>
          </w:p>
        </w:tc>
        <w:tc>
          <w:tcPr>
            <w:tcW w:w="1842" w:type="dxa"/>
            <w:tcBorders>
              <w:top w:val="single" w:sz="4" w:space="0" w:color="auto"/>
              <w:left w:val="single" w:sz="8" w:space="0" w:color="auto"/>
              <w:bottom w:val="single" w:sz="8" w:space="0" w:color="auto"/>
              <w:right w:val="single" w:sz="8" w:space="0" w:color="000000"/>
            </w:tcBorders>
            <w:vAlign w:val="center"/>
          </w:tcPr>
          <w:p w14:paraId="17FF9CB3" w14:textId="3FCED7B7" w:rsidR="0051796F" w:rsidRPr="00C84FFC" w:rsidRDefault="0051796F" w:rsidP="00435872">
            <w:pPr>
              <w:jc w:val="center"/>
              <w:rPr>
                <w:rFonts w:ascii="Calibri" w:eastAsia="Times New Roman" w:hAnsi="Calibri" w:cs="Calibri"/>
                <w:b/>
                <w:bCs/>
                <w:color w:val="000000"/>
                <w:lang w:eastAsia="hu-HU"/>
              </w:rPr>
            </w:pPr>
            <w:proofErr w:type="gramStart"/>
            <w:r w:rsidRPr="00C84FFC">
              <w:rPr>
                <w:rFonts w:ascii="Calibri" w:eastAsia="Times New Roman" w:hAnsi="Calibri" w:cs="Calibri"/>
                <w:b/>
                <w:bCs/>
                <w:color w:val="000000"/>
                <w:lang w:eastAsia="hu-HU"/>
              </w:rPr>
              <w:t xml:space="preserve">2022 </w:t>
            </w:r>
            <w:r>
              <w:rPr>
                <w:rFonts w:ascii="Calibri" w:eastAsia="Times New Roman" w:hAnsi="Calibri" w:cs="Calibri"/>
                <w:b/>
                <w:bCs/>
                <w:color w:val="000000"/>
                <w:lang w:eastAsia="hu-HU"/>
              </w:rPr>
              <w:t xml:space="preserve"> eredeti</w:t>
            </w:r>
            <w:proofErr w:type="gramEnd"/>
            <w:r>
              <w:rPr>
                <w:rFonts w:ascii="Calibri" w:eastAsia="Times New Roman" w:hAnsi="Calibri" w:cs="Calibri"/>
                <w:b/>
                <w:bCs/>
                <w:color w:val="000000"/>
                <w:lang w:eastAsia="hu-HU"/>
              </w:rPr>
              <w:t xml:space="preserve"> </w:t>
            </w:r>
            <w:r w:rsidRPr="00C84FFC">
              <w:rPr>
                <w:rFonts w:ascii="Calibri" w:eastAsia="Times New Roman" w:hAnsi="Calibri" w:cs="Calibri"/>
                <w:b/>
                <w:bCs/>
                <w:color w:val="000000"/>
                <w:lang w:eastAsia="hu-HU"/>
              </w:rPr>
              <w:t>terv</w:t>
            </w:r>
          </w:p>
        </w:tc>
        <w:tc>
          <w:tcPr>
            <w:tcW w:w="1843" w:type="dxa"/>
            <w:tcBorders>
              <w:top w:val="single" w:sz="4" w:space="0" w:color="auto"/>
              <w:left w:val="single" w:sz="8" w:space="0" w:color="auto"/>
              <w:bottom w:val="single" w:sz="8" w:space="0" w:color="auto"/>
              <w:right w:val="single" w:sz="8" w:space="0" w:color="000000"/>
            </w:tcBorders>
            <w:vAlign w:val="center"/>
          </w:tcPr>
          <w:p w14:paraId="2524624D" w14:textId="706C2AB4" w:rsidR="0051796F" w:rsidRPr="00C84FFC" w:rsidRDefault="0051796F" w:rsidP="00435872">
            <w:pPr>
              <w:jc w:val="center"/>
              <w:rPr>
                <w:rFonts w:ascii="Calibri" w:eastAsia="Times New Roman" w:hAnsi="Calibri" w:cs="Calibri"/>
                <w:b/>
                <w:bCs/>
                <w:color w:val="000000"/>
                <w:lang w:eastAsia="hu-HU"/>
              </w:rPr>
            </w:pPr>
            <w:r>
              <w:rPr>
                <w:rFonts w:ascii="Calibri" w:eastAsia="Times New Roman" w:hAnsi="Calibri" w:cs="Calibri"/>
                <w:b/>
                <w:bCs/>
                <w:color w:val="000000"/>
                <w:lang w:eastAsia="hu-HU"/>
              </w:rPr>
              <w:t>2022 módosított terv</w:t>
            </w:r>
          </w:p>
        </w:tc>
      </w:tr>
      <w:tr w:rsidR="0051796F" w:rsidRPr="00C84FFC" w14:paraId="104377CC" w14:textId="7FDBEB00" w:rsidTr="00560F3D">
        <w:trPr>
          <w:trHeight w:val="300"/>
        </w:trPr>
        <w:tc>
          <w:tcPr>
            <w:tcW w:w="182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499EE0A1" w14:textId="77777777" w:rsidR="0051796F" w:rsidRPr="00C84FFC" w:rsidRDefault="0051796F" w:rsidP="00A75F06">
            <w:pPr>
              <w:rPr>
                <w:rFonts w:ascii="Calibri" w:eastAsia="Times New Roman" w:hAnsi="Calibri" w:cs="Calibri"/>
                <w:color w:val="000000"/>
                <w:lang w:eastAsia="hu-HU"/>
              </w:rPr>
            </w:pPr>
            <w:r w:rsidRPr="00C84FFC">
              <w:rPr>
                <w:rFonts w:ascii="Calibri" w:eastAsia="Times New Roman" w:hAnsi="Calibri" w:cs="Calibri"/>
                <w:color w:val="000000"/>
                <w:lang w:eastAsia="hu-HU"/>
              </w:rPr>
              <w:t>Bevételek:</w:t>
            </w:r>
          </w:p>
        </w:tc>
        <w:tc>
          <w:tcPr>
            <w:tcW w:w="1866" w:type="dxa"/>
            <w:tcBorders>
              <w:top w:val="nil"/>
              <w:left w:val="nil"/>
              <w:bottom w:val="single" w:sz="4" w:space="0" w:color="auto"/>
              <w:right w:val="single" w:sz="4" w:space="0" w:color="auto"/>
            </w:tcBorders>
            <w:shd w:val="clear" w:color="auto" w:fill="auto"/>
            <w:noWrap/>
            <w:vAlign w:val="bottom"/>
            <w:hideMark/>
          </w:tcPr>
          <w:p w14:paraId="6F1C51B5"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eastAsia="Times New Roman" w:hAnsiTheme="minorHAnsi" w:cstheme="minorHAnsi"/>
                <w:color w:val="000000"/>
                <w:lang w:eastAsia="hu-HU"/>
              </w:rPr>
              <w:t>1.369.823 eFt</w:t>
            </w:r>
          </w:p>
        </w:tc>
        <w:tc>
          <w:tcPr>
            <w:tcW w:w="1843" w:type="dxa"/>
            <w:tcBorders>
              <w:top w:val="nil"/>
              <w:left w:val="nil"/>
              <w:bottom w:val="single" w:sz="4" w:space="0" w:color="auto"/>
              <w:right w:val="single" w:sz="8" w:space="0" w:color="auto"/>
            </w:tcBorders>
            <w:shd w:val="clear" w:color="auto" w:fill="auto"/>
            <w:noWrap/>
            <w:vAlign w:val="bottom"/>
            <w:hideMark/>
          </w:tcPr>
          <w:p w14:paraId="2C778910"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eastAsia="Times New Roman" w:hAnsiTheme="minorHAnsi" w:cstheme="minorHAnsi"/>
                <w:color w:val="000000"/>
                <w:lang w:eastAsia="hu-HU"/>
              </w:rPr>
              <w:t>939.249 eFt</w:t>
            </w:r>
          </w:p>
        </w:tc>
        <w:tc>
          <w:tcPr>
            <w:tcW w:w="1842" w:type="dxa"/>
            <w:tcBorders>
              <w:top w:val="nil"/>
              <w:left w:val="nil"/>
              <w:bottom w:val="single" w:sz="4" w:space="0" w:color="auto"/>
              <w:right w:val="single" w:sz="8" w:space="0" w:color="auto"/>
            </w:tcBorders>
            <w:vAlign w:val="bottom"/>
          </w:tcPr>
          <w:p w14:paraId="00D1EB7B"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eastAsia="Times New Roman" w:hAnsiTheme="minorHAnsi" w:cstheme="minorHAnsi"/>
                <w:color w:val="000000"/>
                <w:lang w:eastAsia="hu-HU"/>
              </w:rPr>
              <w:t>1.699.990 eFt</w:t>
            </w:r>
          </w:p>
        </w:tc>
        <w:tc>
          <w:tcPr>
            <w:tcW w:w="1843" w:type="dxa"/>
            <w:tcBorders>
              <w:top w:val="nil"/>
              <w:left w:val="nil"/>
              <w:bottom w:val="single" w:sz="4" w:space="0" w:color="auto"/>
              <w:right w:val="single" w:sz="8" w:space="0" w:color="auto"/>
            </w:tcBorders>
          </w:tcPr>
          <w:p w14:paraId="32D366B2" w14:textId="1669324E" w:rsidR="0051796F" w:rsidRPr="00435872" w:rsidRDefault="0051796F" w:rsidP="00A75F06">
            <w:pPr>
              <w:jc w:val="right"/>
              <w:rPr>
                <w:rFonts w:asciiTheme="minorHAnsi" w:eastAsia="Times New Roman" w:hAnsiTheme="minorHAnsi" w:cstheme="minorHAnsi"/>
                <w:color w:val="000000"/>
                <w:lang w:eastAsia="hu-HU"/>
              </w:rPr>
            </w:pPr>
            <w:r>
              <w:rPr>
                <w:rFonts w:asciiTheme="minorHAnsi" w:eastAsia="Times New Roman" w:hAnsiTheme="minorHAnsi" w:cstheme="minorHAnsi"/>
                <w:color w:val="000000"/>
                <w:lang w:eastAsia="hu-HU"/>
              </w:rPr>
              <w:t>1.963.240 e Ft</w:t>
            </w:r>
          </w:p>
        </w:tc>
      </w:tr>
      <w:tr w:rsidR="0051796F" w:rsidRPr="00C84FFC" w14:paraId="11E77FB8" w14:textId="731792B4" w:rsidTr="00560F3D">
        <w:trPr>
          <w:trHeight w:val="300"/>
        </w:trPr>
        <w:tc>
          <w:tcPr>
            <w:tcW w:w="1820" w:type="dxa"/>
            <w:tcBorders>
              <w:top w:val="nil"/>
              <w:left w:val="single" w:sz="8" w:space="0" w:color="auto"/>
              <w:bottom w:val="single" w:sz="4" w:space="0" w:color="auto"/>
              <w:right w:val="single" w:sz="8" w:space="0" w:color="auto"/>
            </w:tcBorders>
            <w:shd w:val="clear" w:color="auto" w:fill="auto"/>
            <w:noWrap/>
            <w:vAlign w:val="bottom"/>
            <w:hideMark/>
          </w:tcPr>
          <w:p w14:paraId="075783BD" w14:textId="77777777" w:rsidR="0051796F" w:rsidRPr="00C84FFC" w:rsidRDefault="0051796F" w:rsidP="00A75F06">
            <w:pPr>
              <w:rPr>
                <w:rFonts w:ascii="Calibri" w:eastAsia="Times New Roman" w:hAnsi="Calibri" w:cs="Calibri"/>
                <w:color w:val="000000"/>
                <w:lang w:eastAsia="hu-HU"/>
              </w:rPr>
            </w:pPr>
            <w:r w:rsidRPr="00C84FFC">
              <w:rPr>
                <w:rFonts w:ascii="Calibri" w:eastAsia="Times New Roman" w:hAnsi="Calibri" w:cs="Calibri"/>
                <w:color w:val="000000"/>
                <w:lang w:eastAsia="hu-HU"/>
              </w:rPr>
              <w:t>Kiadások</w:t>
            </w:r>
          </w:p>
        </w:tc>
        <w:tc>
          <w:tcPr>
            <w:tcW w:w="1866" w:type="dxa"/>
            <w:tcBorders>
              <w:top w:val="nil"/>
              <w:left w:val="nil"/>
              <w:bottom w:val="single" w:sz="4" w:space="0" w:color="auto"/>
              <w:right w:val="single" w:sz="4" w:space="0" w:color="auto"/>
            </w:tcBorders>
            <w:shd w:val="clear" w:color="auto" w:fill="auto"/>
            <w:noWrap/>
            <w:vAlign w:val="bottom"/>
            <w:hideMark/>
          </w:tcPr>
          <w:p w14:paraId="4365923C"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hAnsiTheme="minorHAnsi" w:cstheme="minorHAnsi"/>
              </w:rPr>
              <w:t>720.277 eFt</w:t>
            </w:r>
          </w:p>
        </w:tc>
        <w:tc>
          <w:tcPr>
            <w:tcW w:w="1843" w:type="dxa"/>
            <w:tcBorders>
              <w:top w:val="nil"/>
              <w:left w:val="nil"/>
              <w:bottom w:val="single" w:sz="4" w:space="0" w:color="auto"/>
              <w:right w:val="single" w:sz="8" w:space="0" w:color="auto"/>
            </w:tcBorders>
            <w:shd w:val="clear" w:color="auto" w:fill="auto"/>
            <w:noWrap/>
            <w:vAlign w:val="bottom"/>
            <w:hideMark/>
          </w:tcPr>
          <w:p w14:paraId="2AA7DC35"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hAnsiTheme="minorHAnsi" w:cstheme="minorHAnsi"/>
              </w:rPr>
              <w:t>720.277 eFt</w:t>
            </w:r>
          </w:p>
        </w:tc>
        <w:tc>
          <w:tcPr>
            <w:tcW w:w="1842" w:type="dxa"/>
            <w:tcBorders>
              <w:top w:val="nil"/>
              <w:left w:val="nil"/>
              <w:bottom w:val="single" w:sz="4" w:space="0" w:color="auto"/>
              <w:right w:val="single" w:sz="8" w:space="0" w:color="auto"/>
            </w:tcBorders>
            <w:vAlign w:val="bottom"/>
          </w:tcPr>
          <w:p w14:paraId="04B7954E" w14:textId="77777777" w:rsidR="0051796F" w:rsidRPr="00435872" w:rsidRDefault="0051796F" w:rsidP="00A75F06">
            <w:pPr>
              <w:jc w:val="right"/>
              <w:rPr>
                <w:rFonts w:asciiTheme="minorHAnsi" w:eastAsia="Times New Roman" w:hAnsiTheme="minorHAnsi" w:cstheme="minorHAnsi"/>
                <w:color w:val="000000"/>
                <w:lang w:eastAsia="hu-HU"/>
              </w:rPr>
            </w:pPr>
            <w:r w:rsidRPr="00435872">
              <w:rPr>
                <w:rFonts w:asciiTheme="minorHAnsi" w:hAnsiTheme="minorHAnsi" w:cstheme="minorHAnsi"/>
              </w:rPr>
              <w:t xml:space="preserve">959.996 </w:t>
            </w:r>
            <w:r w:rsidRPr="00435872">
              <w:rPr>
                <w:rFonts w:asciiTheme="minorHAnsi" w:eastAsia="Times New Roman" w:hAnsiTheme="minorHAnsi" w:cstheme="minorHAnsi"/>
                <w:color w:val="000000"/>
                <w:lang w:eastAsia="hu-HU"/>
              </w:rPr>
              <w:t>eFt</w:t>
            </w:r>
          </w:p>
        </w:tc>
        <w:tc>
          <w:tcPr>
            <w:tcW w:w="1843" w:type="dxa"/>
            <w:tcBorders>
              <w:top w:val="nil"/>
              <w:left w:val="nil"/>
              <w:bottom w:val="single" w:sz="4" w:space="0" w:color="auto"/>
              <w:right w:val="single" w:sz="8" w:space="0" w:color="auto"/>
            </w:tcBorders>
          </w:tcPr>
          <w:p w14:paraId="6A63EDA3" w14:textId="00466CFB" w:rsidR="0051796F" w:rsidRPr="00435872" w:rsidRDefault="0051796F" w:rsidP="00A75F06">
            <w:pPr>
              <w:jc w:val="right"/>
              <w:rPr>
                <w:rFonts w:asciiTheme="minorHAnsi" w:hAnsiTheme="minorHAnsi" w:cstheme="minorHAnsi"/>
              </w:rPr>
            </w:pPr>
            <w:r>
              <w:rPr>
                <w:rFonts w:asciiTheme="minorHAnsi" w:hAnsiTheme="minorHAnsi" w:cstheme="minorHAnsi"/>
              </w:rPr>
              <w:t>1.046.133 eFt</w:t>
            </w:r>
          </w:p>
        </w:tc>
      </w:tr>
      <w:tr w:rsidR="0051796F" w:rsidRPr="00C84FFC" w14:paraId="3EB74DD2" w14:textId="16A075F0" w:rsidTr="00560F3D">
        <w:trPr>
          <w:trHeight w:val="315"/>
        </w:trPr>
        <w:tc>
          <w:tcPr>
            <w:tcW w:w="1820" w:type="dxa"/>
            <w:tcBorders>
              <w:top w:val="nil"/>
              <w:left w:val="single" w:sz="8" w:space="0" w:color="auto"/>
              <w:bottom w:val="single" w:sz="8" w:space="0" w:color="auto"/>
              <w:right w:val="single" w:sz="8" w:space="0" w:color="auto"/>
            </w:tcBorders>
            <w:shd w:val="clear" w:color="auto" w:fill="auto"/>
            <w:noWrap/>
            <w:vAlign w:val="bottom"/>
            <w:hideMark/>
          </w:tcPr>
          <w:p w14:paraId="791B7A06" w14:textId="77777777" w:rsidR="0051796F" w:rsidRPr="00C84FFC" w:rsidRDefault="0051796F" w:rsidP="00A75F06">
            <w:pPr>
              <w:rPr>
                <w:rFonts w:ascii="Calibri" w:eastAsia="Times New Roman" w:hAnsi="Calibri" w:cs="Calibri"/>
                <w:b/>
                <w:bCs/>
                <w:color w:val="000000"/>
                <w:lang w:eastAsia="hu-HU"/>
              </w:rPr>
            </w:pPr>
            <w:r w:rsidRPr="00C84FFC">
              <w:rPr>
                <w:rFonts w:ascii="Calibri" w:eastAsia="Times New Roman" w:hAnsi="Calibri" w:cs="Calibri"/>
                <w:b/>
                <w:bCs/>
                <w:color w:val="000000"/>
                <w:lang w:eastAsia="hu-HU"/>
              </w:rPr>
              <w:t>Eredmény</w:t>
            </w:r>
          </w:p>
        </w:tc>
        <w:tc>
          <w:tcPr>
            <w:tcW w:w="1866" w:type="dxa"/>
            <w:tcBorders>
              <w:top w:val="nil"/>
              <w:left w:val="nil"/>
              <w:bottom w:val="single" w:sz="8" w:space="0" w:color="auto"/>
              <w:right w:val="single" w:sz="4" w:space="0" w:color="auto"/>
            </w:tcBorders>
            <w:shd w:val="clear" w:color="auto" w:fill="auto"/>
            <w:noWrap/>
            <w:vAlign w:val="bottom"/>
            <w:hideMark/>
          </w:tcPr>
          <w:p w14:paraId="2E25439F" w14:textId="77777777" w:rsidR="0051796F" w:rsidRPr="00435872" w:rsidRDefault="0051796F" w:rsidP="00A75F06">
            <w:pPr>
              <w:jc w:val="right"/>
              <w:rPr>
                <w:rFonts w:asciiTheme="minorHAnsi" w:eastAsia="Times New Roman" w:hAnsiTheme="minorHAnsi" w:cstheme="minorHAnsi"/>
                <w:b/>
                <w:bCs/>
                <w:color w:val="000000"/>
                <w:lang w:eastAsia="hu-HU"/>
              </w:rPr>
            </w:pPr>
            <w:r w:rsidRPr="00435872">
              <w:rPr>
                <w:rFonts w:asciiTheme="minorHAnsi" w:eastAsia="Times New Roman" w:hAnsiTheme="minorHAnsi" w:cstheme="minorHAnsi"/>
                <w:b/>
                <w:bCs/>
                <w:color w:val="000000"/>
                <w:lang w:eastAsia="hu-HU"/>
              </w:rPr>
              <w:t>649.546 eFt</w:t>
            </w:r>
          </w:p>
        </w:tc>
        <w:tc>
          <w:tcPr>
            <w:tcW w:w="1843" w:type="dxa"/>
            <w:tcBorders>
              <w:top w:val="nil"/>
              <w:left w:val="nil"/>
              <w:bottom w:val="single" w:sz="8" w:space="0" w:color="auto"/>
              <w:right w:val="single" w:sz="8" w:space="0" w:color="auto"/>
            </w:tcBorders>
            <w:shd w:val="clear" w:color="auto" w:fill="auto"/>
            <w:noWrap/>
            <w:vAlign w:val="bottom"/>
            <w:hideMark/>
          </w:tcPr>
          <w:p w14:paraId="66A005F3" w14:textId="77777777" w:rsidR="0051796F" w:rsidRPr="00435872" w:rsidRDefault="0051796F" w:rsidP="00A75F06">
            <w:pPr>
              <w:jc w:val="right"/>
              <w:rPr>
                <w:rFonts w:asciiTheme="minorHAnsi" w:eastAsia="Times New Roman" w:hAnsiTheme="minorHAnsi" w:cstheme="minorHAnsi"/>
                <w:b/>
                <w:bCs/>
                <w:color w:val="000000"/>
                <w:lang w:eastAsia="hu-HU"/>
              </w:rPr>
            </w:pPr>
            <w:r w:rsidRPr="00435872">
              <w:rPr>
                <w:rFonts w:asciiTheme="minorHAnsi" w:eastAsia="Times New Roman" w:hAnsiTheme="minorHAnsi" w:cstheme="minorHAnsi"/>
                <w:b/>
                <w:bCs/>
                <w:color w:val="000000"/>
                <w:lang w:eastAsia="hu-HU"/>
              </w:rPr>
              <w:t>218.972 eFt</w:t>
            </w:r>
          </w:p>
        </w:tc>
        <w:tc>
          <w:tcPr>
            <w:tcW w:w="1842" w:type="dxa"/>
            <w:tcBorders>
              <w:top w:val="nil"/>
              <w:left w:val="nil"/>
              <w:bottom w:val="single" w:sz="8" w:space="0" w:color="auto"/>
              <w:right w:val="single" w:sz="8" w:space="0" w:color="auto"/>
            </w:tcBorders>
            <w:vAlign w:val="bottom"/>
          </w:tcPr>
          <w:p w14:paraId="2411174B" w14:textId="77777777" w:rsidR="0051796F" w:rsidRPr="00435872" w:rsidRDefault="0051796F" w:rsidP="00A75F06">
            <w:pPr>
              <w:jc w:val="right"/>
              <w:rPr>
                <w:rFonts w:asciiTheme="minorHAnsi" w:eastAsia="Times New Roman" w:hAnsiTheme="minorHAnsi" w:cstheme="minorHAnsi"/>
                <w:b/>
                <w:bCs/>
                <w:color w:val="000000"/>
                <w:lang w:eastAsia="hu-HU"/>
              </w:rPr>
            </w:pPr>
            <w:r w:rsidRPr="00435872">
              <w:rPr>
                <w:rFonts w:asciiTheme="minorHAnsi" w:eastAsia="Times New Roman" w:hAnsiTheme="minorHAnsi" w:cstheme="minorHAnsi"/>
                <w:b/>
                <w:bCs/>
                <w:color w:val="000000"/>
                <w:lang w:eastAsia="hu-HU"/>
              </w:rPr>
              <w:t>739.994 eFt</w:t>
            </w:r>
          </w:p>
        </w:tc>
        <w:tc>
          <w:tcPr>
            <w:tcW w:w="1843" w:type="dxa"/>
            <w:tcBorders>
              <w:top w:val="nil"/>
              <w:left w:val="nil"/>
              <w:bottom w:val="single" w:sz="8" w:space="0" w:color="auto"/>
              <w:right w:val="single" w:sz="8" w:space="0" w:color="auto"/>
            </w:tcBorders>
          </w:tcPr>
          <w:p w14:paraId="24D924FF" w14:textId="2C9E413D" w:rsidR="0051796F" w:rsidRPr="00435872" w:rsidRDefault="001C1B20" w:rsidP="00A75F06">
            <w:pPr>
              <w:jc w:val="right"/>
              <w:rPr>
                <w:rFonts w:asciiTheme="minorHAnsi" w:eastAsia="Times New Roman" w:hAnsiTheme="minorHAnsi" w:cstheme="minorHAnsi"/>
                <w:b/>
                <w:bCs/>
                <w:color w:val="000000"/>
                <w:lang w:eastAsia="hu-HU"/>
              </w:rPr>
            </w:pPr>
            <w:r>
              <w:rPr>
                <w:rFonts w:asciiTheme="minorHAnsi" w:eastAsia="Times New Roman" w:hAnsiTheme="minorHAnsi" w:cstheme="minorHAnsi"/>
                <w:b/>
                <w:bCs/>
                <w:color w:val="000000"/>
                <w:lang w:eastAsia="hu-HU"/>
              </w:rPr>
              <w:t>917.107 eFt</w:t>
            </w:r>
          </w:p>
        </w:tc>
      </w:tr>
    </w:tbl>
    <w:p w14:paraId="19314643" w14:textId="77777777" w:rsidR="001A6F8A" w:rsidRPr="00C84FFC" w:rsidRDefault="001A6F8A" w:rsidP="001A6F8A"/>
    <w:p w14:paraId="78A81E10" w14:textId="77777777" w:rsidR="001A6F8A" w:rsidRPr="008D1F18" w:rsidRDefault="001A6F8A" w:rsidP="004C7715">
      <w:pPr>
        <w:ind w:right="676"/>
        <w:rPr>
          <w:rStyle w:val="Kiemels2"/>
          <w:b w:val="0"/>
          <w:bCs w:val="0"/>
        </w:rPr>
      </w:pPr>
    </w:p>
    <w:p w14:paraId="64963CA7" w14:textId="379B5244" w:rsidR="001A6F8A" w:rsidRPr="001F47B4" w:rsidRDefault="001A6F8A" w:rsidP="001F47B4">
      <w:pPr>
        <w:pStyle w:val="Cmsor3"/>
        <w:rPr>
          <w:rFonts w:ascii="Verdana" w:hAnsi="Verdana"/>
          <w:color w:val="auto"/>
          <w:sz w:val="22"/>
          <w:szCs w:val="22"/>
          <w:u w:val="single"/>
        </w:rPr>
      </w:pPr>
      <w:bookmarkStart w:id="36" w:name="_Toc89709920"/>
      <w:bookmarkStart w:id="37" w:name="_Toc96669295"/>
      <w:r w:rsidRPr="001F47B4">
        <w:rPr>
          <w:rFonts w:ascii="Verdana" w:hAnsi="Verdana"/>
          <w:color w:val="auto"/>
          <w:sz w:val="22"/>
          <w:szCs w:val="22"/>
          <w:u w:val="single"/>
        </w:rPr>
        <w:t>2022. évi felhalmozási igény</w:t>
      </w:r>
      <w:bookmarkEnd w:id="36"/>
      <w:bookmarkEnd w:id="37"/>
    </w:p>
    <w:p w14:paraId="5CAFCF39" w14:textId="77777777" w:rsidR="001F47B4" w:rsidRPr="001F47B4" w:rsidRDefault="001F47B4" w:rsidP="001F47B4"/>
    <w:p w14:paraId="72A1C1C9" w14:textId="03AEE3CB" w:rsidR="001A6F8A" w:rsidRDefault="001A6F8A" w:rsidP="004C7715">
      <w:pPr>
        <w:pStyle w:val="Listaszerbekezds"/>
        <w:widowControl/>
        <w:numPr>
          <w:ilvl w:val="0"/>
          <w:numId w:val="20"/>
        </w:numPr>
        <w:autoSpaceDE/>
        <w:autoSpaceDN/>
        <w:spacing w:after="160" w:line="259" w:lineRule="auto"/>
        <w:ind w:left="709" w:right="676" w:hanging="283"/>
        <w:contextualSpacing/>
        <w:jc w:val="both"/>
      </w:pPr>
      <w:r>
        <w:t>elektromos töltőhelyek kialakítása</w:t>
      </w:r>
      <w:r w:rsidR="00791DDA">
        <w:t xml:space="preserve"> </w:t>
      </w:r>
      <w:r>
        <w:t>– 38.100 eFt</w:t>
      </w:r>
    </w:p>
    <w:p w14:paraId="4294242C" w14:textId="62075747" w:rsidR="001A6F8A" w:rsidRDefault="001A6F8A" w:rsidP="004C7715">
      <w:pPr>
        <w:pStyle w:val="Listaszerbekezds"/>
        <w:widowControl/>
        <w:numPr>
          <w:ilvl w:val="0"/>
          <w:numId w:val="20"/>
        </w:numPr>
        <w:autoSpaceDE/>
        <w:autoSpaceDN/>
        <w:spacing w:after="160" w:line="259" w:lineRule="auto"/>
        <w:ind w:left="709" w:right="676" w:hanging="283"/>
        <w:contextualSpacing/>
        <w:jc w:val="both"/>
      </w:pPr>
      <w:r>
        <w:t>informatikai eszközök cseréje (PC, laptop, kiegészítő eszközök) – 6.350 eFt</w:t>
      </w:r>
    </w:p>
    <w:p w14:paraId="4EAC170F" w14:textId="3AFD733D" w:rsidR="002951DD" w:rsidRDefault="002951DD" w:rsidP="002951DD">
      <w:pPr>
        <w:pStyle w:val="Listaszerbekezds"/>
        <w:widowControl/>
        <w:autoSpaceDE/>
        <w:autoSpaceDN/>
        <w:spacing w:after="160" w:line="259" w:lineRule="auto"/>
        <w:ind w:left="709" w:right="676" w:firstLine="0"/>
        <w:contextualSpacing/>
        <w:jc w:val="both"/>
      </w:pPr>
    </w:p>
    <w:p w14:paraId="283ACE5E" w14:textId="77777777" w:rsidR="002951DD" w:rsidRPr="00C84FFC" w:rsidRDefault="002951DD" w:rsidP="002951DD">
      <w:pPr>
        <w:pStyle w:val="Listaszerbekezds"/>
        <w:widowControl/>
        <w:autoSpaceDE/>
        <w:autoSpaceDN/>
        <w:spacing w:after="160" w:line="259" w:lineRule="auto"/>
        <w:ind w:left="709" w:right="676" w:firstLine="0"/>
        <w:contextualSpacing/>
        <w:jc w:val="both"/>
      </w:pPr>
    </w:p>
    <w:p w14:paraId="483C720B" w14:textId="6A4C3FFE" w:rsidR="0051796F" w:rsidRDefault="0051796F">
      <w:r>
        <w:br w:type="page"/>
      </w:r>
    </w:p>
    <w:p w14:paraId="0A3FF3EE" w14:textId="77777777" w:rsidR="001A6F8A" w:rsidRPr="00F27D99" w:rsidRDefault="001A6F8A" w:rsidP="001A6F8A"/>
    <w:p w14:paraId="305B8DDE" w14:textId="40FEB2CE" w:rsidR="00BA7A16" w:rsidRDefault="001A6F8A" w:rsidP="002951DD">
      <w:pPr>
        <w:pStyle w:val="Cmsor1"/>
      </w:pPr>
      <w:bookmarkStart w:id="38" w:name="_Toc96669296"/>
      <w:r w:rsidRPr="0016274B">
        <w:rPr>
          <w:noProof/>
        </w:rPr>
        <w:drawing>
          <wp:anchor distT="0" distB="0" distL="0" distR="0" simplePos="0" relativeHeight="487387136" behindDoc="1" locked="0" layoutInCell="1" allowOverlap="1" wp14:anchorId="6F254564" wp14:editId="0A7DD721">
            <wp:simplePos x="0" y="0"/>
            <wp:positionH relativeFrom="page">
              <wp:align>right</wp:align>
            </wp:positionH>
            <wp:positionV relativeFrom="page">
              <wp:posOffset>7491730</wp:posOffset>
            </wp:positionV>
            <wp:extent cx="7555992" cy="3421379"/>
            <wp:effectExtent l="0" t="0" r="6985" b="8255"/>
            <wp:wrapNone/>
            <wp:docPr id="48" name="image2.png"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png" descr="A képen szöveg látható&#10;&#10;Automatikusan generált leírás"/>
                    <pic:cNvPicPr/>
                  </pic:nvPicPr>
                  <pic:blipFill>
                    <a:blip r:embed="rId8" cstate="print"/>
                    <a:stretch>
                      <a:fillRect/>
                    </a:stretch>
                  </pic:blipFill>
                  <pic:spPr>
                    <a:xfrm>
                      <a:off x="0" y="0"/>
                      <a:ext cx="7555992" cy="3421379"/>
                    </a:xfrm>
                    <a:prstGeom prst="rect">
                      <a:avLst/>
                    </a:prstGeom>
                  </pic:spPr>
                </pic:pic>
              </a:graphicData>
            </a:graphic>
          </wp:anchor>
        </w:drawing>
      </w:r>
      <w:r w:rsidR="002951DD" w:rsidRPr="0016274B">
        <w:t>Összegzés</w:t>
      </w:r>
      <w:bookmarkEnd w:id="38"/>
    </w:p>
    <w:p w14:paraId="061E5232" w14:textId="5443F4F8" w:rsidR="001F53BF" w:rsidRDefault="001F53BF" w:rsidP="002951DD">
      <w:pPr>
        <w:pStyle w:val="Cmsor1"/>
      </w:pPr>
    </w:p>
    <w:p w14:paraId="4E19BFC2" w14:textId="47F92F02" w:rsidR="001F53BF" w:rsidRPr="001F53BF" w:rsidRDefault="001F53BF" w:rsidP="001F53BF">
      <w:pPr>
        <w:pStyle w:val="Cmsor1"/>
        <w:ind w:left="142" w:firstLine="0"/>
        <w:jc w:val="both"/>
        <w:rPr>
          <w:b w:val="0"/>
          <w:bCs w:val="0"/>
        </w:rPr>
      </w:pPr>
      <w:r w:rsidRPr="001F53BF">
        <w:rPr>
          <w:b w:val="0"/>
          <w:bCs w:val="0"/>
        </w:rPr>
        <w:t>Az alábbi táblázat tartalmazza az EVIN Nonprofit Zrt. ingatlangazdálkodási és parkolási</w:t>
      </w:r>
      <w:r>
        <w:rPr>
          <w:b w:val="0"/>
          <w:bCs w:val="0"/>
        </w:rPr>
        <w:t xml:space="preserve"> </w:t>
      </w:r>
      <w:r w:rsidRPr="001F53BF">
        <w:rPr>
          <w:b w:val="0"/>
          <w:bCs w:val="0"/>
        </w:rPr>
        <w:t>feladatainak ellátásra vonatkozó költségeit egységes formában.</w:t>
      </w:r>
      <w:r w:rsidR="0051796F">
        <w:rPr>
          <w:b w:val="0"/>
          <w:bCs w:val="0"/>
        </w:rPr>
        <w:t xml:space="preserve"> </w:t>
      </w:r>
      <w:r w:rsidR="0051796F" w:rsidRPr="00560F3D">
        <w:rPr>
          <w:b w:val="0"/>
          <w:bCs w:val="0"/>
          <w:sz w:val="20"/>
          <w:szCs w:val="20"/>
        </w:rPr>
        <w:t>(adatok eFt-ban)</w:t>
      </w:r>
    </w:p>
    <w:p w14:paraId="3B7366B3" w14:textId="2B2D78E8" w:rsidR="001F53BF" w:rsidRPr="001F53BF" w:rsidRDefault="001F53BF" w:rsidP="001F53BF">
      <w:pPr>
        <w:pStyle w:val="Cmsor1"/>
        <w:ind w:left="0" w:firstLine="0"/>
        <w:rPr>
          <w:b w:val="0"/>
          <w:bCs w:val="0"/>
        </w:rPr>
      </w:pPr>
      <w:r>
        <w:tab/>
      </w:r>
    </w:p>
    <w:p w14:paraId="45D8D41E" w14:textId="64B3AAD7" w:rsidR="001F53BF" w:rsidRPr="0016274B" w:rsidRDefault="0051796F" w:rsidP="001F53BF">
      <w:pPr>
        <w:pStyle w:val="Cmsor1"/>
        <w:jc w:val="center"/>
      </w:pPr>
      <w:r w:rsidRPr="0051796F">
        <w:rPr>
          <w:noProof/>
        </w:rPr>
        <w:drawing>
          <wp:inline distT="0" distB="0" distL="0" distR="0" wp14:anchorId="0CBCA832" wp14:editId="755A0062">
            <wp:extent cx="6280150" cy="7546340"/>
            <wp:effectExtent l="0" t="0" r="635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80150" cy="7546340"/>
                    </a:xfrm>
                    <a:prstGeom prst="rect">
                      <a:avLst/>
                    </a:prstGeom>
                    <a:noFill/>
                    <a:ln>
                      <a:noFill/>
                    </a:ln>
                  </pic:spPr>
                </pic:pic>
              </a:graphicData>
            </a:graphic>
          </wp:inline>
        </w:drawing>
      </w:r>
    </w:p>
    <w:sectPr w:rsidR="001F53BF" w:rsidRPr="0016274B">
      <w:pgSz w:w="11910" w:h="16840"/>
      <w:pgMar w:top="1660" w:right="720" w:bottom="0" w:left="1300" w:header="69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AA732" w14:textId="77777777" w:rsidR="00CD5D4E" w:rsidRDefault="00CD5D4E">
      <w:r>
        <w:separator/>
      </w:r>
    </w:p>
  </w:endnote>
  <w:endnote w:type="continuationSeparator" w:id="0">
    <w:p w14:paraId="448506A5" w14:textId="77777777" w:rsidR="00CD5D4E" w:rsidRDefault="00CD5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Calibri"/>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EE08" w14:textId="77777777" w:rsidR="00CD5D4E" w:rsidRDefault="00CD5D4E">
      <w:r>
        <w:separator/>
      </w:r>
    </w:p>
  </w:footnote>
  <w:footnote w:type="continuationSeparator" w:id="0">
    <w:p w14:paraId="586912BF" w14:textId="77777777" w:rsidR="00CD5D4E" w:rsidRDefault="00CD5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5909" w14:textId="4A77F90C" w:rsidR="00452736" w:rsidRDefault="00B27735" w:rsidP="002111DE">
    <w:pPr>
      <w:pStyle w:val="lfej"/>
      <w:jc w:val="center"/>
    </w:pPr>
    <w:r>
      <w:rPr>
        <w:noProof/>
      </w:rPr>
      <w:drawing>
        <wp:anchor distT="0" distB="0" distL="114300" distR="114300" simplePos="0" relativeHeight="251658240" behindDoc="1" locked="0" layoutInCell="1" allowOverlap="1" wp14:anchorId="669846CC" wp14:editId="03E717A5">
          <wp:simplePos x="0" y="0"/>
          <wp:positionH relativeFrom="page">
            <wp:align>left</wp:align>
          </wp:positionH>
          <wp:positionV relativeFrom="paragraph">
            <wp:posOffset>-443230</wp:posOffset>
          </wp:positionV>
          <wp:extent cx="6280150" cy="1122680"/>
          <wp:effectExtent l="0" t="0" r="0" b="0"/>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0" cy="1122680"/>
                  </a:xfrm>
                  <a:prstGeom prst="rect">
                    <a:avLst/>
                  </a:prstGeom>
                  <a:noFill/>
                </pic:spPr>
              </pic:pic>
            </a:graphicData>
          </a:graphic>
          <wp14:sizeRelH relativeFrom="page">
            <wp14:pctWidth>0</wp14:pctWidth>
          </wp14:sizeRelH>
          <wp14:sizeRelV relativeFrom="page">
            <wp14:pctHeight>0</wp14:pctHeight>
          </wp14:sizeRelV>
        </wp:anchor>
      </w:drawing>
    </w:r>
  </w:p>
  <w:p w14:paraId="721E7471" w14:textId="301C79B1" w:rsidR="0076420C" w:rsidRDefault="0076420C">
    <w:pPr>
      <w:pStyle w:val="Szvegtrzs"/>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0384"/>
    <w:multiLevelType w:val="hybridMultilevel"/>
    <w:tmpl w:val="83001D4E"/>
    <w:lvl w:ilvl="0" w:tplc="040E0013">
      <w:start w:val="1"/>
      <w:numFmt w:val="upperRoman"/>
      <w:lvlText w:val="%1."/>
      <w:lvlJc w:val="right"/>
      <w:pPr>
        <w:ind w:left="1079" w:hanging="360"/>
      </w:p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1" w15:restartNumberingAfterBreak="0">
    <w:nsid w:val="06AA4EDC"/>
    <w:multiLevelType w:val="hybridMultilevel"/>
    <w:tmpl w:val="8BD03772"/>
    <w:lvl w:ilvl="0" w:tplc="8E5A80E0">
      <w:start w:val="1"/>
      <w:numFmt w:val="upperRoman"/>
      <w:lvlText w:val="%1."/>
      <w:lvlJc w:val="left"/>
      <w:pPr>
        <w:ind w:left="836" w:hanging="720"/>
      </w:pPr>
      <w:rPr>
        <w:rFonts w:hint="default"/>
      </w:rPr>
    </w:lvl>
    <w:lvl w:ilvl="1" w:tplc="040E0019" w:tentative="1">
      <w:start w:val="1"/>
      <w:numFmt w:val="lowerLetter"/>
      <w:lvlText w:val="%2."/>
      <w:lvlJc w:val="left"/>
      <w:pPr>
        <w:ind w:left="1196" w:hanging="360"/>
      </w:pPr>
    </w:lvl>
    <w:lvl w:ilvl="2" w:tplc="040E001B" w:tentative="1">
      <w:start w:val="1"/>
      <w:numFmt w:val="lowerRoman"/>
      <w:lvlText w:val="%3."/>
      <w:lvlJc w:val="right"/>
      <w:pPr>
        <w:ind w:left="1916" w:hanging="180"/>
      </w:pPr>
    </w:lvl>
    <w:lvl w:ilvl="3" w:tplc="040E000F" w:tentative="1">
      <w:start w:val="1"/>
      <w:numFmt w:val="decimal"/>
      <w:lvlText w:val="%4."/>
      <w:lvlJc w:val="left"/>
      <w:pPr>
        <w:ind w:left="2636" w:hanging="360"/>
      </w:pPr>
    </w:lvl>
    <w:lvl w:ilvl="4" w:tplc="040E0019" w:tentative="1">
      <w:start w:val="1"/>
      <w:numFmt w:val="lowerLetter"/>
      <w:lvlText w:val="%5."/>
      <w:lvlJc w:val="left"/>
      <w:pPr>
        <w:ind w:left="3356" w:hanging="360"/>
      </w:pPr>
    </w:lvl>
    <w:lvl w:ilvl="5" w:tplc="040E001B" w:tentative="1">
      <w:start w:val="1"/>
      <w:numFmt w:val="lowerRoman"/>
      <w:lvlText w:val="%6."/>
      <w:lvlJc w:val="right"/>
      <w:pPr>
        <w:ind w:left="4076" w:hanging="180"/>
      </w:pPr>
    </w:lvl>
    <w:lvl w:ilvl="6" w:tplc="040E000F" w:tentative="1">
      <w:start w:val="1"/>
      <w:numFmt w:val="decimal"/>
      <w:lvlText w:val="%7."/>
      <w:lvlJc w:val="left"/>
      <w:pPr>
        <w:ind w:left="4796" w:hanging="360"/>
      </w:pPr>
    </w:lvl>
    <w:lvl w:ilvl="7" w:tplc="040E0019" w:tentative="1">
      <w:start w:val="1"/>
      <w:numFmt w:val="lowerLetter"/>
      <w:lvlText w:val="%8."/>
      <w:lvlJc w:val="left"/>
      <w:pPr>
        <w:ind w:left="5516" w:hanging="360"/>
      </w:pPr>
    </w:lvl>
    <w:lvl w:ilvl="8" w:tplc="040E001B" w:tentative="1">
      <w:start w:val="1"/>
      <w:numFmt w:val="lowerRoman"/>
      <w:lvlText w:val="%9."/>
      <w:lvlJc w:val="right"/>
      <w:pPr>
        <w:ind w:left="6236" w:hanging="180"/>
      </w:pPr>
    </w:lvl>
  </w:abstractNum>
  <w:abstractNum w:abstractNumId="2" w15:restartNumberingAfterBreak="0">
    <w:nsid w:val="0BC539F6"/>
    <w:multiLevelType w:val="hybridMultilevel"/>
    <w:tmpl w:val="89C858F8"/>
    <w:lvl w:ilvl="0" w:tplc="97E01850">
      <w:start w:val="1"/>
      <w:numFmt w:val="bullet"/>
      <w:lvlText w:val="•"/>
      <w:lvlJc w:val="left"/>
      <w:pPr>
        <w:tabs>
          <w:tab w:val="num" w:pos="720"/>
        </w:tabs>
        <w:ind w:left="720" w:hanging="360"/>
      </w:pPr>
      <w:rPr>
        <w:rFonts w:ascii="Arial" w:hAnsi="Arial" w:hint="default"/>
      </w:rPr>
    </w:lvl>
    <w:lvl w:ilvl="1" w:tplc="F4B0B3B8">
      <w:start w:val="1"/>
      <w:numFmt w:val="bullet"/>
      <w:lvlText w:val="•"/>
      <w:lvlJc w:val="left"/>
      <w:pPr>
        <w:tabs>
          <w:tab w:val="num" w:pos="1440"/>
        </w:tabs>
        <w:ind w:left="1440" w:hanging="360"/>
      </w:pPr>
      <w:rPr>
        <w:rFonts w:ascii="Arial" w:hAnsi="Arial" w:hint="default"/>
      </w:rPr>
    </w:lvl>
    <w:lvl w:ilvl="2" w:tplc="3A5EA874" w:tentative="1">
      <w:start w:val="1"/>
      <w:numFmt w:val="bullet"/>
      <w:lvlText w:val="•"/>
      <w:lvlJc w:val="left"/>
      <w:pPr>
        <w:tabs>
          <w:tab w:val="num" w:pos="2160"/>
        </w:tabs>
        <w:ind w:left="2160" w:hanging="360"/>
      </w:pPr>
      <w:rPr>
        <w:rFonts w:ascii="Arial" w:hAnsi="Arial" w:hint="default"/>
      </w:rPr>
    </w:lvl>
    <w:lvl w:ilvl="3" w:tplc="0E5C2940" w:tentative="1">
      <w:start w:val="1"/>
      <w:numFmt w:val="bullet"/>
      <w:lvlText w:val="•"/>
      <w:lvlJc w:val="left"/>
      <w:pPr>
        <w:tabs>
          <w:tab w:val="num" w:pos="2880"/>
        </w:tabs>
        <w:ind w:left="2880" w:hanging="360"/>
      </w:pPr>
      <w:rPr>
        <w:rFonts w:ascii="Arial" w:hAnsi="Arial" w:hint="default"/>
      </w:rPr>
    </w:lvl>
    <w:lvl w:ilvl="4" w:tplc="003AEEAC" w:tentative="1">
      <w:start w:val="1"/>
      <w:numFmt w:val="bullet"/>
      <w:lvlText w:val="•"/>
      <w:lvlJc w:val="left"/>
      <w:pPr>
        <w:tabs>
          <w:tab w:val="num" w:pos="3600"/>
        </w:tabs>
        <w:ind w:left="3600" w:hanging="360"/>
      </w:pPr>
      <w:rPr>
        <w:rFonts w:ascii="Arial" w:hAnsi="Arial" w:hint="default"/>
      </w:rPr>
    </w:lvl>
    <w:lvl w:ilvl="5" w:tplc="D062F5FC" w:tentative="1">
      <w:start w:val="1"/>
      <w:numFmt w:val="bullet"/>
      <w:lvlText w:val="•"/>
      <w:lvlJc w:val="left"/>
      <w:pPr>
        <w:tabs>
          <w:tab w:val="num" w:pos="4320"/>
        </w:tabs>
        <w:ind w:left="4320" w:hanging="360"/>
      </w:pPr>
      <w:rPr>
        <w:rFonts w:ascii="Arial" w:hAnsi="Arial" w:hint="default"/>
      </w:rPr>
    </w:lvl>
    <w:lvl w:ilvl="6" w:tplc="7FA8AE9C" w:tentative="1">
      <w:start w:val="1"/>
      <w:numFmt w:val="bullet"/>
      <w:lvlText w:val="•"/>
      <w:lvlJc w:val="left"/>
      <w:pPr>
        <w:tabs>
          <w:tab w:val="num" w:pos="5040"/>
        </w:tabs>
        <w:ind w:left="5040" w:hanging="360"/>
      </w:pPr>
      <w:rPr>
        <w:rFonts w:ascii="Arial" w:hAnsi="Arial" w:hint="default"/>
      </w:rPr>
    </w:lvl>
    <w:lvl w:ilvl="7" w:tplc="1A06DA7A" w:tentative="1">
      <w:start w:val="1"/>
      <w:numFmt w:val="bullet"/>
      <w:lvlText w:val="•"/>
      <w:lvlJc w:val="left"/>
      <w:pPr>
        <w:tabs>
          <w:tab w:val="num" w:pos="5760"/>
        </w:tabs>
        <w:ind w:left="5760" w:hanging="360"/>
      </w:pPr>
      <w:rPr>
        <w:rFonts w:ascii="Arial" w:hAnsi="Arial" w:hint="default"/>
      </w:rPr>
    </w:lvl>
    <w:lvl w:ilvl="8" w:tplc="1A72FE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2751F9"/>
    <w:multiLevelType w:val="hybridMultilevel"/>
    <w:tmpl w:val="F65E40AC"/>
    <w:lvl w:ilvl="0" w:tplc="5E9E3272">
      <w:start w:val="1"/>
      <w:numFmt w:val="bullet"/>
      <w:lvlText w:val="•"/>
      <w:lvlJc w:val="left"/>
      <w:pPr>
        <w:tabs>
          <w:tab w:val="num" w:pos="720"/>
        </w:tabs>
        <w:ind w:left="720" w:hanging="360"/>
      </w:pPr>
      <w:rPr>
        <w:rFonts w:ascii="Arial" w:hAnsi="Arial" w:hint="default"/>
      </w:rPr>
    </w:lvl>
    <w:lvl w:ilvl="1" w:tplc="AF84037C">
      <w:start w:val="1"/>
      <w:numFmt w:val="bullet"/>
      <w:lvlText w:val="•"/>
      <w:lvlJc w:val="left"/>
      <w:pPr>
        <w:tabs>
          <w:tab w:val="num" w:pos="1440"/>
        </w:tabs>
        <w:ind w:left="1440" w:hanging="360"/>
      </w:pPr>
      <w:rPr>
        <w:rFonts w:ascii="Arial" w:hAnsi="Arial" w:hint="default"/>
      </w:rPr>
    </w:lvl>
    <w:lvl w:ilvl="2" w:tplc="08761794">
      <w:numFmt w:val="bullet"/>
      <w:lvlText w:val="•"/>
      <w:lvlJc w:val="left"/>
      <w:pPr>
        <w:tabs>
          <w:tab w:val="num" w:pos="2160"/>
        </w:tabs>
        <w:ind w:left="2160" w:hanging="360"/>
      </w:pPr>
      <w:rPr>
        <w:rFonts w:ascii="Arial" w:hAnsi="Arial" w:hint="default"/>
      </w:rPr>
    </w:lvl>
    <w:lvl w:ilvl="3" w:tplc="F0FEBEDA" w:tentative="1">
      <w:start w:val="1"/>
      <w:numFmt w:val="bullet"/>
      <w:lvlText w:val="•"/>
      <w:lvlJc w:val="left"/>
      <w:pPr>
        <w:tabs>
          <w:tab w:val="num" w:pos="2880"/>
        </w:tabs>
        <w:ind w:left="2880" w:hanging="360"/>
      </w:pPr>
      <w:rPr>
        <w:rFonts w:ascii="Arial" w:hAnsi="Arial" w:hint="default"/>
      </w:rPr>
    </w:lvl>
    <w:lvl w:ilvl="4" w:tplc="34F05540" w:tentative="1">
      <w:start w:val="1"/>
      <w:numFmt w:val="bullet"/>
      <w:lvlText w:val="•"/>
      <w:lvlJc w:val="left"/>
      <w:pPr>
        <w:tabs>
          <w:tab w:val="num" w:pos="3600"/>
        </w:tabs>
        <w:ind w:left="3600" w:hanging="360"/>
      </w:pPr>
      <w:rPr>
        <w:rFonts w:ascii="Arial" w:hAnsi="Arial" w:hint="default"/>
      </w:rPr>
    </w:lvl>
    <w:lvl w:ilvl="5" w:tplc="CC766A9E" w:tentative="1">
      <w:start w:val="1"/>
      <w:numFmt w:val="bullet"/>
      <w:lvlText w:val="•"/>
      <w:lvlJc w:val="left"/>
      <w:pPr>
        <w:tabs>
          <w:tab w:val="num" w:pos="4320"/>
        </w:tabs>
        <w:ind w:left="4320" w:hanging="360"/>
      </w:pPr>
      <w:rPr>
        <w:rFonts w:ascii="Arial" w:hAnsi="Arial" w:hint="default"/>
      </w:rPr>
    </w:lvl>
    <w:lvl w:ilvl="6" w:tplc="C568CBC8" w:tentative="1">
      <w:start w:val="1"/>
      <w:numFmt w:val="bullet"/>
      <w:lvlText w:val="•"/>
      <w:lvlJc w:val="left"/>
      <w:pPr>
        <w:tabs>
          <w:tab w:val="num" w:pos="5040"/>
        </w:tabs>
        <w:ind w:left="5040" w:hanging="360"/>
      </w:pPr>
      <w:rPr>
        <w:rFonts w:ascii="Arial" w:hAnsi="Arial" w:hint="default"/>
      </w:rPr>
    </w:lvl>
    <w:lvl w:ilvl="7" w:tplc="64A20F1A" w:tentative="1">
      <w:start w:val="1"/>
      <w:numFmt w:val="bullet"/>
      <w:lvlText w:val="•"/>
      <w:lvlJc w:val="left"/>
      <w:pPr>
        <w:tabs>
          <w:tab w:val="num" w:pos="5760"/>
        </w:tabs>
        <w:ind w:left="5760" w:hanging="360"/>
      </w:pPr>
      <w:rPr>
        <w:rFonts w:ascii="Arial" w:hAnsi="Arial" w:hint="default"/>
      </w:rPr>
    </w:lvl>
    <w:lvl w:ilvl="8" w:tplc="D8F4C6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553B8D"/>
    <w:multiLevelType w:val="hybridMultilevel"/>
    <w:tmpl w:val="A7B691E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1F3B553C"/>
    <w:multiLevelType w:val="hybridMultilevel"/>
    <w:tmpl w:val="666CB7C4"/>
    <w:lvl w:ilvl="0" w:tplc="6CEAD2A0">
      <w:start w:val="1"/>
      <w:numFmt w:val="upperRoman"/>
      <w:lvlText w:val="%1."/>
      <w:lvlJc w:val="left"/>
      <w:pPr>
        <w:ind w:left="1196" w:hanging="720"/>
      </w:pPr>
      <w:rPr>
        <w:rFonts w:ascii="Verdana" w:eastAsia="Verdana" w:hAnsi="Verdana" w:cs="Verdana" w:hint="default"/>
        <w:w w:val="100"/>
        <w:sz w:val="22"/>
        <w:szCs w:val="22"/>
        <w:lang w:val="hu-HU" w:eastAsia="en-US" w:bidi="ar-SA"/>
      </w:rPr>
    </w:lvl>
    <w:lvl w:ilvl="1" w:tplc="C6FC30F8">
      <w:numFmt w:val="bullet"/>
      <w:lvlText w:val="•"/>
      <w:lvlJc w:val="left"/>
      <w:pPr>
        <w:ind w:left="2068" w:hanging="720"/>
      </w:pPr>
      <w:rPr>
        <w:rFonts w:hint="default"/>
        <w:lang w:val="hu-HU" w:eastAsia="en-US" w:bidi="ar-SA"/>
      </w:rPr>
    </w:lvl>
    <w:lvl w:ilvl="2" w:tplc="17E2982C">
      <w:numFmt w:val="bullet"/>
      <w:lvlText w:val="•"/>
      <w:lvlJc w:val="left"/>
      <w:pPr>
        <w:ind w:left="2937" w:hanging="720"/>
      </w:pPr>
      <w:rPr>
        <w:rFonts w:hint="default"/>
        <w:lang w:val="hu-HU" w:eastAsia="en-US" w:bidi="ar-SA"/>
      </w:rPr>
    </w:lvl>
    <w:lvl w:ilvl="3" w:tplc="7F8A2E74">
      <w:numFmt w:val="bullet"/>
      <w:lvlText w:val="•"/>
      <w:lvlJc w:val="left"/>
      <w:pPr>
        <w:ind w:left="3805" w:hanging="720"/>
      </w:pPr>
      <w:rPr>
        <w:rFonts w:hint="default"/>
        <w:lang w:val="hu-HU" w:eastAsia="en-US" w:bidi="ar-SA"/>
      </w:rPr>
    </w:lvl>
    <w:lvl w:ilvl="4" w:tplc="8A429D36">
      <w:numFmt w:val="bullet"/>
      <w:lvlText w:val="•"/>
      <w:lvlJc w:val="left"/>
      <w:pPr>
        <w:ind w:left="4674" w:hanging="720"/>
      </w:pPr>
      <w:rPr>
        <w:rFonts w:hint="default"/>
        <w:lang w:val="hu-HU" w:eastAsia="en-US" w:bidi="ar-SA"/>
      </w:rPr>
    </w:lvl>
    <w:lvl w:ilvl="5" w:tplc="C678702E">
      <w:numFmt w:val="bullet"/>
      <w:lvlText w:val="•"/>
      <w:lvlJc w:val="left"/>
      <w:pPr>
        <w:ind w:left="5543" w:hanging="720"/>
      </w:pPr>
      <w:rPr>
        <w:rFonts w:hint="default"/>
        <w:lang w:val="hu-HU" w:eastAsia="en-US" w:bidi="ar-SA"/>
      </w:rPr>
    </w:lvl>
    <w:lvl w:ilvl="6" w:tplc="1A9E8496">
      <w:numFmt w:val="bullet"/>
      <w:lvlText w:val="•"/>
      <w:lvlJc w:val="left"/>
      <w:pPr>
        <w:ind w:left="6411" w:hanging="720"/>
      </w:pPr>
      <w:rPr>
        <w:rFonts w:hint="default"/>
        <w:lang w:val="hu-HU" w:eastAsia="en-US" w:bidi="ar-SA"/>
      </w:rPr>
    </w:lvl>
    <w:lvl w:ilvl="7" w:tplc="FBC4508A">
      <w:numFmt w:val="bullet"/>
      <w:lvlText w:val="•"/>
      <w:lvlJc w:val="left"/>
      <w:pPr>
        <w:ind w:left="7280" w:hanging="720"/>
      </w:pPr>
      <w:rPr>
        <w:rFonts w:hint="default"/>
        <w:lang w:val="hu-HU" w:eastAsia="en-US" w:bidi="ar-SA"/>
      </w:rPr>
    </w:lvl>
    <w:lvl w:ilvl="8" w:tplc="4E90441A">
      <w:numFmt w:val="bullet"/>
      <w:lvlText w:val="•"/>
      <w:lvlJc w:val="left"/>
      <w:pPr>
        <w:ind w:left="8149" w:hanging="720"/>
      </w:pPr>
      <w:rPr>
        <w:rFonts w:hint="default"/>
        <w:lang w:val="hu-HU" w:eastAsia="en-US" w:bidi="ar-SA"/>
      </w:rPr>
    </w:lvl>
  </w:abstractNum>
  <w:abstractNum w:abstractNumId="6"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2BBC142F"/>
    <w:multiLevelType w:val="hybridMultilevel"/>
    <w:tmpl w:val="03B460AC"/>
    <w:lvl w:ilvl="0" w:tplc="2F505E72">
      <w:numFmt w:val="bullet"/>
      <w:lvlText w:val=""/>
      <w:lvlJc w:val="left"/>
      <w:pPr>
        <w:ind w:left="476" w:hanging="360"/>
      </w:pPr>
      <w:rPr>
        <w:rFonts w:ascii="Symbol" w:eastAsia="Symbol" w:hAnsi="Symbol" w:cs="Symbol" w:hint="default"/>
        <w:w w:val="100"/>
        <w:sz w:val="22"/>
        <w:szCs w:val="22"/>
        <w:lang w:val="hu-HU" w:eastAsia="en-US" w:bidi="ar-SA"/>
      </w:rPr>
    </w:lvl>
    <w:lvl w:ilvl="1" w:tplc="C54A3136">
      <w:numFmt w:val="bullet"/>
      <w:lvlText w:val="•"/>
      <w:lvlJc w:val="left"/>
      <w:pPr>
        <w:ind w:left="1420" w:hanging="360"/>
      </w:pPr>
      <w:rPr>
        <w:rFonts w:hint="default"/>
        <w:lang w:val="hu-HU" w:eastAsia="en-US" w:bidi="ar-SA"/>
      </w:rPr>
    </w:lvl>
    <w:lvl w:ilvl="2" w:tplc="2F44A98E">
      <w:numFmt w:val="bullet"/>
      <w:lvlText w:val="•"/>
      <w:lvlJc w:val="left"/>
      <w:pPr>
        <w:ind w:left="2361" w:hanging="360"/>
      </w:pPr>
      <w:rPr>
        <w:rFonts w:hint="default"/>
        <w:lang w:val="hu-HU" w:eastAsia="en-US" w:bidi="ar-SA"/>
      </w:rPr>
    </w:lvl>
    <w:lvl w:ilvl="3" w:tplc="461CF092">
      <w:numFmt w:val="bullet"/>
      <w:lvlText w:val="•"/>
      <w:lvlJc w:val="left"/>
      <w:pPr>
        <w:ind w:left="3301" w:hanging="360"/>
      </w:pPr>
      <w:rPr>
        <w:rFonts w:hint="default"/>
        <w:lang w:val="hu-HU" w:eastAsia="en-US" w:bidi="ar-SA"/>
      </w:rPr>
    </w:lvl>
    <w:lvl w:ilvl="4" w:tplc="D7580114">
      <w:numFmt w:val="bullet"/>
      <w:lvlText w:val="•"/>
      <w:lvlJc w:val="left"/>
      <w:pPr>
        <w:ind w:left="4242" w:hanging="360"/>
      </w:pPr>
      <w:rPr>
        <w:rFonts w:hint="default"/>
        <w:lang w:val="hu-HU" w:eastAsia="en-US" w:bidi="ar-SA"/>
      </w:rPr>
    </w:lvl>
    <w:lvl w:ilvl="5" w:tplc="DA44EA4E">
      <w:numFmt w:val="bullet"/>
      <w:lvlText w:val="•"/>
      <w:lvlJc w:val="left"/>
      <w:pPr>
        <w:ind w:left="5183" w:hanging="360"/>
      </w:pPr>
      <w:rPr>
        <w:rFonts w:hint="default"/>
        <w:lang w:val="hu-HU" w:eastAsia="en-US" w:bidi="ar-SA"/>
      </w:rPr>
    </w:lvl>
    <w:lvl w:ilvl="6" w:tplc="5740C4F0">
      <w:numFmt w:val="bullet"/>
      <w:lvlText w:val="•"/>
      <w:lvlJc w:val="left"/>
      <w:pPr>
        <w:ind w:left="6123" w:hanging="360"/>
      </w:pPr>
      <w:rPr>
        <w:rFonts w:hint="default"/>
        <w:lang w:val="hu-HU" w:eastAsia="en-US" w:bidi="ar-SA"/>
      </w:rPr>
    </w:lvl>
    <w:lvl w:ilvl="7" w:tplc="D556D8D6">
      <w:numFmt w:val="bullet"/>
      <w:lvlText w:val="•"/>
      <w:lvlJc w:val="left"/>
      <w:pPr>
        <w:ind w:left="7064" w:hanging="360"/>
      </w:pPr>
      <w:rPr>
        <w:rFonts w:hint="default"/>
        <w:lang w:val="hu-HU" w:eastAsia="en-US" w:bidi="ar-SA"/>
      </w:rPr>
    </w:lvl>
    <w:lvl w:ilvl="8" w:tplc="1A324640">
      <w:numFmt w:val="bullet"/>
      <w:lvlText w:val="•"/>
      <w:lvlJc w:val="left"/>
      <w:pPr>
        <w:ind w:left="8005" w:hanging="360"/>
      </w:pPr>
      <w:rPr>
        <w:rFonts w:hint="default"/>
        <w:lang w:val="hu-HU" w:eastAsia="en-US" w:bidi="ar-SA"/>
      </w:rPr>
    </w:lvl>
  </w:abstractNum>
  <w:abstractNum w:abstractNumId="8" w15:restartNumberingAfterBreak="0">
    <w:nsid w:val="2FBE59E6"/>
    <w:multiLevelType w:val="hybridMultilevel"/>
    <w:tmpl w:val="27D0C5E8"/>
    <w:lvl w:ilvl="0" w:tplc="FFFFFFFF">
      <w:start w:val="1"/>
      <w:numFmt w:val="upperRoman"/>
      <w:lvlText w:val="%1."/>
      <w:lvlJc w:val="right"/>
      <w:pPr>
        <w:ind w:left="743" w:hanging="360"/>
      </w:pPr>
    </w:lvl>
    <w:lvl w:ilvl="1" w:tplc="FFFFFFFF" w:tentative="1">
      <w:start w:val="1"/>
      <w:numFmt w:val="lowerLetter"/>
      <w:lvlText w:val="%2."/>
      <w:lvlJc w:val="left"/>
      <w:pPr>
        <w:ind w:left="1463" w:hanging="360"/>
      </w:pPr>
    </w:lvl>
    <w:lvl w:ilvl="2" w:tplc="FFFFFFFF" w:tentative="1">
      <w:start w:val="1"/>
      <w:numFmt w:val="lowerRoman"/>
      <w:lvlText w:val="%3."/>
      <w:lvlJc w:val="right"/>
      <w:pPr>
        <w:ind w:left="2183" w:hanging="180"/>
      </w:pPr>
    </w:lvl>
    <w:lvl w:ilvl="3" w:tplc="FFFFFFFF" w:tentative="1">
      <w:start w:val="1"/>
      <w:numFmt w:val="decimal"/>
      <w:lvlText w:val="%4."/>
      <w:lvlJc w:val="left"/>
      <w:pPr>
        <w:ind w:left="2903" w:hanging="360"/>
      </w:pPr>
    </w:lvl>
    <w:lvl w:ilvl="4" w:tplc="FFFFFFFF" w:tentative="1">
      <w:start w:val="1"/>
      <w:numFmt w:val="lowerLetter"/>
      <w:lvlText w:val="%5."/>
      <w:lvlJc w:val="left"/>
      <w:pPr>
        <w:ind w:left="3623" w:hanging="360"/>
      </w:pPr>
    </w:lvl>
    <w:lvl w:ilvl="5" w:tplc="FFFFFFFF" w:tentative="1">
      <w:start w:val="1"/>
      <w:numFmt w:val="lowerRoman"/>
      <w:lvlText w:val="%6."/>
      <w:lvlJc w:val="right"/>
      <w:pPr>
        <w:ind w:left="4343" w:hanging="180"/>
      </w:pPr>
    </w:lvl>
    <w:lvl w:ilvl="6" w:tplc="FFFFFFFF" w:tentative="1">
      <w:start w:val="1"/>
      <w:numFmt w:val="decimal"/>
      <w:lvlText w:val="%7."/>
      <w:lvlJc w:val="left"/>
      <w:pPr>
        <w:ind w:left="5063" w:hanging="360"/>
      </w:pPr>
    </w:lvl>
    <w:lvl w:ilvl="7" w:tplc="FFFFFFFF" w:tentative="1">
      <w:start w:val="1"/>
      <w:numFmt w:val="lowerLetter"/>
      <w:lvlText w:val="%8."/>
      <w:lvlJc w:val="left"/>
      <w:pPr>
        <w:ind w:left="5783" w:hanging="360"/>
      </w:pPr>
    </w:lvl>
    <w:lvl w:ilvl="8" w:tplc="FFFFFFFF" w:tentative="1">
      <w:start w:val="1"/>
      <w:numFmt w:val="lowerRoman"/>
      <w:lvlText w:val="%9."/>
      <w:lvlJc w:val="right"/>
      <w:pPr>
        <w:ind w:left="6503" w:hanging="180"/>
      </w:pPr>
    </w:lvl>
  </w:abstractNum>
  <w:abstractNum w:abstractNumId="9" w15:restartNumberingAfterBreak="0">
    <w:nsid w:val="3DF6576F"/>
    <w:multiLevelType w:val="hybridMultilevel"/>
    <w:tmpl w:val="27D0C5E8"/>
    <w:lvl w:ilvl="0" w:tplc="040E0013">
      <w:start w:val="1"/>
      <w:numFmt w:val="upperRoman"/>
      <w:lvlText w:val="%1."/>
      <w:lvlJc w:val="right"/>
      <w:pPr>
        <w:ind w:left="743" w:hanging="360"/>
      </w:pPr>
    </w:lvl>
    <w:lvl w:ilvl="1" w:tplc="040E0019" w:tentative="1">
      <w:start w:val="1"/>
      <w:numFmt w:val="lowerLetter"/>
      <w:lvlText w:val="%2."/>
      <w:lvlJc w:val="left"/>
      <w:pPr>
        <w:ind w:left="1463" w:hanging="360"/>
      </w:pPr>
    </w:lvl>
    <w:lvl w:ilvl="2" w:tplc="040E001B" w:tentative="1">
      <w:start w:val="1"/>
      <w:numFmt w:val="lowerRoman"/>
      <w:lvlText w:val="%3."/>
      <w:lvlJc w:val="right"/>
      <w:pPr>
        <w:ind w:left="2183" w:hanging="180"/>
      </w:pPr>
    </w:lvl>
    <w:lvl w:ilvl="3" w:tplc="040E000F" w:tentative="1">
      <w:start w:val="1"/>
      <w:numFmt w:val="decimal"/>
      <w:lvlText w:val="%4."/>
      <w:lvlJc w:val="left"/>
      <w:pPr>
        <w:ind w:left="2903" w:hanging="360"/>
      </w:pPr>
    </w:lvl>
    <w:lvl w:ilvl="4" w:tplc="040E0019" w:tentative="1">
      <w:start w:val="1"/>
      <w:numFmt w:val="lowerLetter"/>
      <w:lvlText w:val="%5."/>
      <w:lvlJc w:val="left"/>
      <w:pPr>
        <w:ind w:left="3623" w:hanging="360"/>
      </w:pPr>
    </w:lvl>
    <w:lvl w:ilvl="5" w:tplc="040E001B" w:tentative="1">
      <w:start w:val="1"/>
      <w:numFmt w:val="lowerRoman"/>
      <w:lvlText w:val="%6."/>
      <w:lvlJc w:val="right"/>
      <w:pPr>
        <w:ind w:left="4343" w:hanging="180"/>
      </w:pPr>
    </w:lvl>
    <w:lvl w:ilvl="6" w:tplc="040E000F" w:tentative="1">
      <w:start w:val="1"/>
      <w:numFmt w:val="decimal"/>
      <w:lvlText w:val="%7."/>
      <w:lvlJc w:val="left"/>
      <w:pPr>
        <w:ind w:left="5063" w:hanging="360"/>
      </w:pPr>
    </w:lvl>
    <w:lvl w:ilvl="7" w:tplc="040E0019" w:tentative="1">
      <w:start w:val="1"/>
      <w:numFmt w:val="lowerLetter"/>
      <w:lvlText w:val="%8."/>
      <w:lvlJc w:val="left"/>
      <w:pPr>
        <w:ind w:left="5783" w:hanging="360"/>
      </w:pPr>
    </w:lvl>
    <w:lvl w:ilvl="8" w:tplc="040E001B" w:tentative="1">
      <w:start w:val="1"/>
      <w:numFmt w:val="lowerRoman"/>
      <w:lvlText w:val="%9."/>
      <w:lvlJc w:val="right"/>
      <w:pPr>
        <w:ind w:left="6503" w:hanging="180"/>
      </w:pPr>
    </w:lvl>
  </w:abstractNum>
  <w:abstractNum w:abstractNumId="10" w15:restartNumberingAfterBreak="0">
    <w:nsid w:val="417C6E74"/>
    <w:multiLevelType w:val="hybridMultilevel"/>
    <w:tmpl w:val="670A5D98"/>
    <w:lvl w:ilvl="0" w:tplc="FFFFFFFF">
      <w:start w:val="1"/>
      <w:numFmt w:val="decimal"/>
      <w:lvlText w:val="%1."/>
      <w:lvlJc w:val="left"/>
      <w:pPr>
        <w:ind w:left="1079" w:hanging="360"/>
      </w:p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11" w15:restartNumberingAfterBreak="0">
    <w:nsid w:val="491D1C66"/>
    <w:multiLevelType w:val="hybridMultilevel"/>
    <w:tmpl w:val="716CC78E"/>
    <w:lvl w:ilvl="0" w:tplc="09DA723E">
      <w:start w:val="1"/>
      <w:numFmt w:val="upperRoman"/>
      <w:lvlText w:val="%1."/>
      <w:lvlJc w:val="left"/>
      <w:pPr>
        <w:ind w:left="836" w:hanging="720"/>
      </w:pPr>
      <w:rPr>
        <w:rFonts w:ascii="Verdana" w:eastAsia="Verdana" w:hAnsi="Verdana" w:cs="Verdana" w:hint="default"/>
        <w:b/>
        <w:bCs/>
        <w:spacing w:val="-2"/>
        <w:w w:val="100"/>
        <w:sz w:val="22"/>
        <w:szCs w:val="22"/>
        <w:lang w:val="hu-HU" w:eastAsia="en-US" w:bidi="ar-SA"/>
      </w:rPr>
    </w:lvl>
    <w:lvl w:ilvl="1" w:tplc="3788A454">
      <w:numFmt w:val="bullet"/>
      <w:lvlText w:val="•"/>
      <w:lvlJc w:val="left"/>
      <w:pPr>
        <w:ind w:left="1744" w:hanging="720"/>
      </w:pPr>
      <w:rPr>
        <w:rFonts w:hint="default"/>
        <w:lang w:val="hu-HU" w:eastAsia="en-US" w:bidi="ar-SA"/>
      </w:rPr>
    </w:lvl>
    <w:lvl w:ilvl="2" w:tplc="A4D06F22">
      <w:numFmt w:val="bullet"/>
      <w:lvlText w:val="•"/>
      <w:lvlJc w:val="left"/>
      <w:pPr>
        <w:ind w:left="2649" w:hanging="720"/>
      </w:pPr>
      <w:rPr>
        <w:rFonts w:hint="default"/>
        <w:lang w:val="hu-HU" w:eastAsia="en-US" w:bidi="ar-SA"/>
      </w:rPr>
    </w:lvl>
    <w:lvl w:ilvl="3" w:tplc="DE38C470">
      <w:numFmt w:val="bullet"/>
      <w:lvlText w:val="•"/>
      <w:lvlJc w:val="left"/>
      <w:pPr>
        <w:ind w:left="3553" w:hanging="720"/>
      </w:pPr>
      <w:rPr>
        <w:rFonts w:hint="default"/>
        <w:lang w:val="hu-HU" w:eastAsia="en-US" w:bidi="ar-SA"/>
      </w:rPr>
    </w:lvl>
    <w:lvl w:ilvl="4" w:tplc="B74676CA">
      <w:numFmt w:val="bullet"/>
      <w:lvlText w:val="•"/>
      <w:lvlJc w:val="left"/>
      <w:pPr>
        <w:ind w:left="4458" w:hanging="720"/>
      </w:pPr>
      <w:rPr>
        <w:rFonts w:hint="default"/>
        <w:lang w:val="hu-HU" w:eastAsia="en-US" w:bidi="ar-SA"/>
      </w:rPr>
    </w:lvl>
    <w:lvl w:ilvl="5" w:tplc="AAB44C06">
      <w:numFmt w:val="bullet"/>
      <w:lvlText w:val="•"/>
      <w:lvlJc w:val="left"/>
      <w:pPr>
        <w:ind w:left="5363" w:hanging="720"/>
      </w:pPr>
      <w:rPr>
        <w:rFonts w:hint="default"/>
        <w:lang w:val="hu-HU" w:eastAsia="en-US" w:bidi="ar-SA"/>
      </w:rPr>
    </w:lvl>
    <w:lvl w:ilvl="6" w:tplc="D55A6086">
      <w:numFmt w:val="bullet"/>
      <w:lvlText w:val="•"/>
      <w:lvlJc w:val="left"/>
      <w:pPr>
        <w:ind w:left="6267" w:hanging="720"/>
      </w:pPr>
      <w:rPr>
        <w:rFonts w:hint="default"/>
        <w:lang w:val="hu-HU" w:eastAsia="en-US" w:bidi="ar-SA"/>
      </w:rPr>
    </w:lvl>
    <w:lvl w:ilvl="7" w:tplc="4DF04894">
      <w:numFmt w:val="bullet"/>
      <w:lvlText w:val="•"/>
      <w:lvlJc w:val="left"/>
      <w:pPr>
        <w:ind w:left="7172" w:hanging="720"/>
      </w:pPr>
      <w:rPr>
        <w:rFonts w:hint="default"/>
        <w:lang w:val="hu-HU" w:eastAsia="en-US" w:bidi="ar-SA"/>
      </w:rPr>
    </w:lvl>
    <w:lvl w:ilvl="8" w:tplc="BADAE93C">
      <w:numFmt w:val="bullet"/>
      <w:lvlText w:val="•"/>
      <w:lvlJc w:val="left"/>
      <w:pPr>
        <w:ind w:left="8077" w:hanging="720"/>
      </w:pPr>
      <w:rPr>
        <w:rFonts w:hint="default"/>
        <w:lang w:val="hu-HU" w:eastAsia="en-US" w:bidi="ar-SA"/>
      </w:rPr>
    </w:lvl>
  </w:abstractNum>
  <w:abstractNum w:abstractNumId="12" w15:restartNumberingAfterBreak="0">
    <w:nsid w:val="52513750"/>
    <w:multiLevelType w:val="hybridMultilevel"/>
    <w:tmpl w:val="61B2737A"/>
    <w:lvl w:ilvl="0" w:tplc="71CAC7C4">
      <w:start w:val="1"/>
      <w:numFmt w:val="decimal"/>
      <w:lvlText w:val="%1."/>
      <w:lvlJc w:val="left"/>
      <w:pPr>
        <w:ind w:left="476" w:hanging="360"/>
      </w:pPr>
      <w:rPr>
        <w:rFonts w:ascii="Verdana" w:eastAsia="Verdana" w:hAnsi="Verdana" w:cs="Verdana" w:hint="default"/>
        <w:b w:val="0"/>
        <w:bCs w:val="0"/>
        <w:i/>
        <w:iCs/>
        <w:w w:val="99"/>
        <w:sz w:val="20"/>
        <w:szCs w:val="20"/>
        <w:lang w:val="hu-HU" w:eastAsia="en-US" w:bidi="ar-SA"/>
      </w:rPr>
    </w:lvl>
    <w:lvl w:ilvl="1" w:tplc="37844C96">
      <w:numFmt w:val="bullet"/>
      <w:lvlText w:val="•"/>
      <w:lvlJc w:val="left"/>
      <w:pPr>
        <w:ind w:left="1416" w:hanging="360"/>
      </w:pPr>
      <w:rPr>
        <w:lang w:val="hu-HU" w:eastAsia="en-US" w:bidi="ar-SA"/>
      </w:rPr>
    </w:lvl>
    <w:lvl w:ilvl="2" w:tplc="9EE8BA14">
      <w:numFmt w:val="bullet"/>
      <w:lvlText w:val="•"/>
      <w:lvlJc w:val="left"/>
      <w:pPr>
        <w:ind w:left="2353" w:hanging="360"/>
      </w:pPr>
      <w:rPr>
        <w:lang w:val="hu-HU" w:eastAsia="en-US" w:bidi="ar-SA"/>
      </w:rPr>
    </w:lvl>
    <w:lvl w:ilvl="3" w:tplc="0B24BBA0">
      <w:numFmt w:val="bullet"/>
      <w:lvlText w:val="•"/>
      <w:lvlJc w:val="left"/>
      <w:pPr>
        <w:ind w:left="3289" w:hanging="360"/>
      </w:pPr>
      <w:rPr>
        <w:lang w:val="hu-HU" w:eastAsia="en-US" w:bidi="ar-SA"/>
      </w:rPr>
    </w:lvl>
    <w:lvl w:ilvl="4" w:tplc="6A1AF906">
      <w:numFmt w:val="bullet"/>
      <w:lvlText w:val="•"/>
      <w:lvlJc w:val="left"/>
      <w:pPr>
        <w:ind w:left="4226" w:hanging="360"/>
      </w:pPr>
      <w:rPr>
        <w:lang w:val="hu-HU" w:eastAsia="en-US" w:bidi="ar-SA"/>
      </w:rPr>
    </w:lvl>
    <w:lvl w:ilvl="5" w:tplc="03A895CE">
      <w:numFmt w:val="bullet"/>
      <w:lvlText w:val="•"/>
      <w:lvlJc w:val="left"/>
      <w:pPr>
        <w:ind w:left="5163" w:hanging="360"/>
      </w:pPr>
      <w:rPr>
        <w:lang w:val="hu-HU" w:eastAsia="en-US" w:bidi="ar-SA"/>
      </w:rPr>
    </w:lvl>
    <w:lvl w:ilvl="6" w:tplc="861089F8">
      <w:numFmt w:val="bullet"/>
      <w:lvlText w:val="•"/>
      <w:lvlJc w:val="left"/>
      <w:pPr>
        <w:ind w:left="6099" w:hanging="360"/>
      </w:pPr>
      <w:rPr>
        <w:lang w:val="hu-HU" w:eastAsia="en-US" w:bidi="ar-SA"/>
      </w:rPr>
    </w:lvl>
    <w:lvl w:ilvl="7" w:tplc="5198BB22">
      <w:numFmt w:val="bullet"/>
      <w:lvlText w:val="•"/>
      <w:lvlJc w:val="left"/>
      <w:pPr>
        <w:ind w:left="7036" w:hanging="360"/>
      </w:pPr>
      <w:rPr>
        <w:lang w:val="hu-HU" w:eastAsia="en-US" w:bidi="ar-SA"/>
      </w:rPr>
    </w:lvl>
    <w:lvl w:ilvl="8" w:tplc="875E9AB8">
      <w:numFmt w:val="bullet"/>
      <w:lvlText w:val="•"/>
      <w:lvlJc w:val="left"/>
      <w:pPr>
        <w:ind w:left="7973" w:hanging="360"/>
      </w:pPr>
      <w:rPr>
        <w:lang w:val="hu-HU" w:eastAsia="en-US" w:bidi="ar-SA"/>
      </w:rPr>
    </w:lvl>
  </w:abstractNum>
  <w:abstractNum w:abstractNumId="13" w15:restartNumberingAfterBreak="0">
    <w:nsid w:val="57965E02"/>
    <w:multiLevelType w:val="hybridMultilevel"/>
    <w:tmpl w:val="7B609C30"/>
    <w:lvl w:ilvl="0" w:tplc="87729032">
      <w:start w:val="1"/>
      <w:numFmt w:val="bullet"/>
      <w:lvlText w:val="•"/>
      <w:lvlJc w:val="left"/>
      <w:pPr>
        <w:tabs>
          <w:tab w:val="num" w:pos="720"/>
        </w:tabs>
        <w:ind w:left="720" w:hanging="360"/>
      </w:pPr>
      <w:rPr>
        <w:rFonts w:ascii="Arial" w:hAnsi="Arial" w:hint="default"/>
      </w:rPr>
    </w:lvl>
    <w:lvl w:ilvl="1" w:tplc="69D0EAC6">
      <w:start w:val="1"/>
      <w:numFmt w:val="bullet"/>
      <w:lvlText w:val="•"/>
      <w:lvlJc w:val="left"/>
      <w:pPr>
        <w:tabs>
          <w:tab w:val="num" w:pos="1440"/>
        </w:tabs>
        <w:ind w:left="1440" w:hanging="360"/>
      </w:pPr>
      <w:rPr>
        <w:rFonts w:ascii="Arial" w:hAnsi="Arial" w:hint="default"/>
      </w:rPr>
    </w:lvl>
    <w:lvl w:ilvl="2" w:tplc="5700140A" w:tentative="1">
      <w:start w:val="1"/>
      <w:numFmt w:val="bullet"/>
      <w:lvlText w:val="•"/>
      <w:lvlJc w:val="left"/>
      <w:pPr>
        <w:tabs>
          <w:tab w:val="num" w:pos="2160"/>
        </w:tabs>
        <w:ind w:left="2160" w:hanging="360"/>
      </w:pPr>
      <w:rPr>
        <w:rFonts w:ascii="Arial" w:hAnsi="Arial" w:hint="default"/>
      </w:rPr>
    </w:lvl>
    <w:lvl w:ilvl="3" w:tplc="321E06A2" w:tentative="1">
      <w:start w:val="1"/>
      <w:numFmt w:val="bullet"/>
      <w:lvlText w:val="•"/>
      <w:lvlJc w:val="left"/>
      <w:pPr>
        <w:tabs>
          <w:tab w:val="num" w:pos="2880"/>
        </w:tabs>
        <w:ind w:left="2880" w:hanging="360"/>
      </w:pPr>
      <w:rPr>
        <w:rFonts w:ascii="Arial" w:hAnsi="Arial" w:hint="default"/>
      </w:rPr>
    </w:lvl>
    <w:lvl w:ilvl="4" w:tplc="C4E2AC54" w:tentative="1">
      <w:start w:val="1"/>
      <w:numFmt w:val="bullet"/>
      <w:lvlText w:val="•"/>
      <w:lvlJc w:val="left"/>
      <w:pPr>
        <w:tabs>
          <w:tab w:val="num" w:pos="3600"/>
        </w:tabs>
        <w:ind w:left="3600" w:hanging="360"/>
      </w:pPr>
      <w:rPr>
        <w:rFonts w:ascii="Arial" w:hAnsi="Arial" w:hint="default"/>
      </w:rPr>
    </w:lvl>
    <w:lvl w:ilvl="5" w:tplc="C7BAD2C4" w:tentative="1">
      <w:start w:val="1"/>
      <w:numFmt w:val="bullet"/>
      <w:lvlText w:val="•"/>
      <w:lvlJc w:val="left"/>
      <w:pPr>
        <w:tabs>
          <w:tab w:val="num" w:pos="4320"/>
        </w:tabs>
        <w:ind w:left="4320" w:hanging="360"/>
      </w:pPr>
      <w:rPr>
        <w:rFonts w:ascii="Arial" w:hAnsi="Arial" w:hint="default"/>
      </w:rPr>
    </w:lvl>
    <w:lvl w:ilvl="6" w:tplc="470E514A" w:tentative="1">
      <w:start w:val="1"/>
      <w:numFmt w:val="bullet"/>
      <w:lvlText w:val="•"/>
      <w:lvlJc w:val="left"/>
      <w:pPr>
        <w:tabs>
          <w:tab w:val="num" w:pos="5040"/>
        </w:tabs>
        <w:ind w:left="5040" w:hanging="360"/>
      </w:pPr>
      <w:rPr>
        <w:rFonts w:ascii="Arial" w:hAnsi="Arial" w:hint="default"/>
      </w:rPr>
    </w:lvl>
    <w:lvl w:ilvl="7" w:tplc="12A0F780" w:tentative="1">
      <w:start w:val="1"/>
      <w:numFmt w:val="bullet"/>
      <w:lvlText w:val="•"/>
      <w:lvlJc w:val="left"/>
      <w:pPr>
        <w:tabs>
          <w:tab w:val="num" w:pos="5760"/>
        </w:tabs>
        <w:ind w:left="5760" w:hanging="360"/>
      </w:pPr>
      <w:rPr>
        <w:rFonts w:ascii="Arial" w:hAnsi="Arial" w:hint="default"/>
      </w:rPr>
    </w:lvl>
    <w:lvl w:ilvl="8" w:tplc="ACE0830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B3A0A4A"/>
    <w:multiLevelType w:val="hybridMultilevel"/>
    <w:tmpl w:val="CCB273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75730AB"/>
    <w:multiLevelType w:val="hybridMultilevel"/>
    <w:tmpl w:val="A50C632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6" w15:restartNumberingAfterBreak="0">
    <w:nsid w:val="683041C0"/>
    <w:multiLevelType w:val="hybridMultilevel"/>
    <w:tmpl w:val="48869170"/>
    <w:lvl w:ilvl="0" w:tplc="040E0001">
      <w:start w:val="1"/>
      <w:numFmt w:val="bullet"/>
      <w:lvlText w:val=""/>
      <w:lvlJc w:val="left"/>
      <w:pPr>
        <w:ind w:left="1079" w:hanging="360"/>
      </w:pPr>
      <w:rPr>
        <w:rFonts w:ascii="Symbol" w:hAnsi="Symbol" w:hint="default"/>
      </w:r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17" w15:restartNumberingAfterBreak="0">
    <w:nsid w:val="7575578C"/>
    <w:multiLevelType w:val="hybridMultilevel"/>
    <w:tmpl w:val="BE7C31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636371E"/>
    <w:multiLevelType w:val="hybridMultilevel"/>
    <w:tmpl w:val="6B065F20"/>
    <w:lvl w:ilvl="0" w:tplc="A8C4F9E4">
      <w:start w:val="1"/>
      <w:numFmt w:val="bullet"/>
      <w:lvlText w:val="•"/>
      <w:lvlJc w:val="left"/>
      <w:pPr>
        <w:tabs>
          <w:tab w:val="num" w:pos="720"/>
        </w:tabs>
        <w:ind w:left="720" w:hanging="360"/>
      </w:pPr>
      <w:rPr>
        <w:rFonts w:ascii="Arial" w:hAnsi="Arial" w:hint="default"/>
      </w:rPr>
    </w:lvl>
    <w:lvl w:ilvl="1" w:tplc="36DE6846">
      <w:start w:val="1"/>
      <w:numFmt w:val="bullet"/>
      <w:lvlText w:val="•"/>
      <w:lvlJc w:val="left"/>
      <w:pPr>
        <w:tabs>
          <w:tab w:val="num" w:pos="1440"/>
        </w:tabs>
        <w:ind w:left="1440" w:hanging="360"/>
      </w:pPr>
      <w:rPr>
        <w:rFonts w:ascii="Arial" w:hAnsi="Arial" w:hint="default"/>
      </w:rPr>
    </w:lvl>
    <w:lvl w:ilvl="2" w:tplc="D59C78AA" w:tentative="1">
      <w:start w:val="1"/>
      <w:numFmt w:val="bullet"/>
      <w:lvlText w:val="•"/>
      <w:lvlJc w:val="left"/>
      <w:pPr>
        <w:tabs>
          <w:tab w:val="num" w:pos="2160"/>
        </w:tabs>
        <w:ind w:left="2160" w:hanging="360"/>
      </w:pPr>
      <w:rPr>
        <w:rFonts w:ascii="Arial" w:hAnsi="Arial" w:hint="default"/>
      </w:rPr>
    </w:lvl>
    <w:lvl w:ilvl="3" w:tplc="76D665F2" w:tentative="1">
      <w:start w:val="1"/>
      <w:numFmt w:val="bullet"/>
      <w:lvlText w:val="•"/>
      <w:lvlJc w:val="left"/>
      <w:pPr>
        <w:tabs>
          <w:tab w:val="num" w:pos="2880"/>
        </w:tabs>
        <w:ind w:left="2880" w:hanging="360"/>
      </w:pPr>
      <w:rPr>
        <w:rFonts w:ascii="Arial" w:hAnsi="Arial" w:hint="default"/>
      </w:rPr>
    </w:lvl>
    <w:lvl w:ilvl="4" w:tplc="7892F824" w:tentative="1">
      <w:start w:val="1"/>
      <w:numFmt w:val="bullet"/>
      <w:lvlText w:val="•"/>
      <w:lvlJc w:val="left"/>
      <w:pPr>
        <w:tabs>
          <w:tab w:val="num" w:pos="3600"/>
        </w:tabs>
        <w:ind w:left="3600" w:hanging="360"/>
      </w:pPr>
      <w:rPr>
        <w:rFonts w:ascii="Arial" w:hAnsi="Arial" w:hint="default"/>
      </w:rPr>
    </w:lvl>
    <w:lvl w:ilvl="5" w:tplc="010EE876" w:tentative="1">
      <w:start w:val="1"/>
      <w:numFmt w:val="bullet"/>
      <w:lvlText w:val="•"/>
      <w:lvlJc w:val="left"/>
      <w:pPr>
        <w:tabs>
          <w:tab w:val="num" w:pos="4320"/>
        </w:tabs>
        <w:ind w:left="4320" w:hanging="360"/>
      </w:pPr>
      <w:rPr>
        <w:rFonts w:ascii="Arial" w:hAnsi="Arial" w:hint="default"/>
      </w:rPr>
    </w:lvl>
    <w:lvl w:ilvl="6" w:tplc="8F9E03C0" w:tentative="1">
      <w:start w:val="1"/>
      <w:numFmt w:val="bullet"/>
      <w:lvlText w:val="•"/>
      <w:lvlJc w:val="left"/>
      <w:pPr>
        <w:tabs>
          <w:tab w:val="num" w:pos="5040"/>
        </w:tabs>
        <w:ind w:left="5040" w:hanging="360"/>
      </w:pPr>
      <w:rPr>
        <w:rFonts w:ascii="Arial" w:hAnsi="Arial" w:hint="default"/>
      </w:rPr>
    </w:lvl>
    <w:lvl w:ilvl="7" w:tplc="2F66CC22" w:tentative="1">
      <w:start w:val="1"/>
      <w:numFmt w:val="bullet"/>
      <w:lvlText w:val="•"/>
      <w:lvlJc w:val="left"/>
      <w:pPr>
        <w:tabs>
          <w:tab w:val="num" w:pos="5760"/>
        </w:tabs>
        <w:ind w:left="5760" w:hanging="360"/>
      </w:pPr>
      <w:rPr>
        <w:rFonts w:ascii="Arial" w:hAnsi="Arial" w:hint="default"/>
      </w:rPr>
    </w:lvl>
    <w:lvl w:ilvl="8" w:tplc="AF3E63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9EB74E2"/>
    <w:multiLevelType w:val="hybridMultilevel"/>
    <w:tmpl w:val="9C90D7C8"/>
    <w:lvl w:ilvl="0" w:tplc="9C968FFC">
      <w:numFmt w:val="bullet"/>
      <w:lvlText w:val="-"/>
      <w:lvlJc w:val="left"/>
      <w:pPr>
        <w:ind w:left="116" w:hanging="709"/>
      </w:pPr>
      <w:rPr>
        <w:rFonts w:ascii="Verdana" w:eastAsia="Verdana" w:hAnsi="Verdana" w:cs="Verdana" w:hint="default"/>
        <w:w w:val="100"/>
        <w:sz w:val="22"/>
        <w:szCs w:val="22"/>
        <w:lang w:val="hu-HU" w:eastAsia="en-US" w:bidi="ar-SA"/>
      </w:rPr>
    </w:lvl>
    <w:lvl w:ilvl="1" w:tplc="3F80799A">
      <w:numFmt w:val="bullet"/>
      <w:lvlText w:val="•"/>
      <w:lvlJc w:val="left"/>
      <w:pPr>
        <w:ind w:left="1096" w:hanging="709"/>
      </w:pPr>
      <w:rPr>
        <w:rFonts w:hint="default"/>
        <w:lang w:val="hu-HU" w:eastAsia="en-US" w:bidi="ar-SA"/>
      </w:rPr>
    </w:lvl>
    <w:lvl w:ilvl="2" w:tplc="ACF49104">
      <w:numFmt w:val="bullet"/>
      <w:lvlText w:val="•"/>
      <w:lvlJc w:val="left"/>
      <w:pPr>
        <w:ind w:left="2073" w:hanging="709"/>
      </w:pPr>
      <w:rPr>
        <w:rFonts w:hint="default"/>
        <w:lang w:val="hu-HU" w:eastAsia="en-US" w:bidi="ar-SA"/>
      </w:rPr>
    </w:lvl>
    <w:lvl w:ilvl="3" w:tplc="E9DC3EF4">
      <w:numFmt w:val="bullet"/>
      <w:lvlText w:val="•"/>
      <w:lvlJc w:val="left"/>
      <w:pPr>
        <w:ind w:left="3049" w:hanging="709"/>
      </w:pPr>
      <w:rPr>
        <w:rFonts w:hint="default"/>
        <w:lang w:val="hu-HU" w:eastAsia="en-US" w:bidi="ar-SA"/>
      </w:rPr>
    </w:lvl>
    <w:lvl w:ilvl="4" w:tplc="6C267306">
      <w:numFmt w:val="bullet"/>
      <w:lvlText w:val="•"/>
      <w:lvlJc w:val="left"/>
      <w:pPr>
        <w:ind w:left="4026" w:hanging="709"/>
      </w:pPr>
      <w:rPr>
        <w:rFonts w:hint="default"/>
        <w:lang w:val="hu-HU" w:eastAsia="en-US" w:bidi="ar-SA"/>
      </w:rPr>
    </w:lvl>
    <w:lvl w:ilvl="5" w:tplc="0FEC2014">
      <w:numFmt w:val="bullet"/>
      <w:lvlText w:val="•"/>
      <w:lvlJc w:val="left"/>
      <w:pPr>
        <w:ind w:left="5003" w:hanging="709"/>
      </w:pPr>
      <w:rPr>
        <w:rFonts w:hint="default"/>
        <w:lang w:val="hu-HU" w:eastAsia="en-US" w:bidi="ar-SA"/>
      </w:rPr>
    </w:lvl>
    <w:lvl w:ilvl="6" w:tplc="0BAAC7D4">
      <w:numFmt w:val="bullet"/>
      <w:lvlText w:val="•"/>
      <w:lvlJc w:val="left"/>
      <w:pPr>
        <w:ind w:left="5979" w:hanging="709"/>
      </w:pPr>
      <w:rPr>
        <w:rFonts w:hint="default"/>
        <w:lang w:val="hu-HU" w:eastAsia="en-US" w:bidi="ar-SA"/>
      </w:rPr>
    </w:lvl>
    <w:lvl w:ilvl="7" w:tplc="9D16C4A8">
      <w:numFmt w:val="bullet"/>
      <w:lvlText w:val="•"/>
      <w:lvlJc w:val="left"/>
      <w:pPr>
        <w:ind w:left="6956" w:hanging="709"/>
      </w:pPr>
      <w:rPr>
        <w:rFonts w:hint="default"/>
        <w:lang w:val="hu-HU" w:eastAsia="en-US" w:bidi="ar-SA"/>
      </w:rPr>
    </w:lvl>
    <w:lvl w:ilvl="8" w:tplc="E6C261AC">
      <w:numFmt w:val="bullet"/>
      <w:lvlText w:val="•"/>
      <w:lvlJc w:val="left"/>
      <w:pPr>
        <w:ind w:left="7933" w:hanging="709"/>
      </w:pPr>
      <w:rPr>
        <w:rFonts w:hint="default"/>
        <w:lang w:val="hu-HU" w:eastAsia="en-US" w:bidi="ar-SA"/>
      </w:rPr>
    </w:lvl>
  </w:abstractNum>
  <w:abstractNum w:abstractNumId="20" w15:restartNumberingAfterBreak="0">
    <w:nsid w:val="7C3A1EDD"/>
    <w:multiLevelType w:val="hybridMultilevel"/>
    <w:tmpl w:val="5EF2D890"/>
    <w:lvl w:ilvl="0" w:tplc="C8FA9E50">
      <w:start w:val="1"/>
      <w:numFmt w:val="bullet"/>
      <w:lvlText w:val="•"/>
      <w:lvlJc w:val="left"/>
      <w:pPr>
        <w:tabs>
          <w:tab w:val="num" w:pos="720"/>
        </w:tabs>
        <w:ind w:left="720" w:hanging="360"/>
      </w:pPr>
      <w:rPr>
        <w:rFonts w:ascii="Arial" w:hAnsi="Arial" w:hint="default"/>
      </w:rPr>
    </w:lvl>
    <w:lvl w:ilvl="1" w:tplc="CC78AA6A">
      <w:start w:val="1"/>
      <w:numFmt w:val="bullet"/>
      <w:lvlText w:val="•"/>
      <w:lvlJc w:val="left"/>
      <w:pPr>
        <w:tabs>
          <w:tab w:val="num" w:pos="1440"/>
        </w:tabs>
        <w:ind w:left="1440" w:hanging="360"/>
      </w:pPr>
      <w:rPr>
        <w:rFonts w:ascii="Arial" w:hAnsi="Arial" w:hint="default"/>
      </w:rPr>
    </w:lvl>
    <w:lvl w:ilvl="2" w:tplc="3DA2E13C" w:tentative="1">
      <w:start w:val="1"/>
      <w:numFmt w:val="bullet"/>
      <w:lvlText w:val="•"/>
      <w:lvlJc w:val="left"/>
      <w:pPr>
        <w:tabs>
          <w:tab w:val="num" w:pos="2160"/>
        </w:tabs>
        <w:ind w:left="2160" w:hanging="360"/>
      </w:pPr>
      <w:rPr>
        <w:rFonts w:ascii="Arial" w:hAnsi="Arial" w:hint="default"/>
      </w:rPr>
    </w:lvl>
    <w:lvl w:ilvl="3" w:tplc="5D585ADC" w:tentative="1">
      <w:start w:val="1"/>
      <w:numFmt w:val="bullet"/>
      <w:lvlText w:val="•"/>
      <w:lvlJc w:val="left"/>
      <w:pPr>
        <w:tabs>
          <w:tab w:val="num" w:pos="2880"/>
        </w:tabs>
        <w:ind w:left="2880" w:hanging="360"/>
      </w:pPr>
      <w:rPr>
        <w:rFonts w:ascii="Arial" w:hAnsi="Arial" w:hint="default"/>
      </w:rPr>
    </w:lvl>
    <w:lvl w:ilvl="4" w:tplc="29CE336C" w:tentative="1">
      <w:start w:val="1"/>
      <w:numFmt w:val="bullet"/>
      <w:lvlText w:val="•"/>
      <w:lvlJc w:val="left"/>
      <w:pPr>
        <w:tabs>
          <w:tab w:val="num" w:pos="3600"/>
        </w:tabs>
        <w:ind w:left="3600" w:hanging="360"/>
      </w:pPr>
      <w:rPr>
        <w:rFonts w:ascii="Arial" w:hAnsi="Arial" w:hint="default"/>
      </w:rPr>
    </w:lvl>
    <w:lvl w:ilvl="5" w:tplc="1DD00788" w:tentative="1">
      <w:start w:val="1"/>
      <w:numFmt w:val="bullet"/>
      <w:lvlText w:val="•"/>
      <w:lvlJc w:val="left"/>
      <w:pPr>
        <w:tabs>
          <w:tab w:val="num" w:pos="4320"/>
        </w:tabs>
        <w:ind w:left="4320" w:hanging="360"/>
      </w:pPr>
      <w:rPr>
        <w:rFonts w:ascii="Arial" w:hAnsi="Arial" w:hint="default"/>
      </w:rPr>
    </w:lvl>
    <w:lvl w:ilvl="6" w:tplc="5150C712" w:tentative="1">
      <w:start w:val="1"/>
      <w:numFmt w:val="bullet"/>
      <w:lvlText w:val="•"/>
      <w:lvlJc w:val="left"/>
      <w:pPr>
        <w:tabs>
          <w:tab w:val="num" w:pos="5040"/>
        </w:tabs>
        <w:ind w:left="5040" w:hanging="360"/>
      </w:pPr>
      <w:rPr>
        <w:rFonts w:ascii="Arial" w:hAnsi="Arial" w:hint="default"/>
      </w:rPr>
    </w:lvl>
    <w:lvl w:ilvl="7" w:tplc="A0EE4942" w:tentative="1">
      <w:start w:val="1"/>
      <w:numFmt w:val="bullet"/>
      <w:lvlText w:val="•"/>
      <w:lvlJc w:val="left"/>
      <w:pPr>
        <w:tabs>
          <w:tab w:val="num" w:pos="5760"/>
        </w:tabs>
        <w:ind w:left="5760" w:hanging="360"/>
      </w:pPr>
      <w:rPr>
        <w:rFonts w:ascii="Arial" w:hAnsi="Arial" w:hint="default"/>
      </w:rPr>
    </w:lvl>
    <w:lvl w:ilvl="8" w:tplc="E46CB92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D0150F9"/>
    <w:multiLevelType w:val="hybridMultilevel"/>
    <w:tmpl w:val="670A5D98"/>
    <w:lvl w:ilvl="0" w:tplc="040E000F">
      <w:start w:val="1"/>
      <w:numFmt w:val="decimal"/>
      <w:lvlText w:val="%1."/>
      <w:lvlJc w:val="left"/>
      <w:pPr>
        <w:ind w:left="1079" w:hanging="360"/>
      </w:p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num w:numId="1" w16cid:durableId="1161896477">
    <w:abstractNumId w:val="19"/>
  </w:num>
  <w:num w:numId="2" w16cid:durableId="62870354">
    <w:abstractNumId w:val="7"/>
  </w:num>
  <w:num w:numId="3" w16cid:durableId="800882338">
    <w:abstractNumId w:val="11"/>
  </w:num>
  <w:num w:numId="4" w16cid:durableId="464348267">
    <w:abstractNumId w:val="5"/>
  </w:num>
  <w:num w:numId="5" w16cid:durableId="1074547500">
    <w:abstractNumId w:val="12"/>
    <w:lvlOverride w:ilvl="0">
      <w:startOverride w:val="1"/>
    </w:lvlOverride>
    <w:lvlOverride w:ilvl="1"/>
    <w:lvlOverride w:ilvl="2"/>
    <w:lvlOverride w:ilvl="3"/>
    <w:lvlOverride w:ilvl="4"/>
    <w:lvlOverride w:ilvl="5"/>
    <w:lvlOverride w:ilvl="6"/>
    <w:lvlOverride w:ilvl="7"/>
    <w:lvlOverride w:ilvl="8"/>
  </w:num>
  <w:num w:numId="6" w16cid:durableId="1699308881">
    <w:abstractNumId w:val="14"/>
  </w:num>
  <w:num w:numId="7" w16cid:durableId="1563977206">
    <w:abstractNumId w:val="15"/>
  </w:num>
  <w:num w:numId="8" w16cid:durableId="2115859606">
    <w:abstractNumId w:val="3"/>
  </w:num>
  <w:num w:numId="9" w16cid:durableId="380522228">
    <w:abstractNumId w:val="18"/>
  </w:num>
  <w:num w:numId="10" w16cid:durableId="505172721">
    <w:abstractNumId w:val="2"/>
  </w:num>
  <w:num w:numId="11" w16cid:durableId="1489900769">
    <w:abstractNumId w:val="20"/>
  </w:num>
  <w:num w:numId="12" w16cid:durableId="675184454">
    <w:abstractNumId w:val="13"/>
  </w:num>
  <w:num w:numId="13" w16cid:durableId="247157758">
    <w:abstractNumId w:val="9"/>
  </w:num>
  <w:num w:numId="14" w16cid:durableId="1862553323">
    <w:abstractNumId w:val="4"/>
  </w:num>
  <w:num w:numId="15" w16cid:durableId="225847056">
    <w:abstractNumId w:val="17"/>
  </w:num>
  <w:num w:numId="16" w16cid:durableId="10743540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8436246">
    <w:abstractNumId w:val="0"/>
  </w:num>
  <w:num w:numId="18" w16cid:durableId="446848408">
    <w:abstractNumId w:val="21"/>
  </w:num>
  <w:num w:numId="19" w16cid:durableId="1656567562">
    <w:abstractNumId w:val="10"/>
  </w:num>
  <w:num w:numId="20" w16cid:durableId="257955472">
    <w:abstractNumId w:val="16"/>
  </w:num>
  <w:num w:numId="21" w16cid:durableId="897089046">
    <w:abstractNumId w:val="8"/>
  </w:num>
  <w:num w:numId="22" w16cid:durableId="1229657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trackRevisions/>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20C"/>
    <w:rsid w:val="00010C98"/>
    <w:rsid w:val="0004751B"/>
    <w:rsid w:val="000861F2"/>
    <w:rsid w:val="0009030F"/>
    <w:rsid w:val="00090561"/>
    <w:rsid w:val="0009541C"/>
    <w:rsid w:val="000A2302"/>
    <w:rsid w:val="000B52B7"/>
    <w:rsid w:val="000B57A0"/>
    <w:rsid w:val="000F6A79"/>
    <w:rsid w:val="001301FE"/>
    <w:rsid w:val="0013480A"/>
    <w:rsid w:val="0016274B"/>
    <w:rsid w:val="00171EAA"/>
    <w:rsid w:val="00173E71"/>
    <w:rsid w:val="0019691B"/>
    <w:rsid w:val="001A19FC"/>
    <w:rsid w:val="001A1CC2"/>
    <w:rsid w:val="001A6F8A"/>
    <w:rsid w:val="001C1B20"/>
    <w:rsid w:val="001D463A"/>
    <w:rsid w:val="001F47B4"/>
    <w:rsid w:val="001F53BF"/>
    <w:rsid w:val="002111DE"/>
    <w:rsid w:val="00212C83"/>
    <w:rsid w:val="00230514"/>
    <w:rsid w:val="002951DD"/>
    <w:rsid w:val="002E18BA"/>
    <w:rsid w:val="002E2746"/>
    <w:rsid w:val="002E3DCB"/>
    <w:rsid w:val="00302D08"/>
    <w:rsid w:val="003323EE"/>
    <w:rsid w:val="003728F5"/>
    <w:rsid w:val="003802F7"/>
    <w:rsid w:val="00381C68"/>
    <w:rsid w:val="00384AF9"/>
    <w:rsid w:val="00385909"/>
    <w:rsid w:val="003A679E"/>
    <w:rsid w:val="003B08AA"/>
    <w:rsid w:val="003E0238"/>
    <w:rsid w:val="003F5522"/>
    <w:rsid w:val="004000E7"/>
    <w:rsid w:val="00412976"/>
    <w:rsid w:val="004163A9"/>
    <w:rsid w:val="00421AE2"/>
    <w:rsid w:val="004263A7"/>
    <w:rsid w:val="00432CAF"/>
    <w:rsid w:val="00435872"/>
    <w:rsid w:val="00443156"/>
    <w:rsid w:val="00452736"/>
    <w:rsid w:val="0045692E"/>
    <w:rsid w:val="004573E4"/>
    <w:rsid w:val="00457E73"/>
    <w:rsid w:val="004A2EBE"/>
    <w:rsid w:val="004C3C3F"/>
    <w:rsid w:val="004C3E56"/>
    <w:rsid w:val="004C7715"/>
    <w:rsid w:val="004D35EB"/>
    <w:rsid w:val="004D628D"/>
    <w:rsid w:val="004E726D"/>
    <w:rsid w:val="0051796F"/>
    <w:rsid w:val="00520183"/>
    <w:rsid w:val="00550575"/>
    <w:rsid w:val="005529FB"/>
    <w:rsid w:val="00560F3D"/>
    <w:rsid w:val="00595438"/>
    <w:rsid w:val="005968C9"/>
    <w:rsid w:val="005B49E4"/>
    <w:rsid w:val="005E6A0A"/>
    <w:rsid w:val="00613ADB"/>
    <w:rsid w:val="00620E5C"/>
    <w:rsid w:val="00633D80"/>
    <w:rsid w:val="006462D5"/>
    <w:rsid w:val="006511C6"/>
    <w:rsid w:val="006A460F"/>
    <w:rsid w:val="006B2BE2"/>
    <w:rsid w:val="006B351B"/>
    <w:rsid w:val="006E6486"/>
    <w:rsid w:val="006F38EB"/>
    <w:rsid w:val="00724E57"/>
    <w:rsid w:val="00731A79"/>
    <w:rsid w:val="00734137"/>
    <w:rsid w:val="007431BC"/>
    <w:rsid w:val="00761D71"/>
    <w:rsid w:val="0076420C"/>
    <w:rsid w:val="00791DDA"/>
    <w:rsid w:val="007B5968"/>
    <w:rsid w:val="007D2B04"/>
    <w:rsid w:val="007E3DE2"/>
    <w:rsid w:val="007E675D"/>
    <w:rsid w:val="00813C9A"/>
    <w:rsid w:val="008A0EAA"/>
    <w:rsid w:val="008E70D0"/>
    <w:rsid w:val="008F427D"/>
    <w:rsid w:val="00913D78"/>
    <w:rsid w:val="00930F2E"/>
    <w:rsid w:val="00947E8E"/>
    <w:rsid w:val="009526C0"/>
    <w:rsid w:val="00963D02"/>
    <w:rsid w:val="009D4037"/>
    <w:rsid w:val="009D7BF2"/>
    <w:rsid w:val="009E3B3D"/>
    <w:rsid w:val="009F3480"/>
    <w:rsid w:val="009F5CAF"/>
    <w:rsid w:val="00A238C6"/>
    <w:rsid w:val="00A40E04"/>
    <w:rsid w:val="00A45714"/>
    <w:rsid w:val="00A6770A"/>
    <w:rsid w:val="00A716D1"/>
    <w:rsid w:val="00A857F9"/>
    <w:rsid w:val="00A9286A"/>
    <w:rsid w:val="00AA4775"/>
    <w:rsid w:val="00AF59A7"/>
    <w:rsid w:val="00B16DE5"/>
    <w:rsid w:val="00B27735"/>
    <w:rsid w:val="00B54F00"/>
    <w:rsid w:val="00B6019E"/>
    <w:rsid w:val="00B64C1A"/>
    <w:rsid w:val="00B77459"/>
    <w:rsid w:val="00BA31A7"/>
    <w:rsid w:val="00BA502C"/>
    <w:rsid w:val="00BA7A16"/>
    <w:rsid w:val="00BB7271"/>
    <w:rsid w:val="00BC6EF7"/>
    <w:rsid w:val="00C01BF3"/>
    <w:rsid w:val="00C208E6"/>
    <w:rsid w:val="00C45C72"/>
    <w:rsid w:val="00C51C02"/>
    <w:rsid w:val="00C62B37"/>
    <w:rsid w:val="00C8616E"/>
    <w:rsid w:val="00CA16B0"/>
    <w:rsid w:val="00CB6B02"/>
    <w:rsid w:val="00CD5D4E"/>
    <w:rsid w:val="00CF2A9C"/>
    <w:rsid w:val="00D62B56"/>
    <w:rsid w:val="00D85EBB"/>
    <w:rsid w:val="00DA17BF"/>
    <w:rsid w:val="00DB09E5"/>
    <w:rsid w:val="00DC35F2"/>
    <w:rsid w:val="00DE76D0"/>
    <w:rsid w:val="00DF73FE"/>
    <w:rsid w:val="00E1201C"/>
    <w:rsid w:val="00E565FC"/>
    <w:rsid w:val="00E941D9"/>
    <w:rsid w:val="00ED7AB3"/>
    <w:rsid w:val="00F4026F"/>
    <w:rsid w:val="00F54202"/>
    <w:rsid w:val="00F71AB9"/>
    <w:rsid w:val="00FB05FC"/>
    <w:rsid w:val="00FC289D"/>
    <w:rsid w:val="00FD01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BFBCE0"/>
  <w15:docId w15:val="{61F7A49C-1FC5-4A53-9D04-8D9D10DEA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Verdana" w:eastAsia="Verdana" w:hAnsi="Verdana" w:cs="Verdana"/>
      <w:lang w:val="hu-HU"/>
    </w:rPr>
  </w:style>
  <w:style w:type="paragraph" w:styleId="Cmsor1">
    <w:name w:val="heading 1"/>
    <w:basedOn w:val="Norml"/>
    <w:uiPriority w:val="9"/>
    <w:qFormat/>
    <w:pPr>
      <w:spacing w:before="101"/>
      <w:ind w:left="836" w:hanging="720"/>
      <w:outlineLvl w:val="0"/>
    </w:pPr>
    <w:rPr>
      <w:b/>
      <w:bCs/>
    </w:rPr>
  </w:style>
  <w:style w:type="paragraph" w:styleId="Cmsor2">
    <w:name w:val="heading 2"/>
    <w:basedOn w:val="Norml"/>
    <w:next w:val="Norml"/>
    <w:link w:val="Cmsor2Char"/>
    <w:uiPriority w:val="9"/>
    <w:unhideWhenUsed/>
    <w:qFormat/>
    <w:rsid w:val="00620E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CB6B0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style>
  <w:style w:type="paragraph" w:styleId="Listaszerbekezds">
    <w:name w:val="List Paragraph"/>
    <w:basedOn w:val="Norml"/>
    <w:uiPriority w:val="34"/>
    <w:qFormat/>
    <w:pPr>
      <w:ind w:left="476" w:hanging="360"/>
    </w:pPr>
  </w:style>
  <w:style w:type="paragraph" w:customStyle="1" w:styleId="TableParagraph">
    <w:name w:val="Table Paragraph"/>
    <w:basedOn w:val="Norml"/>
    <w:uiPriority w:val="1"/>
    <w:qFormat/>
    <w:rPr>
      <w:rFonts w:ascii="Carlito" w:eastAsia="Carlito" w:hAnsi="Carlito" w:cs="Carlito"/>
    </w:rPr>
  </w:style>
  <w:style w:type="character" w:styleId="Jegyzethivatkozs">
    <w:name w:val="annotation reference"/>
    <w:basedOn w:val="Bekezdsalapbettpusa"/>
    <w:uiPriority w:val="99"/>
    <w:semiHidden/>
    <w:unhideWhenUsed/>
    <w:rsid w:val="00B16DE5"/>
    <w:rPr>
      <w:sz w:val="16"/>
      <w:szCs w:val="16"/>
    </w:rPr>
  </w:style>
  <w:style w:type="paragraph" w:styleId="Jegyzetszveg">
    <w:name w:val="annotation text"/>
    <w:basedOn w:val="Norml"/>
    <w:link w:val="JegyzetszvegChar"/>
    <w:uiPriority w:val="99"/>
    <w:semiHidden/>
    <w:unhideWhenUsed/>
    <w:rsid w:val="00B16DE5"/>
    <w:rPr>
      <w:sz w:val="20"/>
      <w:szCs w:val="20"/>
    </w:rPr>
  </w:style>
  <w:style w:type="character" w:customStyle="1" w:styleId="JegyzetszvegChar">
    <w:name w:val="Jegyzetszöveg Char"/>
    <w:basedOn w:val="Bekezdsalapbettpusa"/>
    <w:link w:val="Jegyzetszveg"/>
    <w:uiPriority w:val="99"/>
    <w:semiHidden/>
    <w:rsid w:val="00B16DE5"/>
    <w:rPr>
      <w:rFonts w:ascii="Verdana" w:eastAsia="Verdana" w:hAnsi="Verdana" w:cs="Verdana"/>
      <w:sz w:val="20"/>
      <w:szCs w:val="20"/>
      <w:lang w:val="hu-HU"/>
    </w:rPr>
  </w:style>
  <w:style w:type="paragraph" w:styleId="Megjegyzstrgya">
    <w:name w:val="annotation subject"/>
    <w:basedOn w:val="Jegyzetszveg"/>
    <w:next w:val="Jegyzetszveg"/>
    <w:link w:val="MegjegyzstrgyaChar"/>
    <w:uiPriority w:val="99"/>
    <w:semiHidden/>
    <w:unhideWhenUsed/>
    <w:rsid w:val="00B16DE5"/>
    <w:rPr>
      <w:b/>
      <w:bCs/>
    </w:rPr>
  </w:style>
  <w:style w:type="character" w:customStyle="1" w:styleId="MegjegyzstrgyaChar">
    <w:name w:val="Megjegyzés tárgya Char"/>
    <w:basedOn w:val="JegyzetszvegChar"/>
    <w:link w:val="Megjegyzstrgya"/>
    <w:uiPriority w:val="99"/>
    <w:semiHidden/>
    <w:rsid w:val="00B16DE5"/>
    <w:rPr>
      <w:rFonts w:ascii="Verdana" w:eastAsia="Verdana" w:hAnsi="Verdana" w:cs="Verdana"/>
      <w:b/>
      <w:bCs/>
      <w:sz w:val="20"/>
      <w:szCs w:val="20"/>
      <w:lang w:val="hu-HU"/>
    </w:rPr>
  </w:style>
  <w:style w:type="paragraph" w:styleId="lfej">
    <w:name w:val="header"/>
    <w:basedOn w:val="Norml"/>
    <w:link w:val="lfejChar"/>
    <w:uiPriority w:val="99"/>
    <w:unhideWhenUsed/>
    <w:rsid w:val="00452736"/>
    <w:pPr>
      <w:tabs>
        <w:tab w:val="center" w:pos="4536"/>
        <w:tab w:val="right" w:pos="9072"/>
      </w:tabs>
    </w:pPr>
  </w:style>
  <w:style w:type="character" w:customStyle="1" w:styleId="lfejChar">
    <w:name w:val="Élőfej Char"/>
    <w:basedOn w:val="Bekezdsalapbettpusa"/>
    <w:link w:val="lfej"/>
    <w:uiPriority w:val="99"/>
    <w:rsid w:val="00452736"/>
    <w:rPr>
      <w:rFonts w:ascii="Verdana" w:eastAsia="Verdana" w:hAnsi="Verdana" w:cs="Verdana"/>
      <w:lang w:val="hu-HU"/>
    </w:rPr>
  </w:style>
  <w:style w:type="paragraph" w:styleId="llb">
    <w:name w:val="footer"/>
    <w:basedOn w:val="Norml"/>
    <w:link w:val="llbChar"/>
    <w:uiPriority w:val="99"/>
    <w:unhideWhenUsed/>
    <w:rsid w:val="00452736"/>
    <w:pPr>
      <w:tabs>
        <w:tab w:val="center" w:pos="4536"/>
        <w:tab w:val="right" w:pos="9072"/>
      </w:tabs>
    </w:pPr>
  </w:style>
  <w:style w:type="character" w:customStyle="1" w:styleId="llbChar">
    <w:name w:val="Élőláb Char"/>
    <w:basedOn w:val="Bekezdsalapbettpusa"/>
    <w:link w:val="llb"/>
    <w:uiPriority w:val="99"/>
    <w:rsid w:val="00452736"/>
    <w:rPr>
      <w:rFonts w:ascii="Verdana" w:eastAsia="Verdana" w:hAnsi="Verdana" w:cs="Verdana"/>
      <w:lang w:val="hu-HU"/>
    </w:rPr>
  </w:style>
  <w:style w:type="character" w:customStyle="1" w:styleId="Cmsor2Char">
    <w:name w:val="Címsor 2 Char"/>
    <w:basedOn w:val="Bekezdsalapbettpusa"/>
    <w:link w:val="Cmsor2"/>
    <w:uiPriority w:val="9"/>
    <w:rsid w:val="00620E5C"/>
    <w:rPr>
      <w:rFonts w:asciiTheme="majorHAnsi" w:eastAsiaTheme="majorEastAsia" w:hAnsiTheme="majorHAnsi" w:cstheme="majorBidi"/>
      <w:color w:val="365F91" w:themeColor="accent1" w:themeShade="BF"/>
      <w:sz w:val="26"/>
      <w:szCs w:val="26"/>
      <w:lang w:val="hu-HU"/>
    </w:rPr>
  </w:style>
  <w:style w:type="paragraph" w:styleId="Tartalomjegyzkcmsora">
    <w:name w:val="TOC Heading"/>
    <w:basedOn w:val="Cmsor1"/>
    <w:next w:val="Norml"/>
    <w:uiPriority w:val="39"/>
    <w:unhideWhenUsed/>
    <w:qFormat/>
    <w:rsid w:val="00CB6B0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hu-HU"/>
    </w:rPr>
  </w:style>
  <w:style w:type="paragraph" w:styleId="TJ2">
    <w:name w:val="toc 2"/>
    <w:basedOn w:val="Norml"/>
    <w:next w:val="Norml"/>
    <w:autoRedefine/>
    <w:uiPriority w:val="39"/>
    <w:unhideWhenUsed/>
    <w:rsid w:val="00CB6B02"/>
    <w:pPr>
      <w:widowControl/>
      <w:autoSpaceDE/>
      <w:autoSpaceDN/>
      <w:spacing w:after="100" w:line="276" w:lineRule="auto"/>
      <w:ind w:left="220"/>
    </w:pPr>
    <w:rPr>
      <w:rFonts w:asciiTheme="minorHAnsi" w:eastAsiaTheme="minorHAnsi" w:hAnsiTheme="minorHAnsi" w:cstheme="minorBidi"/>
    </w:rPr>
  </w:style>
  <w:style w:type="character" w:styleId="Hiperhivatkozs">
    <w:name w:val="Hyperlink"/>
    <w:basedOn w:val="Bekezdsalapbettpusa"/>
    <w:uiPriority w:val="99"/>
    <w:unhideWhenUsed/>
    <w:rsid w:val="00CB6B02"/>
    <w:rPr>
      <w:color w:val="0000FF" w:themeColor="hyperlink"/>
      <w:u w:val="single"/>
    </w:rPr>
  </w:style>
  <w:style w:type="paragraph" w:styleId="TJ1">
    <w:name w:val="toc 1"/>
    <w:basedOn w:val="Norml"/>
    <w:next w:val="Norml"/>
    <w:autoRedefine/>
    <w:uiPriority w:val="39"/>
    <w:unhideWhenUsed/>
    <w:rsid w:val="002111DE"/>
    <w:pPr>
      <w:widowControl/>
      <w:tabs>
        <w:tab w:val="right" w:leader="dot" w:pos="9880"/>
      </w:tabs>
      <w:autoSpaceDE/>
      <w:autoSpaceDN/>
      <w:spacing w:after="100" w:line="259" w:lineRule="auto"/>
    </w:pPr>
    <w:rPr>
      <w:rFonts w:eastAsiaTheme="minorEastAsia" w:cs="Times New Roman"/>
      <w:b/>
      <w:bCs/>
      <w:noProof/>
      <w:lang w:eastAsia="hu-HU"/>
    </w:rPr>
  </w:style>
  <w:style w:type="character" w:customStyle="1" w:styleId="Cmsor3Char">
    <w:name w:val="Címsor 3 Char"/>
    <w:basedOn w:val="Bekezdsalapbettpusa"/>
    <w:link w:val="Cmsor3"/>
    <w:uiPriority w:val="9"/>
    <w:rsid w:val="00CB6B02"/>
    <w:rPr>
      <w:rFonts w:asciiTheme="majorHAnsi" w:eastAsiaTheme="majorEastAsia" w:hAnsiTheme="majorHAnsi" w:cstheme="majorBidi"/>
      <w:color w:val="243F60" w:themeColor="accent1" w:themeShade="7F"/>
      <w:sz w:val="24"/>
      <w:szCs w:val="24"/>
      <w:lang w:val="hu-HU"/>
    </w:rPr>
  </w:style>
  <w:style w:type="paragraph" w:styleId="TJ3">
    <w:name w:val="toc 3"/>
    <w:basedOn w:val="Norml"/>
    <w:next w:val="Norml"/>
    <w:autoRedefine/>
    <w:uiPriority w:val="39"/>
    <w:unhideWhenUsed/>
    <w:rsid w:val="00CB6B02"/>
    <w:pPr>
      <w:spacing w:after="100"/>
      <w:ind w:left="440"/>
    </w:pPr>
  </w:style>
  <w:style w:type="character" w:styleId="Kiemels2">
    <w:name w:val="Strong"/>
    <w:basedOn w:val="Bekezdsalapbettpusa"/>
    <w:uiPriority w:val="22"/>
    <w:qFormat/>
    <w:rsid w:val="00BA7A16"/>
    <w:rPr>
      <w:b/>
      <w:bCs/>
    </w:rPr>
  </w:style>
  <w:style w:type="paragraph" w:styleId="Vltozat">
    <w:name w:val="Revision"/>
    <w:hidden/>
    <w:uiPriority w:val="99"/>
    <w:semiHidden/>
    <w:rsid w:val="000861F2"/>
    <w:pPr>
      <w:widowControl/>
      <w:autoSpaceDE/>
      <w:autoSpaceDN/>
    </w:pPr>
    <w:rPr>
      <w:rFonts w:ascii="Verdana" w:eastAsia="Verdana" w:hAnsi="Verdana" w:cs="Verdana"/>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1297">
      <w:bodyDiv w:val="1"/>
      <w:marLeft w:val="0"/>
      <w:marRight w:val="0"/>
      <w:marTop w:val="0"/>
      <w:marBottom w:val="0"/>
      <w:divBdr>
        <w:top w:val="none" w:sz="0" w:space="0" w:color="auto"/>
        <w:left w:val="none" w:sz="0" w:space="0" w:color="auto"/>
        <w:bottom w:val="none" w:sz="0" w:space="0" w:color="auto"/>
        <w:right w:val="none" w:sz="0" w:space="0" w:color="auto"/>
      </w:divBdr>
    </w:div>
    <w:div w:id="367342524">
      <w:bodyDiv w:val="1"/>
      <w:marLeft w:val="0"/>
      <w:marRight w:val="0"/>
      <w:marTop w:val="0"/>
      <w:marBottom w:val="0"/>
      <w:divBdr>
        <w:top w:val="none" w:sz="0" w:space="0" w:color="auto"/>
        <w:left w:val="none" w:sz="0" w:space="0" w:color="auto"/>
        <w:bottom w:val="none" w:sz="0" w:space="0" w:color="auto"/>
        <w:right w:val="none" w:sz="0" w:space="0" w:color="auto"/>
      </w:divBdr>
      <w:divsChild>
        <w:div w:id="1538814123">
          <w:marLeft w:val="0"/>
          <w:marRight w:val="0"/>
          <w:marTop w:val="0"/>
          <w:marBottom w:val="0"/>
          <w:divBdr>
            <w:top w:val="none" w:sz="0" w:space="0" w:color="auto"/>
            <w:left w:val="none" w:sz="0" w:space="0" w:color="auto"/>
            <w:bottom w:val="none" w:sz="0" w:space="0" w:color="auto"/>
            <w:right w:val="none" w:sz="0" w:space="0" w:color="auto"/>
          </w:divBdr>
        </w:div>
        <w:div w:id="29690923">
          <w:marLeft w:val="0"/>
          <w:marRight w:val="0"/>
          <w:marTop w:val="0"/>
          <w:marBottom w:val="0"/>
          <w:divBdr>
            <w:top w:val="none" w:sz="0" w:space="0" w:color="auto"/>
            <w:left w:val="none" w:sz="0" w:space="0" w:color="auto"/>
            <w:bottom w:val="none" w:sz="0" w:space="0" w:color="auto"/>
            <w:right w:val="none" w:sz="0" w:space="0" w:color="auto"/>
          </w:divBdr>
        </w:div>
        <w:div w:id="1322080085">
          <w:marLeft w:val="0"/>
          <w:marRight w:val="0"/>
          <w:marTop w:val="0"/>
          <w:marBottom w:val="0"/>
          <w:divBdr>
            <w:top w:val="none" w:sz="0" w:space="0" w:color="auto"/>
            <w:left w:val="none" w:sz="0" w:space="0" w:color="auto"/>
            <w:bottom w:val="none" w:sz="0" w:space="0" w:color="auto"/>
            <w:right w:val="none" w:sz="0" w:space="0" w:color="auto"/>
          </w:divBdr>
        </w:div>
        <w:div w:id="2110731533">
          <w:marLeft w:val="0"/>
          <w:marRight w:val="0"/>
          <w:marTop w:val="0"/>
          <w:marBottom w:val="0"/>
          <w:divBdr>
            <w:top w:val="none" w:sz="0" w:space="0" w:color="auto"/>
            <w:left w:val="none" w:sz="0" w:space="0" w:color="auto"/>
            <w:bottom w:val="none" w:sz="0" w:space="0" w:color="auto"/>
            <w:right w:val="none" w:sz="0" w:space="0" w:color="auto"/>
          </w:divBdr>
        </w:div>
        <w:div w:id="996767499">
          <w:marLeft w:val="0"/>
          <w:marRight w:val="0"/>
          <w:marTop w:val="0"/>
          <w:marBottom w:val="0"/>
          <w:divBdr>
            <w:top w:val="none" w:sz="0" w:space="0" w:color="auto"/>
            <w:left w:val="none" w:sz="0" w:space="0" w:color="auto"/>
            <w:bottom w:val="none" w:sz="0" w:space="0" w:color="auto"/>
            <w:right w:val="none" w:sz="0" w:space="0" w:color="auto"/>
          </w:divBdr>
        </w:div>
      </w:divsChild>
    </w:div>
    <w:div w:id="710032635">
      <w:bodyDiv w:val="1"/>
      <w:marLeft w:val="0"/>
      <w:marRight w:val="0"/>
      <w:marTop w:val="0"/>
      <w:marBottom w:val="0"/>
      <w:divBdr>
        <w:top w:val="none" w:sz="0" w:space="0" w:color="auto"/>
        <w:left w:val="none" w:sz="0" w:space="0" w:color="auto"/>
        <w:bottom w:val="none" w:sz="0" w:space="0" w:color="auto"/>
        <w:right w:val="none" w:sz="0" w:space="0" w:color="auto"/>
      </w:divBdr>
    </w:div>
    <w:div w:id="903637018">
      <w:bodyDiv w:val="1"/>
      <w:marLeft w:val="0"/>
      <w:marRight w:val="0"/>
      <w:marTop w:val="0"/>
      <w:marBottom w:val="0"/>
      <w:divBdr>
        <w:top w:val="none" w:sz="0" w:space="0" w:color="auto"/>
        <w:left w:val="none" w:sz="0" w:space="0" w:color="auto"/>
        <w:bottom w:val="none" w:sz="0" w:space="0" w:color="auto"/>
        <w:right w:val="none" w:sz="0" w:space="0" w:color="auto"/>
      </w:divBdr>
    </w:div>
    <w:div w:id="949552675">
      <w:bodyDiv w:val="1"/>
      <w:marLeft w:val="0"/>
      <w:marRight w:val="0"/>
      <w:marTop w:val="0"/>
      <w:marBottom w:val="0"/>
      <w:divBdr>
        <w:top w:val="none" w:sz="0" w:space="0" w:color="auto"/>
        <w:left w:val="none" w:sz="0" w:space="0" w:color="auto"/>
        <w:bottom w:val="none" w:sz="0" w:space="0" w:color="auto"/>
        <w:right w:val="none" w:sz="0" w:space="0" w:color="auto"/>
      </w:divBdr>
    </w:div>
    <w:div w:id="1039862261">
      <w:bodyDiv w:val="1"/>
      <w:marLeft w:val="0"/>
      <w:marRight w:val="0"/>
      <w:marTop w:val="0"/>
      <w:marBottom w:val="0"/>
      <w:divBdr>
        <w:top w:val="none" w:sz="0" w:space="0" w:color="auto"/>
        <w:left w:val="none" w:sz="0" w:space="0" w:color="auto"/>
        <w:bottom w:val="none" w:sz="0" w:space="0" w:color="auto"/>
        <w:right w:val="none" w:sz="0" w:space="0" w:color="auto"/>
      </w:divBdr>
    </w:div>
    <w:div w:id="1091387005">
      <w:bodyDiv w:val="1"/>
      <w:marLeft w:val="0"/>
      <w:marRight w:val="0"/>
      <w:marTop w:val="0"/>
      <w:marBottom w:val="0"/>
      <w:divBdr>
        <w:top w:val="none" w:sz="0" w:space="0" w:color="auto"/>
        <w:left w:val="none" w:sz="0" w:space="0" w:color="auto"/>
        <w:bottom w:val="none" w:sz="0" w:space="0" w:color="auto"/>
        <w:right w:val="none" w:sz="0" w:space="0" w:color="auto"/>
      </w:divBdr>
    </w:div>
    <w:div w:id="1093476878">
      <w:bodyDiv w:val="1"/>
      <w:marLeft w:val="0"/>
      <w:marRight w:val="0"/>
      <w:marTop w:val="0"/>
      <w:marBottom w:val="0"/>
      <w:divBdr>
        <w:top w:val="none" w:sz="0" w:space="0" w:color="auto"/>
        <w:left w:val="none" w:sz="0" w:space="0" w:color="auto"/>
        <w:bottom w:val="none" w:sz="0" w:space="0" w:color="auto"/>
        <w:right w:val="none" w:sz="0" w:space="0" w:color="auto"/>
      </w:divBdr>
    </w:div>
    <w:div w:id="1478183405">
      <w:bodyDiv w:val="1"/>
      <w:marLeft w:val="0"/>
      <w:marRight w:val="0"/>
      <w:marTop w:val="0"/>
      <w:marBottom w:val="0"/>
      <w:divBdr>
        <w:top w:val="none" w:sz="0" w:space="0" w:color="auto"/>
        <w:left w:val="none" w:sz="0" w:space="0" w:color="auto"/>
        <w:bottom w:val="none" w:sz="0" w:space="0" w:color="auto"/>
        <w:right w:val="none" w:sz="0" w:space="0" w:color="auto"/>
      </w:divBdr>
    </w:div>
    <w:div w:id="1549226360">
      <w:bodyDiv w:val="1"/>
      <w:marLeft w:val="0"/>
      <w:marRight w:val="0"/>
      <w:marTop w:val="0"/>
      <w:marBottom w:val="0"/>
      <w:divBdr>
        <w:top w:val="none" w:sz="0" w:space="0" w:color="auto"/>
        <w:left w:val="none" w:sz="0" w:space="0" w:color="auto"/>
        <w:bottom w:val="none" w:sz="0" w:space="0" w:color="auto"/>
        <w:right w:val="none" w:sz="0" w:space="0" w:color="auto"/>
      </w:divBdr>
      <w:divsChild>
        <w:div w:id="708726052">
          <w:marLeft w:val="1166"/>
          <w:marRight w:val="0"/>
          <w:marTop w:val="0"/>
          <w:marBottom w:val="0"/>
          <w:divBdr>
            <w:top w:val="none" w:sz="0" w:space="0" w:color="auto"/>
            <w:left w:val="none" w:sz="0" w:space="0" w:color="auto"/>
            <w:bottom w:val="none" w:sz="0" w:space="0" w:color="auto"/>
            <w:right w:val="none" w:sz="0" w:space="0" w:color="auto"/>
          </w:divBdr>
        </w:div>
        <w:div w:id="608588300">
          <w:marLeft w:val="1166"/>
          <w:marRight w:val="0"/>
          <w:marTop w:val="0"/>
          <w:marBottom w:val="0"/>
          <w:divBdr>
            <w:top w:val="none" w:sz="0" w:space="0" w:color="auto"/>
            <w:left w:val="none" w:sz="0" w:space="0" w:color="auto"/>
            <w:bottom w:val="none" w:sz="0" w:space="0" w:color="auto"/>
            <w:right w:val="none" w:sz="0" w:space="0" w:color="auto"/>
          </w:divBdr>
        </w:div>
        <w:div w:id="1244677445">
          <w:marLeft w:val="1166"/>
          <w:marRight w:val="0"/>
          <w:marTop w:val="0"/>
          <w:marBottom w:val="0"/>
          <w:divBdr>
            <w:top w:val="none" w:sz="0" w:space="0" w:color="auto"/>
            <w:left w:val="none" w:sz="0" w:space="0" w:color="auto"/>
            <w:bottom w:val="none" w:sz="0" w:space="0" w:color="auto"/>
            <w:right w:val="none" w:sz="0" w:space="0" w:color="auto"/>
          </w:divBdr>
        </w:div>
        <w:div w:id="1400590714">
          <w:marLeft w:val="1886"/>
          <w:marRight w:val="0"/>
          <w:marTop w:val="0"/>
          <w:marBottom w:val="0"/>
          <w:divBdr>
            <w:top w:val="none" w:sz="0" w:space="0" w:color="auto"/>
            <w:left w:val="none" w:sz="0" w:space="0" w:color="auto"/>
            <w:bottom w:val="none" w:sz="0" w:space="0" w:color="auto"/>
            <w:right w:val="none" w:sz="0" w:space="0" w:color="auto"/>
          </w:divBdr>
        </w:div>
        <w:div w:id="1090196018">
          <w:marLeft w:val="1886"/>
          <w:marRight w:val="0"/>
          <w:marTop w:val="0"/>
          <w:marBottom w:val="0"/>
          <w:divBdr>
            <w:top w:val="none" w:sz="0" w:space="0" w:color="auto"/>
            <w:left w:val="none" w:sz="0" w:space="0" w:color="auto"/>
            <w:bottom w:val="none" w:sz="0" w:space="0" w:color="auto"/>
            <w:right w:val="none" w:sz="0" w:space="0" w:color="auto"/>
          </w:divBdr>
        </w:div>
        <w:div w:id="122500926">
          <w:marLeft w:val="1886"/>
          <w:marRight w:val="0"/>
          <w:marTop w:val="0"/>
          <w:marBottom w:val="0"/>
          <w:divBdr>
            <w:top w:val="none" w:sz="0" w:space="0" w:color="auto"/>
            <w:left w:val="none" w:sz="0" w:space="0" w:color="auto"/>
            <w:bottom w:val="none" w:sz="0" w:space="0" w:color="auto"/>
            <w:right w:val="none" w:sz="0" w:space="0" w:color="auto"/>
          </w:divBdr>
        </w:div>
        <w:div w:id="708339282">
          <w:marLeft w:val="1166"/>
          <w:marRight w:val="0"/>
          <w:marTop w:val="0"/>
          <w:marBottom w:val="0"/>
          <w:divBdr>
            <w:top w:val="none" w:sz="0" w:space="0" w:color="auto"/>
            <w:left w:val="none" w:sz="0" w:space="0" w:color="auto"/>
            <w:bottom w:val="none" w:sz="0" w:space="0" w:color="auto"/>
            <w:right w:val="none" w:sz="0" w:space="0" w:color="auto"/>
          </w:divBdr>
        </w:div>
        <w:div w:id="1089039635">
          <w:marLeft w:val="1166"/>
          <w:marRight w:val="0"/>
          <w:marTop w:val="0"/>
          <w:marBottom w:val="0"/>
          <w:divBdr>
            <w:top w:val="none" w:sz="0" w:space="0" w:color="auto"/>
            <w:left w:val="none" w:sz="0" w:space="0" w:color="auto"/>
            <w:bottom w:val="none" w:sz="0" w:space="0" w:color="auto"/>
            <w:right w:val="none" w:sz="0" w:space="0" w:color="auto"/>
          </w:divBdr>
        </w:div>
        <w:div w:id="995766471">
          <w:marLeft w:val="1166"/>
          <w:marRight w:val="0"/>
          <w:marTop w:val="0"/>
          <w:marBottom w:val="0"/>
          <w:divBdr>
            <w:top w:val="none" w:sz="0" w:space="0" w:color="auto"/>
            <w:left w:val="none" w:sz="0" w:space="0" w:color="auto"/>
            <w:bottom w:val="none" w:sz="0" w:space="0" w:color="auto"/>
            <w:right w:val="none" w:sz="0" w:space="0" w:color="auto"/>
          </w:divBdr>
        </w:div>
        <w:div w:id="1201894017">
          <w:marLeft w:val="1166"/>
          <w:marRight w:val="0"/>
          <w:marTop w:val="0"/>
          <w:marBottom w:val="0"/>
          <w:divBdr>
            <w:top w:val="none" w:sz="0" w:space="0" w:color="auto"/>
            <w:left w:val="none" w:sz="0" w:space="0" w:color="auto"/>
            <w:bottom w:val="none" w:sz="0" w:space="0" w:color="auto"/>
            <w:right w:val="none" w:sz="0" w:space="0" w:color="auto"/>
          </w:divBdr>
        </w:div>
        <w:div w:id="1807696709">
          <w:marLeft w:val="1166"/>
          <w:marRight w:val="0"/>
          <w:marTop w:val="0"/>
          <w:marBottom w:val="0"/>
          <w:divBdr>
            <w:top w:val="none" w:sz="0" w:space="0" w:color="auto"/>
            <w:left w:val="none" w:sz="0" w:space="0" w:color="auto"/>
            <w:bottom w:val="none" w:sz="0" w:space="0" w:color="auto"/>
            <w:right w:val="none" w:sz="0" w:space="0" w:color="auto"/>
          </w:divBdr>
        </w:div>
      </w:divsChild>
    </w:div>
    <w:div w:id="1560166480">
      <w:bodyDiv w:val="1"/>
      <w:marLeft w:val="0"/>
      <w:marRight w:val="0"/>
      <w:marTop w:val="0"/>
      <w:marBottom w:val="0"/>
      <w:divBdr>
        <w:top w:val="none" w:sz="0" w:space="0" w:color="auto"/>
        <w:left w:val="none" w:sz="0" w:space="0" w:color="auto"/>
        <w:bottom w:val="none" w:sz="0" w:space="0" w:color="auto"/>
        <w:right w:val="none" w:sz="0" w:space="0" w:color="auto"/>
      </w:divBdr>
    </w:div>
    <w:div w:id="2008554726">
      <w:bodyDiv w:val="1"/>
      <w:marLeft w:val="0"/>
      <w:marRight w:val="0"/>
      <w:marTop w:val="0"/>
      <w:marBottom w:val="0"/>
      <w:divBdr>
        <w:top w:val="none" w:sz="0" w:space="0" w:color="auto"/>
        <w:left w:val="none" w:sz="0" w:space="0" w:color="auto"/>
        <w:bottom w:val="none" w:sz="0" w:space="0" w:color="auto"/>
        <w:right w:val="none" w:sz="0" w:space="0" w:color="auto"/>
      </w:divBdr>
      <w:divsChild>
        <w:div w:id="96602646">
          <w:marLeft w:val="1166"/>
          <w:marRight w:val="0"/>
          <w:marTop w:val="0"/>
          <w:marBottom w:val="0"/>
          <w:divBdr>
            <w:top w:val="none" w:sz="0" w:space="0" w:color="auto"/>
            <w:left w:val="none" w:sz="0" w:space="0" w:color="auto"/>
            <w:bottom w:val="none" w:sz="0" w:space="0" w:color="auto"/>
            <w:right w:val="none" w:sz="0" w:space="0" w:color="auto"/>
          </w:divBdr>
        </w:div>
        <w:div w:id="2109545365">
          <w:marLeft w:val="1166"/>
          <w:marRight w:val="0"/>
          <w:marTop w:val="0"/>
          <w:marBottom w:val="0"/>
          <w:divBdr>
            <w:top w:val="none" w:sz="0" w:space="0" w:color="auto"/>
            <w:left w:val="none" w:sz="0" w:space="0" w:color="auto"/>
            <w:bottom w:val="none" w:sz="0" w:space="0" w:color="auto"/>
            <w:right w:val="none" w:sz="0" w:space="0" w:color="auto"/>
          </w:divBdr>
        </w:div>
        <w:div w:id="913391122">
          <w:marLeft w:val="1166"/>
          <w:marRight w:val="0"/>
          <w:marTop w:val="0"/>
          <w:marBottom w:val="0"/>
          <w:divBdr>
            <w:top w:val="none" w:sz="0" w:space="0" w:color="auto"/>
            <w:left w:val="none" w:sz="0" w:space="0" w:color="auto"/>
            <w:bottom w:val="none" w:sz="0" w:space="0" w:color="auto"/>
            <w:right w:val="none" w:sz="0" w:space="0" w:color="auto"/>
          </w:divBdr>
        </w:div>
        <w:div w:id="1994599704">
          <w:marLeft w:val="1166"/>
          <w:marRight w:val="0"/>
          <w:marTop w:val="0"/>
          <w:marBottom w:val="0"/>
          <w:divBdr>
            <w:top w:val="none" w:sz="0" w:space="0" w:color="auto"/>
            <w:left w:val="none" w:sz="0" w:space="0" w:color="auto"/>
            <w:bottom w:val="none" w:sz="0" w:space="0" w:color="auto"/>
            <w:right w:val="none" w:sz="0" w:space="0" w:color="auto"/>
          </w:divBdr>
        </w:div>
        <w:div w:id="890270648">
          <w:marLeft w:val="1166"/>
          <w:marRight w:val="0"/>
          <w:marTop w:val="0"/>
          <w:marBottom w:val="0"/>
          <w:divBdr>
            <w:top w:val="none" w:sz="0" w:space="0" w:color="auto"/>
            <w:left w:val="none" w:sz="0" w:space="0" w:color="auto"/>
            <w:bottom w:val="none" w:sz="0" w:space="0" w:color="auto"/>
            <w:right w:val="none" w:sz="0" w:space="0" w:color="auto"/>
          </w:divBdr>
        </w:div>
        <w:div w:id="1249999450">
          <w:marLeft w:val="1166"/>
          <w:marRight w:val="0"/>
          <w:marTop w:val="0"/>
          <w:marBottom w:val="0"/>
          <w:divBdr>
            <w:top w:val="none" w:sz="0" w:space="0" w:color="auto"/>
            <w:left w:val="none" w:sz="0" w:space="0" w:color="auto"/>
            <w:bottom w:val="none" w:sz="0" w:space="0" w:color="auto"/>
            <w:right w:val="none" w:sz="0" w:space="0" w:color="auto"/>
          </w:divBdr>
        </w:div>
      </w:divsChild>
    </w:div>
    <w:div w:id="2012176881">
      <w:bodyDiv w:val="1"/>
      <w:marLeft w:val="0"/>
      <w:marRight w:val="0"/>
      <w:marTop w:val="0"/>
      <w:marBottom w:val="0"/>
      <w:divBdr>
        <w:top w:val="none" w:sz="0" w:space="0" w:color="auto"/>
        <w:left w:val="none" w:sz="0" w:space="0" w:color="auto"/>
        <w:bottom w:val="none" w:sz="0" w:space="0" w:color="auto"/>
        <w:right w:val="none" w:sz="0" w:space="0" w:color="auto"/>
      </w:divBdr>
      <w:divsChild>
        <w:div w:id="1023365493">
          <w:marLeft w:val="0"/>
          <w:marRight w:val="0"/>
          <w:marTop w:val="0"/>
          <w:marBottom w:val="0"/>
          <w:divBdr>
            <w:top w:val="none" w:sz="0" w:space="0" w:color="auto"/>
            <w:left w:val="none" w:sz="0" w:space="0" w:color="auto"/>
            <w:bottom w:val="none" w:sz="0" w:space="0" w:color="auto"/>
            <w:right w:val="none" w:sz="0" w:space="0" w:color="auto"/>
          </w:divBdr>
        </w:div>
        <w:div w:id="418134580">
          <w:marLeft w:val="0"/>
          <w:marRight w:val="0"/>
          <w:marTop w:val="0"/>
          <w:marBottom w:val="0"/>
          <w:divBdr>
            <w:top w:val="none" w:sz="0" w:space="0" w:color="auto"/>
            <w:left w:val="none" w:sz="0" w:space="0" w:color="auto"/>
            <w:bottom w:val="none" w:sz="0" w:space="0" w:color="auto"/>
            <w:right w:val="none" w:sz="0" w:space="0" w:color="auto"/>
          </w:divBdr>
        </w:div>
        <w:div w:id="1920292069">
          <w:marLeft w:val="0"/>
          <w:marRight w:val="0"/>
          <w:marTop w:val="0"/>
          <w:marBottom w:val="0"/>
          <w:divBdr>
            <w:top w:val="none" w:sz="0" w:space="0" w:color="auto"/>
            <w:left w:val="none" w:sz="0" w:space="0" w:color="auto"/>
            <w:bottom w:val="none" w:sz="0" w:space="0" w:color="auto"/>
            <w:right w:val="none" w:sz="0" w:space="0" w:color="auto"/>
          </w:divBdr>
        </w:div>
      </w:divsChild>
    </w:div>
    <w:div w:id="2012295115">
      <w:bodyDiv w:val="1"/>
      <w:marLeft w:val="0"/>
      <w:marRight w:val="0"/>
      <w:marTop w:val="0"/>
      <w:marBottom w:val="0"/>
      <w:divBdr>
        <w:top w:val="none" w:sz="0" w:space="0" w:color="auto"/>
        <w:left w:val="none" w:sz="0" w:space="0" w:color="auto"/>
        <w:bottom w:val="none" w:sz="0" w:space="0" w:color="auto"/>
        <w:right w:val="none" w:sz="0" w:space="0" w:color="auto"/>
      </w:divBdr>
    </w:div>
    <w:div w:id="2058165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jhajzer\AppData\Local\Microsoft\Windows\INetCache\Content.Outlook\8V284F6E\&#220;SZI%20stat%2042%20HE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hajzer\Desktop\47.%20h&#233;t%20m&#225;solat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hajzer\Desktop\47.%20h&#233;t%20m&#225;solat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hajzer\Desktop\47.%20h&#233;t%20m&#225;solat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Ügyfélforgalmi adatok heti bontásban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barChart>
        <c:barDir val="col"/>
        <c:grouping val="stacked"/>
        <c:varyColors val="0"/>
        <c:ser>
          <c:idx val="2"/>
          <c:order val="0"/>
          <c:tx>
            <c:strRef>
              <c:f>'Ügyfélforgalom heti megoszlás'!$K$29</c:f>
              <c:strCache>
                <c:ptCount val="1"/>
                <c:pt idx="0">
                  <c:v>E-mail</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'Ügyfélforgalom heti megoszlás'!$L$26:$T$26</c:f>
              <c:strCache>
                <c:ptCount val="9"/>
                <c:pt idx="0">
                  <c:v>21. HÉT</c:v>
                </c:pt>
                <c:pt idx="1">
                  <c:v>22. HÉT</c:v>
                </c:pt>
                <c:pt idx="2">
                  <c:v>23. HÉT</c:v>
                </c:pt>
                <c:pt idx="3">
                  <c:v>24. HÉT</c:v>
                </c:pt>
                <c:pt idx="4">
                  <c:v>25. HÉT</c:v>
                </c:pt>
                <c:pt idx="5">
                  <c:v>26. HÉT</c:v>
                </c:pt>
                <c:pt idx="6">
                  <c:v>27. HÉT</c:v>
                </c:pt>
                <c:pt idx="7">
                  <c:v>28. HÉT</c:v>
                </c:pt>
                <c:pt idx="8">
                  <c:v>29. HÉT</c:v>
                </c:pt>
              </c:strCache>
            </c:strRef>
          </c:cat>
          <c:val>
            <c:numRef>
              <c:f>'Ügyfélforgalom heti megoszlás'!$L$29:$T$29</c:f>
              <c:numCache>
                <c:formatCode>General</c:formatCode>
                <c:ptCount val="9"/>
                <c:pt idx="0">
                  <c:v>168</c:v>
                </c:pt>
                <c:pt idx="1">
                  <c:v>453</c:v>
                </c:pt>
                <c:pt idx="2">
                  <c:v>282</c:v>
                </c:pt>
                <c:pt idx="3">
                  <c:v>252</c:v>
                </c:pt>
                <c:pt idx="4">
                  <c:v>221</c:v>
                </c:pt>
                <c:pt idx="5">
                  <c:v>229</c:v>
                </c:pt>
                <c:pt idx="6">
                  <c:v>216</c:v>
                </c:pt>
                <c:pt idx="7">
                  <c:v>211</c:v>
                </c:pt>
                <c:pt idx="8">
                  <c:v>236</c:v>
                </c:pt>
              </c:numCache>
            </c:numRef>
          </c:val>
          <c:extLst>
            <c:ext xmlns:c16="http://schemas.microsoft.com/office/drawing/2014/chart" uri="{C3380CC4-5D6E-409C-BE32-E72D297353CC}">
              <c16:uniqueId val="{00000000-2570-46DA-8708-487868E45DBA}"/>
            </c:ext>
          </c:extLst>
        </c:ser>
        <c:ser>
          <c:idx val="1"/>
          <c:order val="1"/>
          <c:tx>
            <c:strRef>
              <c:f>'Ügyfélforgalom heti megoszlás'!$K$28</c:f>
              <c:strCache>
                <c:ptCount val="1"/>
                <c:pt idx="0">
                  <c:v>Telefon</c:v>
                </c:pt>
              </c:strCache>
            </c:strRef>
          </c:tx>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'Ügyfélforgalom heti megoszlás'!$L$26:$T$26</c:f>
              <c:strCache>
                <c:ptCount val="9"/>
                <c:pt idx="0">
                  <c:v>21. HÉT</c:v>
                </c:pt>
                <c:pt idx="1">
                  <c:v>22. HÉT</c:v>
                </c:pt>
                <c:pt idx="2">
                  <c:v>23. HÉT</c:v>
                </c:pt>
                <c:pt idx="3">
                  <c:v>24. HÉT</c:v>
                </c:pt>
                <c:pt idx="4">
                  <c:v>25. HÉT</c:v>
                </c:pt>
                <c:pt idx="5">
                  <c:v>26. HÉT</c:v>
                </c:pt>
                <c:pt idx="6">
                  <c:v>27. HÉT</c:v>
                </c:pt>
                <c:pt idx="7">
                  <c:v>28. HÉT</c:v>
                </c:pt>
                <c:pt idx="8">
                  <c:v>29. HÉT</c:v>
                </c:pt>
              </c:strCache>
            </c:strRef>
          </c:cat>
          <c:val>
            <c:numRef>
              <c:f>'Ügyfélforgalom heti megoszlás'!$L$28:$T$28</c:f>
              <c:numCache>
                <c:formatCode>General</c:formatCode>
                <c:ptCount val="9"/>
                <c:pt idx="0">
                  <c:v>625</c:v>
                </c:pt>
                <c:pt idx="1">
                  <c:v>472</c:v>
                </c:pt>
                <c:pt idx="2">
                  <c:v>318</c:v>
                </c:pt>
                <c:pt idx="3">
                  <c:v>252</c:v>
                </c:pt>
                <c:pt idx="4">
                  <c:v>232</c:v>
                </c:pt>
                <c:pt idx="5">
                  <c:v>210</c:v>
                </c:pt>
                <c:pt idx="6">
                  <c:v>225</c:v>
                </c:pt>
                <c:pt idx="7">
                  <c:v>218</c:v>
                </c:pt>
                <c:pt idx="8">
                  <c:v>260</c:v>
                </c:pt>
              </c:numCache>
            </c:numRef>
          </c:val>
          <c:extLst>
            <c:ext xmlns:c16="http://schemas.microsoft.com/office/drawing/2014/chart" uri="{C3380CC4-5D6E-409C-BE32-E72D297353CC}">
              <c16:uniqueId val="{00000001-2570-46DA-8708-487868E45DBA}"/>
            </c:ext>
          </c:extLst>
        </c:ser>
        <c:ser>
          <c:idx val="0"/>
          <c:order val="2"/>
          <c:tx>
            <c:strRef>
              <c:f>'Ügyfélforgalom heti megoszlás'!$K$27</c:f>
              <c:strCache>
                <c:ptCount val="1"/>
                <c:pt idx="0">
                  <c:v>Személyes</c:v>
                </c:pt>
              </c:strCache>
            </c:strRef>
          </c:tx>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'Ügyfélforgalom heti megoszlás'!$L$26:$T$26</c:f>
              <c:strCache>
                <c:ptCount val="9"/>
                <c:pt idx="0">
                  <c:v>21. HÉT</c:v>
                </c:pt>
                <c:pt idx="1">
                  <c:v>22. HÉT</c:v>
                </c:pt>
                <c:pt idx="2">
                  <c:v>23. HÉT</c:v>
                </c:pt>
                <c:pt idx="3">
                  <c:v>24. HÉT</c:v>
                </c:pt>
                <c:pt idx="4">
                  <c:v>25. HÉT</c:v>
                </c:pt>
                <c:pt idx="5">
                  <c:v>26. HÉT</c:v>
                </c:pt>
                <c:pt idx="6">
                  <c:v>27. HÉT</c:v>
                </c:pt>
                <c:pt idx="7">
                  <c:v>28. HÉT</c:v>
                </c:pt>
                <c:pt idx="8">
                  <c:v>29. HÉT</c:v>
                </c:pt>
              </c:strCache>
            </c:strRef>
          </c:cat>
          <c:val>
            <c:numRef>
              <c:f>'Ügyfélforgalom heti megoszlás'!$L$27:$T$27</c:f>
              <c:numCache>
                <c:formatCode>General</c:formatCode>
                <c:ptCount val="9"/>
                <c:pt idx="0">
                  <c:v>88</c:v>
                </c:pt>
                <c:pt idx="1">
                  <c:v>228</c:v>
                </c:pt>
                <c:pt idx="2">
                  <c:v>183</c:v>
                </c:pt>
                <c:pt idx="3">
                  <c:v>138</c:v>
                </c:pt>
                <c:pt idx="4">
                  <c:v>121</c:v>
                </c:pt>
                <c:pt idx="5">
                  <c:v>109</c:v>
                </c:pt>
                <c:pt idx="6">
                  <c:v>91</c:v>
                </c:pt>
                <c:pt idx="7">
                  <c:v>101</c:v>
                </c:pt>
                <c:pt idx="8">
                  <c:v>129</c:v>
                </c:pt>
              </c:numCache>
            </c:numRef>
          </c:val>
          <c:extLst>
            <c:ext xmlns:c16="http://schemas.microsoft.com/office/drawing/2014/chart" uri="{C3380CC4-5D6E-409C-BE32-E72D297353CC}">
              <c16:uniqueId val="{00000002-2570-46DA-8708-487868E45DBA}"/>
            </c:ext>
          </c:extLst>
        </c:ser>
        <c:dLbls>
          <c:dLblPos val="ctr"/>
          <c:showLegendKey val="0"/>
          <c:showVal val="1"/>
          <c:showCatName val="0"/>
          <c:showSerName val="0"/>
          <c:showPercent val="0"/>
          <c:showBubbleSize val="0"/>
        </c:dLbls>
        <c:gapWidth val="150"/>
        <c:overlap val="100"/>
        <c:axId val="1890222544"/>
        <c:axId val="2076751392"/>
      </c:barChart>
      <c:catAx>
        <c:axId val="189022254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2076751392"/>
        <c:crosses val="autoZero"/>
        <c:auto val="1"/>
        <c:lblAlgn val="ctr"/>
        <c:lblOffset val="100"/>
        <c:noMultiLvlLbl val="0"/>
      </c:catAx>
      <c:valAx>
        <c:axId val="20767513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890222544"/>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hu-HU"/>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Nettó mobil bevételek heti bontásban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Munka1!$A$2:$A$27</c:f>
              <c:strCache>
                <c:ptCount val="26"/>
                <c:pt idx="0">
                  <c:v>22. hét</c:v>
                </c:pt>
                <c:pt idx="1">
                  <c:v>23. hét</c:v>
                </c:pt>
                <c:pt idx="2">
                  <c:v>24. hét</c:v>
                </c:pt>
                <c:pt idx="3">
                  <c:v>25. hét</c:v>
                </c:pt>
                <c:pt idx="4">
                  <c:v>26. hét</c:v>
                </c:pt>
                <c:pt idx="5">
                  <c:v>27. hét</c:v>
                </c:pt>
                <c:pt idx="6">
                  <c:v>28. hét</c:v>
                </c:pt>
                <c:pt idx="7">
                  <c:v>29. hét</c:v>
                </c:pt>
                <c:pt idx="8">
                  <c:v>30. hét</c:v>
                </c:pt>
                <c:pt idx="9">
                  <c:v>31. hét</c:v>
                </c:pt>
                <c:pt idx="10">
                  <c:v>32. hét</c:v>
                </c:pt>
                <c:pt idx="11">
                  <c:v>33. hét</c:v>
                </c:pt>
                <c:pt idx="12">
                  <c:v>34.hét</c:v>
                </c:pt>
                <c:pt idx="13">
                  <c:v>35. hét</c:v>
                </c:pt>
                <c:pt idx="14">
                  <c:v>36. hét</c:v>
                </c:pt>
                <c:pt idx="15">
                  <c:v>37. hét</c:v>
                </c:pt>
                <c:pt idx="16">
                  <c:v>38. hét</c:v>
                </c:pt>
                <c:pt idx="17">
                  <c:v>39. hét</c:v>
                </c:pt>
                <c:pt idx="18">
                  <c:v>40. hét</c:v>
                </c:pt>
                <c:pt idx="19">
                  <c:v>41. hét</c:v>
                </c:pt>
                <c:pt idx="20">
                  <c:v>42. hét</c:v>
                </c:pt>
                <c:pt idx="21">
                  <c:v>43. hét</c:v>
                </c:pt>
                <c:pt idx="22">
                  <c:v>44. hét</c:v>
                </c:pt>
                <c:pt idx="23">
                  <c:v>45. hét</c:v>
                </c:pt>
                <c:pt idx="24">
                  <c:v>46. hét</c:v>
                </c:pt>
                <c:pt idx="25">
                  <c:v>47. hét</c:v>
                </c:pt>
              </c:strCache>
            </c:strRef>
          </c:cat>
          <c:val>
            <c:numRef>
              <c:f>Munka1!$B$2:$B$27</c:f>
              <c:numCache>
                <c:formatCode>_-* #\ ##0_-;\-* #\ ##0_-;_-* "-"??_-;_-@_-</c:formatCode>
                <c:ptCount val="26"/>
                <c:pt idx="0">
                  <c:v>15197651.181102363</c:v>
                </c:pt>
                <c:pt idx="1">
                  <c:v>14180188.976377953</c:v>
                </c:pt>
                <c:pt idx="2">
                  <c:v>13841335.433070866</c:v>
                </c:pt>
                <c:pt idx="3">
                  <c:v>13291566.929133859</c:v>
                </c:pt>
                <c:pt idx="4">
                  <c:v>13709532.283464566</c:v>
                </c:pt>
                <c:pt idx="5">
                  <c:v>13424700</c:v>
                </c:pt>
                <c:pt idx="6">
                  <c:v>13762356.692913385</c:v>
                </c:pt>
                <c:pt idx="7">
                  <c:v>13866971.653543308</c:v>
                </c:pt>
                <c:pt idx="8">
                  <c:v>11622655.905511811</c:v>
                </c:pt>
                <c:pt idx="9">
                  <c:v>13512573.228346456</c:v>
                </c:pt>
                <c:pt idx="10">
                  <c:v>13418350.393700786</c:v>
                </c:pt>
                <c:pt idx="11">
                  <c:v>11343211.811023623</c:v>
                </c:pt>
                <c:pt idx="12">
                  <c:v>14622545.669291338</c:v>
                </c:pt>
                <c:pt idx="13">
                  <c:v>15148487.401574802</c:v>
                </c:pt>
                <c:pt idx="14">
                  <c:v>15310203.149606299</c:v>
                </c:pt>
                <c:pt idx="15">
                  <c:v>15508625.196850395</c:v>
                </c:pt>
                <c:pt idx="16">
                  <c:v>15588144.094488187</c:v>
                </c:pt>
                <c:pt idx="17">
                  <c:v>15675677.952755906</c:v>
                </c:pt>
                <c:pt idx="18">
                  <c:v>15844459.05511811</c:v>
                </c:pt>
                <c:pt idx="19">
                  <c:v>15641655.118110236</c:v>
                </c:pt>
                <c:pt idx="20">
                  <c:v>15685430.708661418</c:v>
                </c:pt>
                <c:pt idx="21">
                  <c:v>14650728.346456692</c:v>
                </c:pt>
                <c:pt idx="22">
                  <c:v>12836156.692913387</c:v>
                </c:pt>
                <c:pt idx="23">
                  <c:v>15830672.44094488</c:v>
                </c:pt>
                <c:pt idx="24">
                  <c:v>15188000.787401574</c:v>
                </c:pt>
                <c:pt idx="25">
                  <c:v>15079833.858267715</c:v>
                </c:pt>
              </c:numCache>
            </c:numRef>
          </c:val>
          <c:extLst>
            <c:ext xmlns:c16="http://schemas.microsoft.com/office/drawing/2014/chart" uri="{C3380CC4-5D6E-409C-BE32-E72D297353CC}">
              <c16:uniqueId val="{00000001-6994-4136-8673-BA6101476AA6}"/>
            </c:ext>
          </c:extLst>
        </c:ser>
        <c:dLbls>
          <c:showLegendKey val="0"/>
          <c:showVal val="0"/>
          <c:showCatName val="0"/>
          <c:showSerName val="0"/>
          <c:showPercent val="0"/>
          <c:showBubbleSize val="0"/>
        </c:dLbls>
        <c:gapWidth val="219"/>
        <c:overlap val="-27"/>
        <c:axId val="539621615"/>
        <c:axId val="539616207"/>
      </c:barChart>
      <c:catAx>
        <c:axId val="539621615"/>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16207"/>
        <c:crosses val="autoZero"/>
        <c:auto val="1"/>
        <c:lblAlgn val="ctr"/>
        <c:lblOffset val="100"/>
        <c:noMultiLvlLbl val="0"/>
      </c:catAx>
      <c:valAx>
        <c:axId val="5396162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216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Nettó</a:t>
            </a:r>
            <a:r>
              <a:rPr lang="hu-HU" baseline="0"/>
              <a:t> p</a:t>
            </a:r>
            <a:r>
              <a:rPr lang="hu-HU"/>
              <a:t>ótdíj bevételek heti bontásban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Munka1!$A$2:$A$27</c:f>
              <c:strCache>
                <c:ptCount val="26"/>
                <c:pt idx="0">
                  <c:v>22. hét</c:v>
                </c:pt>
                <c:pt idx="1">
                  <c:v>23. hét</c:v>
                </c:pt>
                <c:pt idx="2">
                  <c:v>24. hét</c:v>
                </c:pt>
                <c:pt idx="3">
                  <c:v>25. hét</c:v>
                </c:pt>
                <c:pt idx="4">
                  <c:v>26. hét</c:v>
                </c:pt>
                <c:pt idx="5">
                  <c:v>27. hét</c:v>
                </c:pt>
                <c:pt idx="6">
                  <c:v>28. hét</c:v>
                </c:pt>
                <c:pt idx="7">
                  <c:v>29. hét</c:v>
                </c:pt>
                <c:pt idx="8">
                  <c:v>30. hét</c:v>
                </c:pt>
                <c:pt idx="9">
                  <c:v>31. hét</c:v>
                </c:pt>
                <c:pt idx="10">
                  <c:v>32. hét</c:v>
                </c:pt>
                <c:pt idx="11">
                  <c:v>33. hét</c:v>
                </c:pt>
                <c:pt idx="12">
                  <c:v>34.hét</c:v>
                </c:pt>
                <c:pt idx="13">
                  <c:v>35. hét</c:v>
                </c:pt>
                <c:pt idx="14">
                  <c:v>36. hét</c:v>
                </c:pt>
                <c:pt idx="15">
                  <c:v>37. hét</c:v>
                </c:pt>
                <c:pt idx="16">
                  <c:v>38. hét</c:v>
                </c:pt>
                <c:pt idx="17">
                  <c:v>39. hét</c:v>
                </c:pt>
                <c:pt idx="18">
                  <c:v>40. hét</c:v>
                </c:pt>
                <c:pt idx="19">
                  <c:v>41. hét</c:v>
                </c:pt>
                <c:pt idx="20">
                  <c:v>42. hét</c:v>
                </c:pt>
                <c:pt idx="21">
                  <c:v>43. hét</c:v>
                </c:pt>
                <c:pt idx="22">
                  <c:v>44. hét</c:v>
                </c:pt>
                <c:pt idx="23">
                  <c:v>45. hét</c:v>
                </c:pt>
                <c:pt idx="24">
                  <c:v>46. hét</c:v>
                </c:pt>
                <c:pt idx="25">
                  <c:v>47. hét</c:v>
                </c:pt>
              </c:strCache>
            </c:strRef>
          </c:cat>
          <c:val>
            <c:numRef>
              <c:f>Munka1!$C$2:$C$27</c:f>
              <c:numCache>
                <c:formatCode>_-* #\ ##0_-;\-* #\ ##0_-;_-* "-"??_-;_-@_-</c:formatCode>
                <c:ptCount val="26"/>
                <c:pt idx="0">
                  <c:v>3261961.2362204725</c:v>
                </c:pt>
                <c:pt idx="1">
                  <c:v>5016346.4409448821</c:v>
                </c:pt>
                <c:pt idx="2">
                  <c:v>4928888.5354330707</c:v>
                </c:pt>
                <c:pt idx="3">
                  <c:v>4903662.6456692917</c:v>
                </c:pt>
                <c:pt idx="4">
                  <c:v>5315352.9527559057</c:v>
                </c:pt>
                <c:pt idx="5">
                  <c:v>5040202.1574803144</c:v>
                </c:pt>
                <c:pt idx="6">
                  <c:v>4904109.6614173222</c:v>
                </c:pt>
                <c:pt idx="7">
                  <c:v>5068321.5905511808</c:v>
                </c:pt>
                <c:pt idx="8">
                  <c:v>7726666.3700787406</c:v>
                </c:pt>
                <c:pt idx="9">
                  <c:v>6957062.05511811</c:v>
                </c:pt>
                <c:pt idx="10">
                  <c:v>7788314.4251968507</c:v>
                </c:pt>
                <c:pt idx="11">
                  <c:v>5753005.0393700786</c:v>
                </c:pt>
                <c:pt idx="12">
                  <c:v>7974762.1023622043</c:v>
                </c:pt>
                <c:pt idx="13">
                  <c:v>8019795.2047244087</c:v>
                </c:pt>
                <c:pt idx="14">
                  <c:v>6805134.362204724</c:v>
                </c:pt>
                <c:pt idx="15">
                  <c:v>7137516.5984251965</c:v>
                </c:pt>
                <c:pt idx="16">
                  <c:v>7748976.6220472446</c:v>
                </c:pt>
                <c:pt idx="17">
                  <c:v>7187200.0629921267</c:v>
                </c:pt>
                <c:pt idx="18">
                  <c:v>7995811.7322834637</c:v>
                </c:pt>
                <c:pt idx="19">
                  <c:v>7320790.3228346463</c:v>
                </c:pt>
                <c:pt idx="20">
                  <c:v>5837508.5669291345</c:v>
                </c:pt>
                <c:pt idx="21">
                  <c:v>7850936.7795275589</c:v>
                </c:pt>
                <c:pt idx="22">
                  <c:v>8004785.0314960629</c:v>
                </c:pt>
                <c:pt idx="23">
                  <c:v>7174028.2834645668</c:v>
                </c:pt>
                <c:pt idx="24">
                  <c:v>8244634.2913385825</c:v>
                </c:pt>
                <c:pt idx="25">
                  <c:v>7188909.0314960629</c:v>
                </c:pt>
              </c:numCache>
            </c:numRef>
          </c:val>
          <c:extLst>
            <c:ext xmlns:c16="http://schemas.microsoft.com/office/drawing/2014/chart" uri="{C3380CC4-5D6E-409C-BE32-E72D297353CC}">
              <c16:uniqueId val="{00000001-DC8D-4545-8EA5-0B3E9B1F9921}"/>
            </c:ext>
          </c:extLst>
        </c:ser>
        <c:dLbls>
          <c:showLegendKey val="0"/>
          <c:showVal val="0"/>
          <c:showCatName val="0"/>
          <c:showSerName val="0"/>
          <c:showPercent val="0"/>
          <c:showBubbleSize val="0"/>
        </c:dLbls>
        <c:gapWidth val="219"/>
        <c:overlap val="-27"/>
        <c:axId val="539621615"/>
        <c:axId val="539616207"/>
      </c:barChart>
      <c:catAx>
        <c:axId val="539621615"/>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16207"/>
        <c:crosses val="autoZero"/>
        <c:auto val="1"/>
        <c:lblAlgn val="ctr"/>
        <c:lblOffset val="100"/>
        <c:noMultiLvlLbl val="0"/>
      </c:catAx>
      <c:valAx>
        <c:axId val="5396162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216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Nettó</a:t>
            </a:r>
            <a:r>
              <a:rPr lang="hu-HU" baseline="0"/>
              <a:t> automata</a:t>
            </a:r>
            <a:r>
              <a:rPr lang="hu-HU"/>
              <a:t> bevételek heti bontásban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Munka1!$A$2:$A$27</c:f>
              <c:strCache>
                <c:ptCount val="26"/>
                <c:pt idx="0">
                  <c:v>22. hét</c:v>
                </c:pt>
                <c:pt idx="1">
                  <c:v>23. hét</c:v>
                </c:pt>
                <c:pt idx="2">
                  <c:v>24. hét</c:v>
                </c:pt>
                <c:pt idx="3">
                  <c:v>25. hét</c:v>
                </c:pt>
                <c:pt idx="4">
                  <c:v>26. hét</c:v>
                </c:pt>
                <c:pt idx="5">
                  <c:v>27. hét</c:v>
                </c:pt>
                <c:pt idx="6">
                  <c:v>28. hét</c:v>
                </c:pt>
                <c:pt idx="7">
                  <c:v>29. hét</c:v>
                </c:pt>
                <c:pt idx="8">
                  <c:v>30. hét</c:v>
                </c:pt>
                <c:pt idx="9">
                  <c:v>31. hét</c:v>
                </c:pt>
                <c:pt idx="10">
                  <c:v>32. hét</c:v>
                </c:pt>
                <c:pt idx="11">
                  <c:v>33. hét</c:v>
                </c:pt>
                <c:pt idx="12">
                  <c:v>34.hét</c:v>
                </c:pt>
                <c:pt idx="13">
                  <c:v>35. hét</c:v>
                </c:pt>
                <c:pt idx="14">
                  <c:v>36. hét</c:v>
                </c:pt>
                <c:pt idx="15">
                  <c:v>37. hét</c:v>
                </c:pt>
                <c:pt idx="16">
                  <c:v>38. hét</c:v>
                </c:pt>
                <c:pt idx="17">
                  <c:v>39. hét</c:v>
                </c:pt>
                <c:pt idx="18">
                  <c:v>40. hét</c:v>
                </c:pt>
                <c:pt idx="19">
                  <c:v>41. hét</c:v>
                </c:pt>
                <c:pt idx="20">
                  <c:v>42. hét</c:v>
                </c:pt>
                <c:pt idx="21">
                  <c:v>43. hét</c:v>
                </c:pt>
                <c:pt idx="22">
                  <c:v>44. hét</c:v>
                </c:pt>
                <c:pt idx="23">
                  <c:v>45. hét</c:v>
                </c:pt>
                <c:pt idx="24">
                  <c:v>46. hét</c:v>
                </c:pt>
                <c:pt idx="25">
                  <c:v>47. hét</c:v>
                </c:pt>
              </c:strCache>
            </c:strRef>
          </c:cat>
          <c:val>
            <c:numRef>
              <c:f>Munka1!$D$2:$D$27</c:f>
              <c:numCache>
                <c:formatCode>_-* #\ ##0_-;\-* #\ ##0_-;_-* "-"??_-;_-@_-</c:formatCode>
                <c:ptCount val="26"/>
                <c:pt idx="0">
                  <c:v>1706661.4173228347</c:v>
                </c:pt>
                <c:pt idx="1">
                  <c:v>2065236.2204724408</c:v>
                </c:pt>
                <c:pt idx="2">
                  <c:v>3652775.5905511808</c:v>
                </c:pt>
                <c:pt idx="3">
                  <c:v>2505614.1732283463</c:v>
                </c:pt>
                <c:pt idx="4">
                  <c:v>7292413.3858267711</c:v>
                </c:pt>
                <c:pt idx="5">
                  <c:v>1200661.4173228347</c:v>
                </c:pt>
                <c:pt idx="6">
                  <c:v>3978401.5748031493</c:v>
                </c:pt>
                <c:pt idx="7">
                  <c:v>2885023.6220472441</c:v>
                </c:pt>
                <c:pt idx="8">
                  <c:v>5763492.1259842515</c:v>
                </c:pt>
                <c:pt idx="9">
                  <c:v>3697248.0314960629</c:v>
                </c:pt>
                <c:pt idx="10">
                  <c:v>4189129.9212598423</c:v>
                </c:pt>
                <c:pt idx="11">
                  <c:v>2520799.2125984253</c:v>
                </c:pt>
                <c:pt idx="12">
                  <c:v>3961614.1732283463</c:v>
                </c:pt>
                <c:pt idx="13">
                  <c:v>6790429.1338582681</c:v>
                </c:pt>
                <c:pt idx="14">
                  <c:v>1118059.0551181103</c:v>
                </c:pt>
                <c:pt idx="15">
                  <c:v>4016775.5905511812</c:v>
                </c:pt>
                <c:pt idx="16">
                  <c:v>3040248.0314960633</c:v>
                </c:pt>
                <c:pt idx="17">
                  <c:v>4317637.7952755904</c:v>
                </c:pt>
                <c:pt idx="18">
                  <c:v>1078401.5748031498</c:v>
                </c:pt>
                <c:pt idx="19">
                  <c:v>2958834.6456692913</c:v>
                </c:pt>
                <c:pt idx="20">
                  <c:v>2231157.4803149607</c:v>
                </c:pt>
                <c:pt idx="21">
                  <c:v>5916118.1102362201</c:v>
                </c:pt>
                <c:pt idx="22">
                  <c:v>1379208.6614173229</c:v>
                </c:pt>
                <c:pt idx="23">
                  <c:v>1699566.9291338585</c:v>
                </c:pt>
                <c:pt idx="24">
                  <c:v>4076173.2283464558</c:v>
                </c:pt>
                <c:pt idx="25">
                  <c:v>2040618.1102362203</c:v>
                </c:pt>
              </c:numCache>
            </c:numRef>
          </c:val>
          <c:extLst>
            <c:ext xmlns:c16="http://schemas.microsoft.com/office/drawing/2014/chart" uri="{C3380CC4-5D6E-409C-BE32-E72D297353CC}">
              <c16:uniqueId val="{00000001-8D9C-47F7-BAB6-0C18B1B04392}"/>
            </c:ext>
          </c:extLst>
        </c:ser>
        <c:dLbls>
          <c:showLegendKey val="0"/>
          <c:showVal val="0"/>
          <c:showCatName val="0"/>
          <c:showSerName val="0"/>
          <c:showPercent val="0"/>
          <c:showBubbleSize val="0"/>
        </c:dLbls>
        <c:gapWidth val="219"/>
        <c:overlap val="-27"/>
        <c:axId val="539621615"/>
        <c:axId val="539616207"/>
      </c:barChart>
      <c:catAx>
        <c:axId val="539621615"/>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16207"/>
        <c:crosses val="autoZero"/>
        <c:auto val="1"/>
        <c:lblAlgn val="ctr"/>
        <c:lblOffset val="100"/>
        <c:noMultiLvlLbl val="0"/>
      </c:catAx>
      <c:valAx>
        <c:axId val="5396162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396216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0">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896C7-D969-4E69-B071-D06FDCAC7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5039</Words>
  <Characters>34773</Characters>
  <Application>Microsoft Office Word</Application>
  <DocSecurity>0</DocSecurity>
  <Lines>289</Lines>
  <Paragraphs>79</Paragraphs>
  <ScaleCrop>false</ScaleCrop>
  <HeadingPairs>
    <vt:vector size="2" baseType="variant">
      <vt:variant>
        <vt:lpstr>Cím</vt:lpstr>
      </vt:variant>
      <vt:variant>
        <vt:i4>1</vt:i4>
      </vt:variant>
    </vt:vector>
  </HeadingPairs>
  <TitlesOfParts>
    <vt:vector size="1" baseType="lpstr">
      <vt:lpstr>Microsoft Word - Ingatlangazdálkodás_ÜT_EVIN_20210225_final</vt:lpstr>
    </vt:vector>
  </TitlesOfParts>
  <Company/>
  <LinksUpToDate>false</LinksUpToDate>
  <CharactersWithSpaces>39733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Ingatlangazdálkodás_ÜT_EVIN_20210225_final</dc:title>
  <dc:creator>jzsoldis</dc:creator>
  <cp:lastModifiedBy>Baski Sándor</cp:lastModifiedBy>
  <cp:revision>10</cp:revision>
  <cp:lastPrinted>2022-02-25T07:56:00Z</cp:lastPrinted>
  <dcterms:created xsi:type="dcterms:W3CDTF">2022-03-29T06:53:00Z</dcterms:created>
  <dcterms:modified xsi:type="dcterms:W3CDTF">2022-09-06T09:26:00Z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2021-02-25T00:00:00Z</vt:filetime>
  </property>
  <property fmtid="{D5CDD505-2E9C-101B-9397-08002B2CF9AE}" pid="3" name="LastSaved">
    <vt:filetime>2021-12-02T00:00:00Z</vt:filetime>
  </property>
</Properties>
</file>