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36"/>
          <w:szCs w:val="36"/>
        </w:rPr>
      </w:pPr>
      <w:r w:rsidDel="00000000" w:rsidR="00000000" w:rsidRPr="00000000">
        <w:rPr>
          <w:sz w:val="36"/>
          <w:szCs w:val="36"/>
          <w:rtl w:val="0"/>
        </w:rPr>
        <w:t xml:space="preserve">LIFE Bauhausing Europe</w:t>
      </w:r>
    </w:p>
    <w:tbl>
      <w:tblPr>
        <w:tblStyle w:val="Table1"/>
        <w:tblW w:w="9070.0" w:type="dxa"/>
        <w:jc w:val="left"/>
        <w:tblInd w:w="0.0" w:type="dxa"/>
        <w:tblBorders>
          <w:top w:color="000000" w:space="0" w:sz="0" w:val="nil"/>
          <w:bottom w:color="00a276" w:space="0" w:sz="8" w:val="single"/>
        </w:tblBorders>
        <w:tblLayout w:type="fixed"/>
        <w:tblLook w:val="0480"/>
      </w:tblPr>
      <w:tblGrid>
        <w:gridCol w:w="2044"/>
        <w:gridCol w:w="7026"/>
        <w:tblGridChange w:id="0">
          <w:tblGrid>
            <w:gridCol w:w="2044"/>
            <w:gridCol w:w="7026"/>
          </w:tblGrid>
        </w:tblGridChange>
      </w:tblGrid>
      <w:tr>
        <w:trPr>
          <w:cantSplit w:val="0"/>
          <w:trHeight w:val="180" w:hRule="atLeast"/>
          <w:tblHeader w:val="0"/>
        </w:trPr>
        <w:tc>
          <w:tcPr>
            <w:vAlign w:val="center"/>
          </w:tcPr>
          <w:p w:rsidR="00000000" w:rsidDel="00000000" w:rsidP="00000000" w:rsidRDefault="00000000" w:rsidRPr="00000000" w14:paraId="00000002">
            <w:pPr>
              <w:rPr/>
            </w:pPr>
            <w:r w:rsidDel="00000000" w:rsidR="00000000" w:rsidRPr="00000000">
              <w:rPr>
                <w:rtl w:val="0"/>
              </w:rPr>
              <w:t xml:space="preserve">Programme</w:t>
            </w:r>
          </w:p>
        </w:tc>
        <w:tc>
          <w:tcPr>
            <w:vAlign w:val="center"/>
          </w:tcPr>
          <w:p w:rsidR="00000000" w:rsidDel="00000000" w:rsidP="00000000" w:rsidRDefault="00000000" w:rsidRPr="00000000" w14:paraId="00000003">
            <w:pPr>
              <w:rPr>
                <w:color w:val="808080"/>
              </w:rPr>
            </w:pPr>
            <w:r w:rsidDel="00000000" w:rsidR="00000000" w:rsidRPr="00000000">
              <w:rPr>
                <w:color w:val="808080"/>
                <w:rtl w:val="0"/>
              </w:rPr>
              <w:t xml:space="preserve">LIFE</w:t>
            </w:r>
          </w:p>
        </w:tc>
      </w:tr>
      <w:tr>
        <w:trPr>
          <w:cantSplit w:val="0"/>
          <w:tblHeader w:val="0"/>
        </w:trPr>
        <w:tc>
          <w:tcPr>
            <w:vAlign w:val="center"/>
          </w:tcPr>
          <w:p w:rsidR="00000000" w:rsidDel="00000000" w:rsidP="00000000" w:rsidRDefault="00000000" w:rsidRPr="00000000" w14:paraId="00000004">
            <w:pPr>
              <w:rPr/>
            </w:pPr>
            <w:r w:rsidDel="00000000" w:rsidR="00000000" w:rsidRPr="00000000">
              <w:rPr>
                <w:rtl w:val="0"/>
              </w:rPr>
              <w:t xml:space="preserve">Topic</w:t>
            </w:r>
          </w:p>
        </w:tc>
        <w:tc>
          <w:tcPr>
            <w:vAlign w:val="center"/>
          </w:tcPr>
          <w:p w:rsidR="00000000" w:rsidDel="00000000" w:rsidP="00000000" w:rsidRDefault="00000000" w:rsidRPr="00000000" w14:paraId="00000005">
            <w:pPr>
              <w:rPr>
                <w:color w:val="808080"/>
              </w:rPr>
            </w:pPr>
            <w:r w:rsidDel="00000000" w:rsidR="00000000" w:rsidRPr="00000000">
              <w:rPr>
                <w:color w:val="808080"/>
                <w:rtl w:val="0"/>
              </w:rPr>
              <w:t xml:space="preserve">LIFE-2022-SAP-ENV</w:t>
            </w:r>
          </w:p>
        </w:tc>
      </w:tr>
      <w:tr>
        <w:trPr>
          <w:cantSplit w:val="0"/>
          <w:tblHeader w:val="0"/>
        </w:trPr>
        <w:tc>
          <w:tcPr>
            <w:gridSpan w:val="2"/>
            <w:vAlign w:val="center"/>
          </w:tcPr>
          <w:p w:rsidR="00000000" w:rsidDel="00000000" w:rsidP="00000000" w:rsidRDefault="00000000" w:rsidRPr="00000000" w14:paraId="00000006">
            <w:pPr>
              <w:rPr>
                <w:i w:val="1"/>
                <w:color w:val="808080"/>
              </w:rPr>
            </w:pPr>
            <w:r w:rsidDel="00000000" w:rsidR="00000000" w:rsidRPr="00000000">
              <w:rPr>
                <w:i w:val="1"/>
                <w:color w:val="808080"/>
                <w:rtl w:val="0"/>
              </w:rPr>
              <w:t xml:space="preserve">Background</w:t>
            </w:r>
          </w:p>
          <w:p w:rsidR="00000000" w:rsidDel="00000000" w:rsidP="00000000" w:rsidRDefault="00000000" w:rsidRPr="00000000" w14:paraId="00000007">
            <w:pPr>
              <w:rPr>
                <w:b w:val="0"/>
                <w:color w:val="808080"/>
              </w:rPr>
            </w:pPr>
            <w:r w:rsidDel="00000000" w:rsidR="00000000" w:rsidRPr="00000000">
              <w:rPr>
                <w:b w:val="0"/>
                <w:color w:val="808080"/>
                <w:rtl w:val="0"/>
              </w:rPr>
              <w:t xml:space="preserve">Climate change and the green transition are global challenges that require action to be taken at the local level. The New European Bauhaus (NEB) promotes a place-based approach and supports small-scale initiatives by individuals, neighbourhoods and communities. At the same time, the functional scale of neighbourhoods has been demonstrated as highly efficient in the use of resources whenever they guarantee a spatial distribution of uses, infrastructures and urban functions and a rational building density. Unfortunately, the functioning at such scale is not always possible due to different degradation processes and urban challenges that lead to the absence of public facilities and services, progressive disappearance of the local commerce, abandonment or lack of care of green areas, etc. This situation also generates a lack of sense of community and individualistic attitudes that increase the environmental impact on the use of resources and reduce the awareness on the power of collective action to achieve the green transition and cope with climate change hazards.</w:t>
            </w:r>
          </w:p>
          <w:p w:rsidR="00000000" w:rsidDel="00000000" w:rsidP="00000000" w:rsidRDefault="00000000" w:rsidRPr="00000000" w14:paraId="00000008">
            <w:pPr>
              <w:rPr>
                <w:b w:val="0"/>
                <w:color w:val="808080"/>
              </w:rPr>
            </w:pPr>
            <w:r w:rsidDel="00000000" w:rsidR="00000000" w:rsidRPr="00000000">
              <w:rPr>
                <w:b w:val="0"/>
                <w:color w:val="808080"/>
                <w:rtl w:val="0"/>
              </w:rPr>
              <w:t xml:space="preserve">The NEB combines the multilevel, participatory, and transdisciplinary approach to guide the transformation path towards more sustainable, aesthetic and inclusive communities.</w:t>
            </w:r>
          </w:p>
          <w:p w:rsidR="00000000" w:rsidDel="00000000" w:rsidP="00000000" w:rsidRDefault="00000000" w:rsidRPr="00000000" w14:paraId="00000009">
            <w:pPr>
              <w:rPr>
                <w:color w:val="808080"/>
              </w:rPr>
            </w:pPr>
            <w:r w:rsidDel="00000000" w:rsidR="00000000" w:rsidRPr="00000000">
              <w:rPr>
                <w:rtl w:val="0"/>
              </w:rPr>
            </w:r>
          </w:p>
          <w:p w:rsidR="00000000" w:rsidDel="00000000" w:rsidP="00000000" w:rsidRDefault="00000000" w:rsidRPr="00000000" w14:paraId="0000000A">
            <w:pPr>
              <w:rPr>
                <w:i w:val="1"/>
                <w:color w:val="808080"/>
              </w:rPr>
            </w:pPr>
            <w:r w:rsidDel="00000000" w:rsidR="00000000" w:rsidRPr="00000000">
              <w:rPr>
                <w:i w:val="1"/>
                <w:color w:val="808080"/>
                <w:rtl w:val="0"/>
              </w:rPr>
              <w:t xml:space="preserve">Main objective</w:t>
            </w:r>
          </w:p>
          <w:p w:rsidR="00000000" w:rsidDel="00000000" w:rsidP="00000000" w:rsidRDefault="00000000" w:rsidRPr="00000000" w14:paraId="0000000B">
            <w:pPr>
              <w:rPr>
                <w:b w:val="0"/>
                <w:color w:val="808080"/>
              </w:rPr>
            </w:pPr>
            <w:r w:rsidDel="00000000" w:rsidR="00000000" w:rsidRPr="00000000">
              <w:rPr>
                <w:b w:val="0"/>
                <w:color w:val="808080"/>
                <w:rtl w:val="0"/>
              </w:rPr>
              <w:t xml:space="preserve">The project will aim to transform the neighbourhoods of different European cities following the principles of the NEB demonstrating that this approach is suitable for the transformation of any territory no matter its size, rural or urban character, or urban challenges or degradation processes undergone. This urban transformation will pursue the generation of more sustainable, beautiful, and circular territories co-governed by the inhabitants.</w:t>
            </w:r>
          </w:p>
          <w:p w:rsidR="00000000" w:rsidDel="00000000" w:rsidP="00000000" w:rsidRDefault="00000000" w:rsidRPr="00000000" w14:paraId="0000000C">
            <w:pPr>
              <w:rPr>
                <w:b w:val="0"/>
                <w:i w:val="1"/>
                <w:color w:val="808080"/>
              </w:rPr>
            </w:pPr>
            <w:r w:rsidDel="00000000" w:rsidR="00000000" w:rsidRPr="00000000">
              <w:rPr>
                <w:rtl w:val="0"/>
              </w:rPr>
            </w:r>
          </w:p>
          <w:p w:rsidR="00000000" w:rsidDel="00000000" w:rsidP="00000000" w:rsidRDefault="00000000" w:rsidRPr="00000000" w14:paraId="0000000D">
            <w:pPr>
              <w:rPr>
                <w:i w:val="1"/>
                <w:color w:val="808080"/>
              </w:rPr>
            </w:pPr>
            <w:r w:rsidDel="00000000" w:rsidR="00000000" w:rsidRPr="00000000">
              <w:rPr>
                <w:i w:val="1"/>
                <w:color w:val="808080"/>
                <w:rtl w:val="0"/>
              </w:rPr>
              <w:t xml:space="preserve">Objectives</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Learning from an active process to involve society and stakeholders in an effective governance framework. Bring in sustainability, aesthetics and inclusion to the transformation of existing buildings.</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Improve the urban metabolism at district level.</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Strengthen the sense of belonging and community in targeted </w:t>
            </w:r>
            <w:r w:rsidDel="00000000" w:rsidR="00000000" w:rsidRPr="00000000">
              <w:rPr>
                <w:b w:val="0"/>
                <w:color w:val="808080"/>
                <w:rtl w:val="0"/>
              </w:rPr>
              <w:t xml:space="preserve">neighbourhoods</w:t>
            </w: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w:t>
            </w:r>
          </w:p>
          <w:p w:rsidR="00000000" w:rsidDel="00000000" w:rsidP="00000000" w:rsidRDefault="00000000" w:rsidRPr="00000000" w14:paraId="00000011">
            <w:pPr>
              <w:rPr>
                <w:b w:val="0"/>
                <w:color w:val="808080"/>
              </w:rPr>
            </w:pPr>
            <w:r w:rsidDel="00000000" w:rsidR="00000000" w:rsidRPr="00000000">
              <w:rPr>
                <w:rtl w:val="0"/>
              </w:rPr>
            </w:r>
          </w:p>
          <w:p w:rsidR="00000000" w:rsidDel="00000000" w:rsidP="00000000" w:rsidRDefault="00000000" w:rsidRPr="00000000" w14:paraId="00000012">
            <w:pPr>
              <w:rPr>
                <w:i w:val="1"/>
                <w:color w:val="808080"/>
              </w:rPr>
            </w:pPr>
            <w:r w:rsidDel="00000000" w:rsidR="00000000" w:rsidRPr="00000000">
              <w:rPr>
                <w:i w:val="1"/>
                <w:color w:val="808080"/>
                <w:rtl w:val="0"/>
              </w:rPr>
              <w:t xml:space="preserve">Main actions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Piloting a process for the renovation of public buildings guided by users’ needs and a transdisciplinary approach.</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Creation of public spaces based on circularity.</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Implementation of initiatives such as time banks, object exchange/library markets and object repair shops.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Interventions at district level for recovering urban biowaste, waste water or rain water and green energy integration.</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Focus groups at district level to promote participatory processes for co-governance.</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Expert workshops (culture, technology, innovation and design, engineering, draft and arts, science).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Public initiatives for </w:t>
            </w:r>
            <w:r w:rsidDel="00000000" w:rsidR="00000000" w:rsidRPr="00000000">
              <w:rPr>
                <w:b w:val="0"/>
                <w:color w:val="808080"/>
                <w:rtl w:val="0"/>
              </w:rPr>
              <w:t xml:space="preserve">citizen</w:t>
            </w: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 engagement.</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Education and cultural activities.</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Monitoring of project results: at building level, at neighbourhood level, application of the NEB approach, co-governance process.</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Policy making and replication activities.</w:t>
            </w:r>
          </w:p>
          <w:p w:rsidR="00000000" w:rsidDel="00000000" w:rsidP="00000000" w:rsidRDefault="00000000" w:rsidRPr="00000000" w14:paraId="0000001D">
            <w:pPr>
              <w:rPr>
                <w:color w:val="808080"/>
              </w:rPr>
            </w:pPr>
            <w:r w:rsidDel="00000000" w:rsidR="00000000" w:rsidRPr="00000000">
              <w:rPr>
                <w:rtl w:val="0"/>
              </w:rPr>
            </w:r>
          </w:p>
          <w:p w:rsidR="00000000" w:rsidDel="00000000" w:rsidP="00000000" w:rsidRDefault="00000000" w:rsidRPr="00000000" w14:paraId="0000001E">
            <w:pPr>
              <w:rPr>
                <w:b w:val="0"/>
                <w:i w:val="1"/>
                <w:color w:val="808080"/>
              </w:rPr>
            </w:pPr>
            <w:r w:rsidDel="00000000" w:rsidR="00000000" w:rsidRPr="00000000">
              <w:rPr>
                <w:i w:val="1"/>
                <w:color w:val="808080"/>
                <w:rtl w:val="0"/>
              </w:rPr>
              <w:t xml:space="preserve">Contribution to European policies</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Renewal wave/Energy Efficiency Directive</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New Climate Change Adaptation Strategy.</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Circular Economy Action Plan.</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Gotham Rounded Light" w:cs="Gotham Rounded Light" w:eastAsia="Gotham Rounded Light" w:hAnsi="Gotham Rounded Light"/>
                <w:b w:val="0"/>
                <w:i w:val="0"/>
                <w:smallCaps w:val="0"/>
                <w:strike w:val="0"/>
                <w:color w:val="808080"/>
                <w:sz w:val="22"/>
                <w:szCs w:val="22"/>
                <w:u w:val="none"/>
                <w:shd w:fill="auto" w:val="clear"/>
                <w:vertAlign w:val="baseline"/>
              </w:rPr>
            </w:pPr>
            <w:r w:rsidDel="00000000" w:rsidR="00000000" w:rsidRPr="00000000">
              <w:rPr>
                <w:rFonts w:ascii="Gotham Rounded Light" w:cs="Gotham Rounded Light" w:eastAsia="Gotham Rounded Light" w:hAnsi="Gotham Rounded Light"/>
                <w:b w:val="0"/>
                <w:i w:val="0"/>
                <w:smallCaps w:val="0"/>
                <w:strike w:val="0"/>
                <w:color w:val="808080"/>
                <w:sz w:val="22"/>
                <w:szCs w:val="22"/>
                <w:u w:val="none"/>
                <w:shd w:fill="auto" w:val="clear"/>
                <w:vertAlign w:val="baseline"/>
                <w:rtl w:val="0"/>
              </w:rPr>
              <w:t xml:space="preserve">Strategy for Biodiversity 2030.</w:t>
            </w:r>
          </w:p>
        </w:tc>
      </w:tr>
      <w:tr>
        <w:trPr>
          <w:cantSplit w:val="0"/>
          <w:trHeight w:val="827" w:hRule="atLeast"/>
          <w:tblHeader w:val="0"/>
        </w:trPr>
        <w:tc>
          <w:tcPr>
            <w:vAlign w:val="center"/>
          </w:tcPr>
          <w:p w:rsidR="00000000" w:rsidDel="00000000" w:rsidP="00000000" w:rsidRDefault="00000000" w:rsidRPr="00000000" w14:paraId="00000024">
            <w:pPr>
              <w:spacing w:line="360" w:lineRule="auto"/>
              <w:rPr>
                <w:rFonts w:ascii="Gotham Rounded Bold" w:cs="Gotham Rounded Bold" w:eastAsia="Gotham Rounded Bold" w:hAnsi="Gotham Rounded Bold"/>
                <w:color w:val="808080"/>
                <w:sz w:val="20"/>
                <w:szCs w:val="20"/>
              </w:rPr>
            </w:pPr>
            <w:r w:rsidDel="00000000" w:rsidR="00000000" w:rsidRPr="00000000">
              <w:rPr>
                <w:rFonts w:ascii="Gotham Rounded Bold" w:cs="Gotham Rounded Bold" w:eastAsia="Gotham Rounded Bold" w:hAnsi="Gotham Rounded Bold"/>
                <w:color w:val="808080"/>
                <w:sz w:val="20"/>
                <w:szCs w:val="20"/>
                <w:rtl w:val="0"/>
              </w:rPr>
              <w:t xml:space="preserve">Consortium</w:t>
            </w:r>
          </w:p>
        </w:tc>
        <w:tc>
          <w:tcPr>
            <w:vAlign w:val="center"/>
          </w:tcPr>
          <w:p w:rsidR="00000000" w:rsidDel="00000000" w:rsidP="00000000" w:rsidRDefault="00000000" w:rsidRPr="00000000" w14:paraId="00000025">
            <w:pPr>
              <w:spacing w:after="120" w:line="276" w:lineRule="auto"/>
              <w:rPr>
                <w:rFonts w:ascii="Arial" w:cs="Arial" w:eastAsia="Arial" w:hAnsi="Arial"/>
                <w:b w:val="1"/>
                <w:i w:val="1"/>
                <w:color w:val="000000"/>
                <w:sz w:val="18"/>
                <w:szCs w:val="18"/>
              </w:rPr>
            </w:pPr>
            <w:r w:rsidDel="00000000" w:rsidR="00000000" w:rsidRPr="00000000">
              <w:rPr>
                <w:rFonts w:ascii="Arial" w:cs="Arial" w:eastAsia="Arial" w:hAnsi="Arial"/>
                <w:b w:val="1"/>
                <w:color w:val="000000"/>
                <w:sz w:val="18"/>
                <w:szCs w:val="18"/>
                <w:rtl w:val="0"/>
              </w:rPr>
              <w:t xml:space="preserve">Coordinator</w:t>
            </w:r>
            <w:r w:rsidDel="00000000" w:rsidR="00000000" w:rsidRPr="00000000">
              <w:rPr>
                <w:rtl w:val="0"/>
              </w:rPr>
            </w:r>
          </w:p>
          <w:p w:rsidR="00000000" w:rsidDel="00000000" w:rsidP="00000000" w:rsidRDefault="00000000" w:rsidRPr="00000000" w14:paraId="00000026">
            <w:pPr>
              <w:spacing w:after="120" w:line="276"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EuroVértice Consultores</w:t>
            </w:r>
          </w:p>
          <w:p w:rsidR="00000000" w:rsidDel="00000000" w:rsidP="00000000" w:rsidRDefault="00000000" w:rsidRPr="00000000" w14:paraId="00000027">
            <w:pPr>
              <w:spacing w:after="120" w:line="276"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Partners</w:t>
            </w:r>
          </w:p>
          <w:p w:rsidR="00000000" w:rsidDel="00000000" w:rsidP="00000000" w:rsidRDefault="00000000" w:rsidRPr="00000000" w14:paraId="00000028">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UPCT-Universidad Politécnica de Cartagena (SP)</w:t>
            </w:r>
          </w:p>
          <w:p w:rsidR="00000000" w:rsidDel="00000000" w:rsidP="00000000" w:rsidRDefault="00000000" w:rsidRPr="00000000" w14:paraId="00000029">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Municipality of Cartagena (SP)</w:t>
            </w:r>
          </w:p>
          <w:p w:rsidR="00000000" w:rsidDel="00000000" w:rsidP="00000000" w:rsidRDefault="00000000" w:rsidRPr="00000000" w14:paraId="0000002A">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Municipality of Blanca (SP)</w:t>
            </w:r>
          </w:p>
          <w:p w:rsidR="00000000" w:rsidDel="00000000" w:rsidP="00000000" w:rsidRDefault="00000000" w:rsidRPr="00000000" w14:paraId="0000002B">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Croatia Green Building Council  CGB (CR)</w:t>
            </w:r>
          </w:p>
          <w:p w:rsidR="00000000" w:rsidDel="00000000" w:rsidP="00000000" w:rsidRDefault="00000000" w:rsidRPr="00000000" w14:paraId="0000002C">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Municipality of Varaždin (CR)</w:t>
            </w:r>
          </w:p>
          <w:p w:rsidR="00000000" w:rsidDel="00000000" w:rsidP="00000000" w:rsidRDefault="00000000" w:rsidRPr="00000000" w14:paraId="0000002D">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Municipality of Bari (IT)</w:t>
            </w:r>
          </w:p>
          <w:p w:rsidR="00000000" w:rsidDel="00000000" w:rsidP="00000000" w:rsidRDefault="00000000" w:rsidRPr="00000000" w14:paraId="0000002E">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Pro Progressione (HU)</w:t>
            </w:r>
          </w:p>
          <w:p w:rsidR="00000000" w:rsidDel="00000000" w:rsidP="00000000" w:rsidRDefault="00000000" w:rsidRPr="00000000" w14:paraId="0000002F">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Municipality of Erzsebetvaros, Budapest (HU)</w:t>
            </w:r>
          </w:p>
          <w:p w:rsidR="00000000" w:rsidDel="00000000" w:rsidP="00000000" w:rsidRDefault="00000000" w:rsidRPr="00000000" w14:paraId="00000030">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Municipality of Adazi (LA)</w:t>
            </w:r>
          </w:p>
          <w:p w:rsidR="00000000" w:rsidDel="00000000" w:rsidP="00000000" w:rsidRDefault="00000000" w:rsidRPr="00000000" w14:paraId="00000031">
            <w:pPr>
              <w:spacing w:after="12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Ekodoma (LA)</w:t>
            </w:r>
          </w:p>
          <w:p w:rsidR="00000000" w:rsidDel="00000000" w:rsidP="00000000" w:rsidRDefault="00000000" w:rsidRPr="00000000" w14:paraId="00000032">
            <w:pPr>
              <w:spacing w:after="120" w:lineRule="auto"/>
              <w:rPr>
                <w:rFonts w:ascii="Arial" w:cs="Arial" w:eastAsia="Arial" w:hAnsi="Arial"/>
                <w:color w:val="808080"/>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spacing w:line="360" w:lineRule="auto"/>
              <w:rPr>
                <w:rFonts w:ascii="Gotham Rounded Bold" w:cs="Gotham Rounded Bold" w:eastAsia="Gotham Rounded Bold" w:hAnsi="Gotham Rounded Bold"/>
                <w:color w:val="808080"/>
                <w:sz w:val="20"/>
                <w:szCs w:val="20"/>
              </w:rPr>
            </w:pPr>
            <w:r w:rsidDel="00000000" w:rsidR="00000000" w:rsidRPr="00000000">
              <w:rPr>
                <w:rFonts w:ascii="Gotham Rounded Bold" w:cs="Gotham Rounded Bold" w:eastAsia="Gotham Rounded Bold" w:hAnsi="Gotham Rounded Bold"/>
                <w:color w:val="808080"/>
                <w:sz w:val="20"/>
                <w:szCs w:val="20"/>
                <w:rtl w:val="0"/>
              </w:rPr>
              <w:t xml:space="preserve">Duration</w:t>
            </w:r>
          </w:p>
        </w:tc>
        <w:tc>
          <w:tcPr>
            <w:vAlign w:val="center"/>
          </w:tcPr>
          <w:p w:rsidR="00000000" w:rsidDel="00000000" w:rsidP="00000000" w:rsidRDefault="00000000" w:rsidRPr="00000000" w14:paraId="00000034">
            <w:pPr>
              <w:spacing w:after="120" w:line="276" w:lineRule="auto"/>
              <w:rPr>
                <w:rFonts w:ascii="Arial" w:cs="Arial" w:eastAsia="Arial" w:hAnsi="Arial"/>
                <w:color w:val="808080"/>
                <w:sz w:val="18"/>
                <w:szCs w:val="18"/>
              </w:rPr>
            </w:pPr>
            <w:r w:rsidDel="00000000" w:rsidR="00000000" w:rsidRPr="00000000">
              <w:rPr>
                <w:rFonts w:ascii="Arial" w:cs="Arial" w:eastAsia="Arial" w:hAnsi="Arial"/>
                <w:color w:val="808080"/>
                <w:sz w:val="18"/>
                <w:szCs w:val="18"/>
                <w:rtl w:val="0"/>
              </w:rPr>
              <w:t xml:space="preserve">4 years (start October 2023)</w:t>
            </w:r>
          </w:p>
        </w:tc>
      </w:tr>
      <w:tr>
        <w:trPr>
          <w:cantSplit w:val="0"/>
          <w:tblHeader w:val="0"/>
        </w:trPr>
        <w:tc>
          <w:tcPr>
            <w:vAlign w:val="center"/>
          </w:tcPr>
          <w:p w:rsidR="00000000" w:rsidDel="00000000" w:rsidP="00000000" w:rsidRDefault="00000000" w:rsidRPr="00000000" w14:paraId="00000035">
            <w:pPr>
              <w:spacing w:line="360" w:lineRule="auto"/>
              <w:rPr>
                <w:rFonts w:ascii="Gotham Rounded Bold" w:cs="Gotham Rounded Bold" w:eastAsia="Gotham Rounded Bold" w:hAnsi="Gotham Rounded Bold"/>
                <w:color w:val="808080"/>
                <w:sz w:val="20"/>
                <w:szCs w:val="20"/>
              </w:rPr>
            </w:pPr>
            <w:r w:rsidDel="00000000" w:rsidR="00000000" w:rsidRPr="00000000">
              <w:rPr>
                <w:rFonts w:ascii="Gotham Rounded Bold" w:cs="Gotham Rounded Bold" w:eastAsia="Gotham Rounded Bold" w:hAnsi="Gotham Rounded Bold"/>
                <w:color w:val="808080"/>
                <w:sz w:val="20"/>
                <w:szCs w:val="20"/>
                <w:rtl w:val="0"/>
              </w:rPr>
              <w:t xml:space="preserve">Call deadline</w:t>
            </w:r>
          </w:p>
        </w:tc>
        <w:tc>
          <w:tcPr>
            <w:vAlign w:val="center"/>
          </w:tcPr>
          <w:p w:rsidR="00000000" w:rsidDel="00000000" w:rsidP="00000000" w:rsidRDefault="00000000" w:rsidRPr="00000000" w14:paraId="00000036">
            <w:pPr>
              <w:spacing w:after="120" w:line="276" w:lineRule="auto"/>
              <w:rPr>
                <w:rFonts w:ascii="Arial" w:cs="Arial" w:eastAsia="Arial" w:hAnsi="Arial"/>
                <w:color w:val="808080"/>
                <w:sz w:val="18"/>
                <w:szCs w:val="18"/>
              </w:rPr>
            </w:pPr>
            <w:r w:rsidDel="00000000" w:rsidR="00000000" w:rsidRPr="00000000">
              <w:rPr>
                <w:rFonts w:ascii="Arial" w:cs="Arial" w:eastAsia="Arial" w:hAnsi="Arial"/>
                <w:color w:val="808080"/>
                <w:sz w:val="18"/>
                <w:szCs w:val="18"/>
                <w:rtl w:val="0"/>
              </w:rPr>
              <w:t xml:space="preserve">4 October</w:t>
            </w:r>
          </w:p>
        </w:tc>
      </w:tr>
      <w:tr>
        <w:trPr>
          <w:cantSplit w:val="0"/>
          <w:trHeight w:val="225" w:hRule="atLeast"/>
          <w:tblHeader w:val="0"/>
        </w:trPr>
        <w:tc>
          <w:tcPr>
            <w:vAlign w:val="center"/>
          </w:tcPr>
          <w:p w:rsidR="00000000" w:rsidDel="00000000" w:rsidP="00000000" w:rsidRDefault="00000000" w:rsidRPr="00000000" w14:paraId="00000037">
            <w:pPr>
              <w:spacing w:line="360" w:lineRule="auto"/>
              <w:rPr>
                <w:rFonts w:ascii="Gotham Rounded Bold" w:cs="Gotham Rounded Bold" w:eastAsia="Gotham Rounded Bold" w:hAnsi="Gotham Rounded Bold"/>
                <w:color w:val="808080"/>
                <w:sz w:val="20"/>
                <w:szCs w:val="20"/>
              </w:rPr>
            </w:pPr>
            <w:r w:rsidDel="00000000" w:rsidR="00000000" w:rsidRPr="00000000">
              <w:rPr>
                <w:rFonts w:ascii="Gotham Rounded Bold" w:cs="Gotham Rounded Bold" w:eastAsia="Gotham Rounded Bold" w:hAnsi="Gotham Rounded Bold"/>
                <w:color w:val="808080"/>
                <w:sz w:val="20"/>
                <w:szCs w:val="20"/>
                <w:rtl w:val="0"/>
              </w:rPr>
              <w:t xml:space="preserve">Estimated budget</w:t>
            </w:r>
          </w:p>
        </w:tc>
        <w:tc>
          <w:tcPr>
            <w:vAlign w:val="center"/>
          </w:tcPr>
          <w:p w:rsidR="00000000" w:rsidDel="00000000" w:rsidP="00000000" w:rsidRDefault="00000000" w:rsidRPr="00000000" w14:paraId="00000038">
            <w:pPr>
              <w:spacing w:line="360" w:lineRule="auto"/>
              <w:rPr>
                <w:rFonts w:ascii="Arial" w:cs="Arial" w:eastAsia="Arial" w:hAnsi="Arial"/>
                <w:color w:val="808080"/>
                <w:sz w:val="18"/>
                <w:szCs w:val="18"/>
              </w:rPr>
            </w:pPr>
            <w:r w:rsidDel="00000000" w:rsidR="00000000" w:rsidRPr="00000000">
              <w:rPr>
                <w:rFonts w:ascii="Arial" w:cs="Arial" w:eastAsia="Arial" w:hAnsi="Arial"/>
                <w:color w:val="808080"/>
                <w:sz w:val="18"/>
                <w:szCs w:val="18"/>
                <w:rtl w:val="0"/>
              </w:rPr>
              <w:t xml:space="preserve">~ 5 M€</w:t>
            </w:r>
          </w:p>
        </w:tc>
      </w:tr>
      <w:tr>
        <w:trPr>
          <w:cantSplit w:val="0"/>
          <w:trHeight w:val="225" w:hRule="atLeast"/>
          <w:tblHeader w:val="0"/>
        </w:trPr>
        <w:tc>
          <w:tcPr>
            <w:vAlign w:val="center"/>
          </w:tcPr>
          <w:p w:rsidR="00000000" w:rsidDel="00000000" w:rsidP="00000000" w:rsidRDefault="00000000" w:rsidRPr="00000000" w14:paraId="00000039">
            <w:pPr>
              <w:spacing w:line="360" w:lineRule="auto"/>
              <w:rPr>
                <w:rFonts w:ascii="Gotham Rounded Bold" w:cs="Gotham Rounded Bold" w:eastAsia="Gotham Rounded Bold" w:hAnsi="Gotham Rounded Bold"/>
                <w:color w:val="808080"/>
                <w:sz w:val="20"/>
                <w:szCs w:val="20"/>
              </w:rPr>
            </w:pPr>
            <w:r w:rsidDel="00000000" w:rsidR="00000000" w:rsidRPr="00000000">
              <w:rPr>
                <w:rFonts w:ascii="Gotham Rounded Bold" w:cs="Gotham Rounded Bold" w:eastAsia="Gotham Rounded Bold" w:hAnsi="Gotham Rounded Bold"/>
                <w:color w:val="808080"/>
                <w:sz w:val="20"/>
                <w:szCs w:val="20"/>
                <w:rtl w:val="0"/>
              </w:rPr>
              <w:t xml:space="preserve">EU funding</w:t>
            </w:r>
          </w:p>
        </w:tc>
        <w:tc>
          <w:tcPr>
            <w:vAlign w:val="center"/>
          </w:tcPr>
          <w:p w:rsidR="00000000" w:rsidDel="00000000" w:rsidP="00000000" w:rsidRDefault="00000000" w:rsidRPr="00000000" w14:paraId="0000003A">
            <w:pPr>
              <w:spacing w:line="360" w:lineRule="auto"/>
              <w:rPr>
                <w:rFonts w:ascii="Arial" w:cs="Arial" w:eastAsia="Arial" w:hAnsi="Arial"/>
                <w:color w:val="808080"/>
                <w:sz w:val="18"/>
                <w:szCs w:val="18"/>
              </w:rPr>
            </w:pPr>
            <w:r w:rsidDel="00000000" w:rsidR="00000000" w:rsidRPr="00000000">
              <w:rPr>
                <w:rFonts w:ascii="Arial" w:cs="Arial" w:eastAsia="Arial" w:hAnsi="Arial"/>
                <w:color w:val="808080"/>
                <w:sz w:val="18"/>
                <w:szCs w:val="18"/>
                <w:rtl w:val="0"/>
              </w:rPr>
              <w:t xml:space="preserve">60%</w:t>
            </w:r>
          </w:p>
        </w:tc>
      </w:tr>
    </w:tbl>
    <w:p w:rsidR="00000000" w:rsidDel="00000000" w:rsidP="00000000" w:rsidRDefault="00000000" w:rsidRPr="00000000" w14:paraId="0000003B">
      <w:pPr>
        <w:jc w:val="both"/>
        <w:rPr>
          <w:sz w:val="20"/>
          <w:szCs w:val="20"/>
        </w:rPr>
      </w:pPr>
      <w:r w:rsidDel="00000000" w:rsidR="00000000" w:rsidRPr="00000000">
        <w:rPr>
          <w:rtl w:val="0"/>
        </w:rPr>
      </w:r>
    </w:p>
    <w:sectPr>
      <w:headerReference r:id="rId7" w:type="default"/>
      <w:footerReference r:id="rId8" w:type="default"/>
      <w:pgSz w:h="16838" w:w="11906" w:orient="portrait"/>
      <w:pgMar w:bottom="1418" w:top="1418"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Gotham Rounded Light"/>
  <w:font w:name="Gotham Rounded Bold"/>
  <w:font w:name="Noto Sans Symbols"/>
  <w:font w:name="Gotham Rounded Book"/>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252"/>
        <w:tab w:val="right" w:pos="8504"/>
        <w:tab w:val="right" w:pos="9072"/>
      </w:tabs>
      <w:spacing w:after="0" w:line="240" w:lineRule="auto"/>
      <w:rPr>
        <w:color w:val="00a276"/>
        <w:sz w:val="20"/>
        <w:szCs w:val="20"/>
      </w:rPr>
    </w:pPr>
    <w:r w:rsidDel="00000000" w:rsidR="00000000" w:rsidRPr="00000000">
      <w:rPr>
        <w:color w:val="00a276"/>
        <w:sz w:val="20"/>
        <w:szCs w:val="20"/>
        <w:rtl w:val="0"/>
      </w:rPr>
      <w:t xml:space="preserve">LIFE Bauhausing Europe</w:t>
      <w:tab/>
      <w:t xml:space="preserve">www.eurovertice.eu</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252"/>
        <w:tab w:val="right" w:pos="8504"/>
      </w:tabs>
      <w:spacing w:after="360" w:line="240" w:lineRule="auto"/>
      <w:jc w:val="center"/>
      <w:rPr>
        <w:color w:val="000000"/>
      </w:rPr>
    </w:pPr>
    <w:r w:rsidDel="00000000" w:rsidR="00000000" w:rsidRPr="00000000">
      <w:rPr>
        <w:color w:val="000000"/>
      </w:rPr>
      <w:drawing>
        <wp:inline distB="0" distT="0" distL="0" distR="0">
          <wp:extent cx="1462697" cy="1393345"/>
          <wp:effectExtent b="0" l="0" r="0" t="0"/>
          <wp:docPr descr="Logo vertical ESP mediano (verde).png" id="2" name="image1.png"/>
          <a:graphic>
            <a:graphicData uri="http://schemas.openxmlformats.org/drawingml/2006/picture">
              <pic:pic>
                <pic:nvPicPr>
                  <pic:cNvPr descr="Logo vertical ESP mediano (verde).png" id="0" name="image1.png"/>
                  <pic:cNvPicPr preferRelativeResize="0"/>
                </pic:nvPicPr>
                <pic:blipFill>
                  <a:blip r:embed="rId1"/>
                  <a:srcRect b="0" l="0" r="0" t="0"/>
                  <a:stretch>
                    <a:fillRect/>
                  </a:stretch>
                </pic:blipFill>
                <pic:spPr>
                  <a:xfrm>
                    <a:off x="0" y="0"/>
                    <a:ext cx="1462697" cy="139334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otham Rounded Light" w:cs="Gotham Rounded Light" w:eastAsia="Gotham Rounded Light" w:hAnsi="Gotham Rounded Light"/>
        <w:sz w:val="22"/>
        <w:szCs w:val="22"/>
        <w:lang w:val="en_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jc w:val="both"/>
    </w:pPr>
    <w:rPr>
      <w:rFonts w:ascii="Gotham Rounded Book" w:cs="Gotham Rounded Book" w:eastAsia="Gotham Rounded Book" w:hAnsi="Gotham Rounded Book"/>
      <w:b w:val="1"/>
      <w:color w:val="899196"/>
      <w:sz w:val="28"/>
      <w:szCs w:val="28"/>
    </w:rPr>
  </w:style>
  <w:style w:type="paragraph" w:styleId="Heading2">
    <w:name w:val="heading 2"/>
    <w:basedOn w:val="Normal"/>
    <w:next w:val="Normal"/>
    <w:pPr>
      <w:keepNext w:val="1"/>
      <w:keepLines w:val="1"/>
      <w:spacing w:after="100" w:before="200" w:lineRule="auto"/>
    </w:pPr>
    <w:rPr>
      <w:rFonts w:ascii="Gotham Rounded Book" w:cs="Gotham Rounded Book" w:eastAsia="Gotham Rounded Book" w:hAnsi="Gotham Rounded Book"/>
      <w:b w:val="1"/>
      <w:color w:val="bdc1c4"/>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00a276" w:space="4" w:sz="8" w:val="single"/>
      </w:pBdr>
      <w:spacing w:after="300" w:line="240" w:lineRule="auto"/>
    </w:pPr>
    <w:rPr>
      <w:rFonts w:ascii="Gotham Rounded Book" w:cs="Gotham Rounded Book" w:eastAsia="Gotham Rounded Book" w:hAnsi="Gotham Rounded Book"/>
      <w:color w:val="007958"/>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240" w:before="480"/>
      <w:jc w:val="both"/>
      <w:outlineLvl w:val="0"/>
    </w:pPr>
    <w:rPr>
      <w:rFonts w:ascii="Gotham Rounded Book" w:cs="Gotham Rounded Book" w:eastAsia="Gotham Rounded Book" w:hAnsi="Gotham Rounded Book"/>
      <w:b w:val="1"/>
      <w:color w:val="899196"/>
      <w:sz w:val="28"/>
      <w:szCs w:val="28"/>
    </w:rPr>
  </w:style>
  <w:style w:type="paragraph" w:styleId="Ttulo2">
    <w:name w:val="heading 2"/>
    <w:basedOn w:val="Normal"/>
    <w:next w:val="Normal"/>
    <w:uiPriority w:val="9"/>
    <w:semiHidden w:val="1"/>
    <w:unhideWhenUsed w:val="1"/>
    <w:qFormat w:val="1"/>
    <w:pPr>
      <w:keepNext w:val="1"/>
      <w:keepLines w:val="1"/>
      <w:spacing w:after="100" w:before="200"/>
      <w:outlineLvl w:val="1"/>
    </w:pPr>
    <w:rPr>
      <w:rFonts w:ascii="Gotham Rounded Book" w:cs="Gotham Rounded Book" w:eastAsia="Gotham Rounded Book" w:hAnsi="Gotham Rounded Book"/>
      <w:b w:val="1"/>
      <w:color w:val="bdc1c4"/>
      <w:sz w:val="26"/>
      <w:szCs w:val="2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pBdr>
        <w:bottom w:color="00a276" w:space="4" w:sz="8" w:val="single"/>
      </w:pBdr>
      <w:spacing w:after="300" w:line="240" w:lineRule="auto"/>
    </w:pPr>
    <w:rPr>
      <w:rFonts w:ascii="Gotham Rounded Book" w:cs="Gotham Rounded Book" w:eastAsia="Gotham Rounded Book" w:hAnsi="Gotham Rounded Book"/>
      <w:color w:val="007958"/>
      <w:sz w:val="52"/>
      <w:szCs w:val="5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7958"/>
    </w:rPr>
    <w:tblPr>
      <w:tblStyleRowBandSize w:val="1"/>
      <w:tblStyleColBandSize w:val="1"/>
      <w:tblCellMar>
        <w:top w:w="113.0" w:type="dxa"/>
        <w:left w:w="115.0" w:type="dxa"/>
        <w:bottom w:w="113.0" w:type="dxa"/>
        <w:right w:w="115.0" w:type="dxa"/>
      </w:tblCellMar>
    </w:tblPr>
    <w:tcPr>
      <w:shd w:color="auto" w:fill="auto" w:val="clear"/>
    </w:tcPr>
    <w:tblStylePr w:type="firstRow">
      <w:pPr>
        <w:spacing w:after="0" w:before="0" w:line="240" w:lineRule="auto"/>
      </w:pPr>
      <w:rPr>
        <w:b w:val="1"/>
      </w:rPr>
      <w:tblPr/>
      <w:tcPr>
        <w:tcBorders>
          <w:top w:color="00a276" w:space="0" w:sz="8" w:val="single"/>
          <w:left w:space="0" w:sz="0" w:val="nil"/>
          <w:bottom w:color="00a276"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a276" w:space="0" w:sz="8" w:val="single"/>
          <w:left w:space="0" w:sz="0" w:val="nil"/>
          <w:bottom w:color="00a276"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shd w:color="auto" w:fill="e9f7ef" w:val="clear"/>
      </w:tcPr>
    </w:tblStylePr>
    <w:tblStylePr w:type="band2Horz">
      <w:tblPr/>
      <w:tcPr>
        <w:shd w:color="auto" w:fill="e9f7ef" w:val="clear"/>
      </w:tcPr>
    </w:tblStylePr>
  </w:style>
  <w:style w:type="paragraph" w:styleId="Prrafodelista">
    <w:name w:val="List Paragraph"/>
    <w:basedOn w:val="Normal"/>
    <w:uiPriority w:val="34"/>
    <w:qFormat w:val="1"/>
    <w:rsid w:val="00C87B6D"/>
    <w:pPr>
      <w:ind w:left="720"/>
      <w:contextualSpacing w:val="1"/>
    </w:pPr>
  </w:style>
  <w:style w:type="paragraph" w:styleId="Encabezado">
    <w:name w:val="header"/>
    <w:basedOn w:val="Normal"/>
    <w:link w:val="EncabezadoCar"/>
    <w:uiPriority w:val="99"/>
    <w:unhideWhenUsed w:val="1"/>
    <w:rsid w:val="00700766"/>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700766"/>
  </w:style>
  <w:style w:type="paragraph" w:styleId="Piedepgina">
    <w:name w:val="footer"/>
    <w:basedOn w:val="Normal"/>
    <w:link w:val="PiedepginaCar"/>
    <w:uiPriority w:val="99"/>
    <w:unhideWhenUsed w:val="1"/>
    <w:rsid w:val="00700766"/>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700766"/>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7958"/>
    </w:rPr>
    <w:tblPr>
      <w:tblStyleRowBandSize w:val="1"/>
      <w:tblStyleColBandSize w:val="1"/>
      <w:tblCellMar>
        <w:top w:w="0.0" w:type="dxa"/>
        <w:left w:w="115.0" w:type="dxa"/>
        <w:bottom w:w="0.0" w:type="dxa"/>
        <w:right w:w="115.0" w:type="dxa"/>
      </w:tblCellMar>
    </w:tblPr>
    <w:tcPr>
      <w:shd w:fill="auto" w:val="clear"/>
    </w:tcPr>
    <w:tblStylePr w:type="band1Vert">
      <w:tcPr>
        <w:shd w:fill="e9f7ef" w:val="clear"/>
      </w:tcPr>
    </w:tblStylePr>
    <w:tblStylePr w:type="band2Horz">
      <w:tcPr>
        <w:shd w:fill="e9f7ef" w:val="clear"/>
      </w:tcPr>
    </w:tblStylePr>
    <w:tblStylePr w:type="firstCol">
      <w:rPr>
        <w:b w:val="1"/>
      </w:rPr>
    </w:tblStylePr>
    <w:tblStylePr w:type="firstRow">
      <w:pPr>
        <w:spacing w:after="0" w:before="0" w:line="240" w:lineRule="auto"/>
      </w:pPr>
      <w:rPr>
        <w:b w:val="1"/>
      </w:rPr>
      <w:tcPr>
        <w:tcBorders>
          <w:top w:color="00a276" w:space="0" w:sz="8" w:val="single"/>
          <w:left w:color="000000" w:space="0" w:sz="0" w:val="nil"/>
          <w:bottom w:color="00a276"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00a276" w:space="0" w:sz="8" w:val="single"/>
          <w:left w:color="000000" w:space="0" w:sz="0" w:val="nil"/>
          <w:bottom w:color="00a276" w:space="0" w:sz="8" w:val="single"/>
          <w:right w:color="000000" w:space="0" w:sz="0" w:val="nil"/>
          <w:insideH w:color="000000" w:space="0" w:sz="0" w:val="nil"/>
          <w:insideV w:color="000000" w:space="0" w:sz="0" w:val="nil"/>
        </w:tcBorders>
      </w:tcPr>
    </w:tblStyle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G/rC/iBdmVNmK/DSGsFCyCyhEQ==">AMUW2mXL9z/kZtTO3+GKCxzINATG7ApcrEV/HkYUGYZqzNSRxOm5O6oDl9iDinChkYoThBx+cKl6NLQkJyYPChaKKqguCqT+q9SnWEtzpn7GKrsU6EcaW1k=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um" ma:contentTypeID="0x0101002162C75E55477D42995CC26327F7C124" ma:contentTypeVersion="16" ma:contentTypeDescription="Új dokumentum létrehozása." ma:contentTypeScope="" ma:versionID="a0af8e0759247c993708e19adbd63221">
  <xsd:schema xmlns:xsd="http://www.w3.org/2001/XMLSchema" xmlns:xs="http://www.w3.org/2001/XMLSchema" xmlns:p="http://schemas.microsoft.com/office/2006/metadata/properties" xmlns:ns2="84bcf376-5633-429f-af29-3bac67e4dc26" xmlns:ns3="8598716f-6c0a-462a-8da1-a7a2c5c00955" targetNamespace="http://schemas.microsoft.com/office/2006/metadata/properties" ma:root="true" ma:fieldsID="b5bca4c05cb77f14b0fb393e3e0cb4c2" ns2:_="" ns3:_="">
    <xsd:import namespace="84bcf376-5633-429f-af29-3bac67e4dc26"/>
    <xsd:import namespace="8598716f-6c0a-462a-8da1-a7a2c5c009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f376-5633-429f-af29-3bac67e4d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19ca1d31-ca33-486b-9442-6ced84513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598716f-6c0a-462a-8da1-a7a2c5c00955"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e1456b7-f9a6-468c-913f-d8763d8a833e}" ma:internalName="TaxCatchAll" ma:showField="CatchAllData" ma:web="8598716f-6c0a-462a-8da1-a7a2c5c00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20C6454-4DA6-4846-876B-A28AAA18B1C7}"/>
</file>

<file path=customXML/itemProps3.xml><?xml version="1.0" encoding="utf-8"?>
<ds:datastoreItem xmlns:ds="http://schemas.openxmlformats.org/officeDocument/2006/customXml" ds:itemID="{440057D3-D3CC-4B49-A834-39E438A56E4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2021-11-13T20:59:00Z</dcterms:created>
</cp:coreProperties>
</file>