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A1" w:rsidRPr="00DF6225" w:rsidRDefault="002E7EA1" w:rsidP="002E7EA1">
      <w:pPr>
        <w:pStyle w:val="Listaszerbekezds"/>
        <w:numPr>
          <w:ilvl w:val="0"/>
          <w:numId w:val="3"/>
        </w:numPr>
        <w:spacing w:after="20" w:line="240" w:lineRule="auto"/>
        <w:ind w:left="3402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E320E">
        <w:rPr>
          <w:rFonts w:ascii="Times New Roman" w:hAnsi="Times New Roman" w:cs="Times New Roman"/>
          <w:sz w:val="24"/>
          <w:szCs w:val="24"/>
        </w:rPr>
        <w:t xml:space="preserve">melléklet a </w:t>
      </w:r>
      <w:r w:rsidRPr="009E320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 xml:space="preserve">4/2019. (III. </w:t>
      </w:r>
      <w:r w:rsidRPr="009E320E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22</w:t>
      </w:r>
      <w:r w:rsidRPr="009E320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hu-HU"/>
        </w:rPr>
        <w:t>.) önkormányzati rendelethez</w:t>
      </w:r>
    </w:p>
    <w:p w:rsidR="002E7EA1" w:rsidRDefault="002E7EA1" w:rsidP="002E7EA1">
      <w:pPr>
        <w:pStyle w:val="bekezdsek"/>
        <w:ind w:firstLine="0"/>
        <w:rPr>
          <w:i/>
          <w:color w:val="000000"/>
        </w:rPr>
      </w:pPr>
    </w:p>
    <w:p w:rsidR="002E7EA1" w:rsidRDefault="002E7EA1" w:rsidP="002E7EA1">
      <w:pPr>
        <w:pStyle w:val="bekezdsek"/>
        <w:ind w:firstLine="0"/>
        <w:rPr>
          <w:i/>
          <w:color w:val="000000"/>
        </w:rPr>
      </w:pPr>
    </w:p>
    <w:p w:rsidR="002E7EA1" w:rsidRPr="006E6F8C" w:rsidRDefault="002E7EA1" w:rsidP="002E7EA1">
      <w:pPr>
        <w:pStyle w:val="bekezdsek"/>
        <w:ind w:firstLine="0"/>
        <w:rPr>
          <w:i/>
          <w:color w:val="000000"/>
        </w:rPr>
      </w:pPr>
      <w:r w:rsidRPr="006E6F8C">
        <w:rPr>
          <w:i/>
          <w:color w:val="000000"/>
        </w:rPr>
        <w:t>A parkolóhely létesítés pénzbeli megváltásának összegei darabonként az alábbiak:</w:t>
      </w:r>
    </w:p>
    <w:p w:rsidR="002E7EA1" w:rsidRPr="006E6F8C" w:rsidRDefault="002E7EA1" w:rsidP="002E7EA1">
      <w:pPr>
        <w:pStyle w:val="bekezdsek"/>
        <w:ind w:firstLine="0"/>
        <w:rPr>
          <w:i/>
          <w:color w:val="000000"/>
        </w:rPr>
      </w:pP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1985"/>
        <w:gridCol w:w="1843"/>
        <w:gridCol w:w="2835"/>
        <w:gridCol w:w="2551"/>
      </w:tblGrid>
      <w:tr w:rsidR="002E7EA1" w:rsidRPr="006E6F8C" w:rsidTr="001750E6">
        <w:trPr>
          <w:trHeight w:val="433"/>
        </w:trPr>
        <w:tc>
          <w:tcPr>
            <w:tcW w:w="1985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  <w:sz w:val="26"/>
                <w:szCs w:val="26"/>
              </w:rPr>
              <w:t>Lakó funkcióra</w:t>
            </w:r>
          </w:p>
        </w:tc>
        <w:tc>
          <w:tcPr>
            <w:tcW w:w="2551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E6F8C">
              <w:rPr>
                <w:rFonts w:ascii="Times New Roman" w:hAnsi="Times New Roman" w:cs="Times New Roman"/>
                <w:i/>
                <w:sz w:val="26"/>
                <w:szCs w:val="26"/>
              </w:rPr>
              <w:t>Egyéb funkcióra</w:t>
            </w:r>
          </w:p>
        </w:tc>
      </w:tr>
      <w:tr w:rsidR="002E7EA1" w:rsidRPr="006E6F8C" w:rsidTr="001750E6">
        <w:trPr>
          <w:trHeight w:val="434"/>
        </w:trPr>
        <w:tc>
          <w:tcPr>
            <w:tcW w:w="1985" w:type="dxa"/>
            <w:vMerge w:val="restart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Belső-Erzsébetváros területén</w:t>
            </w:r>
          </w:p>
        </w:tc>
        <w:tc>
          <w:tcPr>
            <w:tcW w:w="1843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új építés esetén</w:t>
            </w:r>
          </w:p>
        </w:tc>
        <w:tc>
          <w:tcPr>
            <w:tcW w:w="2835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 xml:space="preserve">nettó 6.000.000.-Ft 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+ ÁFA, azaz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Hatmillió forint + általános forgalmi adó</w:t>
            </w:r>
          </w:p>
        </w:tc>
        <w:tc>
          <w:tcPr>
            <w:tcW w:w="2551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 xml:space="preserve">nettó 7.000.000.-Ft 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+ ÁFA, azaz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Hétmillió forint + általános forgalmi adó</w:t>
            </w:r>
          </w:p>
        </w:tc>
      </w:tr>
      <w:tr w:rsidR="002E7EA1" w:rsidRPr="006E6F8C" w:rsidTr="001750E6">
        <w:trPr>
          <w:trHeight w:val="433"/>
        </w:trPr>
        <w:tc>
          <w:tcPr>
            <w:tcW w:w="1985" w:type="dxa"/>
            <w:vMerge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bővítés esetén</w:t>
            </w:r>
          </w:p>
        </w:tc>
        <w:tc>
          <w:tcPr>
            <w:tcW w:w="2835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 xml:space="preserve">nettó 5.000.000.-Ft 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+ ÁFA, azaz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Ötmillió forint + általános forgalmi adó</w:t>
            </w:r>
          </w:p>
        </w:tc>
        <w:tc>
          <w:tcPr>
            <w:tcW w:w="2551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 xml:space="preserve">nettó 6.000.000.-Ft 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+ ÁFA, azaz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Hatmillió forint + általános forgalmi adó</w:t>
            </w:r>
          </w:p>
        </w:tc>
      </w:tr>
      <w:tr w:rsidR="002E7EA1" w:rsidRPr="006E6F8C" w:rsidTr="001750E6">
        <w:trPr>
          <w:trHeight w:val="434"/>
        </w:trPr>
        <w:tc>
          <w:tcPr>
            <w:tcW w:w="1985" w:type="dxa"/>
            <w:vMerge w:val="restart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Középső-, és Külső-Erzsébetváros területén</w:t>
            </w:r>
          </w:p>
        </w:tc>
        <w:tc>
          <w:tcPr>
            <w:tcW w:w="1843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új építés esetén</w:t>
            </w:r>
          </w:p>
        </w:tc>
        <w:tc>
          <w:tcPr>
            <w:tcW w:w="2835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 xml:space="preserve">nettó 5.000.000.-Ft 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+ ÁFA, azaz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Ötmillió forint + általános forgalmi adó</w:t>
            </w:r>
          </w:p>
        </w:tc>
        <w:tc>
          <w:tcPr>
            <w:tcW w:w="2551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 xml:space="preserve">nettó 6.000.000.-Ft 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+ ÁFA, azaz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b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Hatmillió forint + általános forgalmi adó</w:t>
            </w:r>
          </w:p>
        </w:tc>
      </w:tr>
      <w:tr w:rsidR="002E7EA1" w:rsidRPr="006E6F8C" w:rsidTr="001750E6">
        <w:trPr>
          <w:trHeight w:val="434"/>
        </w:trPr>
        <w:tc>
          <w:tcPr>
            <w:tcW w:w="1985" w:type="dxa"/>
            <w:vMerge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bővítés esetén</w:t>
            </w:r>
          </w:p>
        </w:tc>
        <w:tc>
          <w:tcPr>
            <w:tcW w:w="2835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 xml:space="preserve">nettó 4.000.000.-Ft 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+ ÁFA, azaz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Négymillió forint + általános forgalmi adó</w:t>
            </w:r>
          </w:p>
        </w:tc>
        <w:tc>
          <w:tcPr>
            <w:tcW w:w="2551" w:type="dxa"/>
          </w:tcPr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5.0</w:t>
            </w:r>
            <w:r w:rsidR="003F4066">
              <w:rPr>
                <w:rFonts w:ascii="Times New Roman" w:hAnsi="Times New Roman" w:cs="Times New Roman"/>
                <w:i/>
              </w:rPr>
              <w:t>0</w:t>
            </w:r>
            <w:bookmarkStart w:id="0" w:name="_GoBack"/>
            <w:bookmarkEnd w:id="0"/>
            <w:r w:rsidRPr="006E6F8C">
              <w:rPr>
                <w:rFonts w:ascii="Times New Roman" w:hAnsi="Times New Roman" w:cs="Times New Roman"/>
                <w:i/>
              </w:rPr>
              <w:t xml:space="preserve">0.000.-Ft 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+ ÁFA, azaz</w:t>
            </w:r>
          </w:p>
          <w:p w:rsidR="002E7EA1" w:rsidRPr="006E6F8C" w:rsidRDefault="002E7EA1" w:rsidP="001750E6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6E6F8C">
              <w:rPr>
                <w:rFonts w:ascii="Times New Roman" w:hAnsi="Times New Roman" w:cs="Times New Roman"/>
                <w:i/>
              </w:rPr>
              <w:t>nettó Ötmillió forint + általános forgalmi adó</w:t>
            </w:r>
          </w:p>
        </w:tc>
      </w:tr>
    </w:tbl>
    <w:p w:rsidR="002E7EA1" w:rsidRDefault="002E7EA1" w:rsidP="002E7EA1">
      <w:pPr>
        <w:pStyle w:val="bekezdsek"/>
        <w:ind w:firstLine="0"/>
        <w:rPr>
          <w:i/>
          <w:color w:val="auto"/>
        </w:rPr>
      </w:pPr>
    </w:p>
    <w:p w:rsidR="002E7EA1" w:rsidRPr="006E6F8C" w:rsidRDefault="002E7EA1" w:rsidP="002E7EA1">
      <w:pPr>
        <w:pStyle w:val="bekezdsek"/>
        <w:ind w:firstLine="0"/>
        <w:rPr>
          <w:i/>
          <w:color w:val="auto"/>
        </w:rPr>
      </w:pPr>
      <w:r w:rsidRPr="006E6F8C">
        <w:rPr>
          <w:i/>
          <w:color w:val="auto"/>
        </w:rPr>
        <w:t>(Az általános forgalmi adót a mindenkor érvényes adótörvény szerint kell megállapítani és megfizetni)”</w:t>
      </w:r>
    </w:p>
    <w:p w:rsidR="007C4F1E" w:rsidRPr="00310B7E" w:rsidRDefault="007C4F1E" w:rsidP="00310B7E"/>
    <w:sectPr w:rsidR="007C4F1E" w:rsidRPr="00310B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D56"/>
    <w:multiLevelType w:val="hybridMultilevel"/>
    <w:tmpl w:val="19785380"/>
    <w:lvl w:ilvl="0" w:tplc="A9FE2A0A">
      <w:start w:val="1"/>
      <w:numFmt w:val="decimal"/>
      <w:lvlText w:val="%1."/>
      <w:lvlJc w:val="left"/>
      <w:pPr>
        <w:ind w:left="3479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4199" w:hanging="360"/>
      </w:pPr>
    </w:lvl>
    <w:lvl w:ilvl="2" w:tplc="040E001B" w:tentative="1">
      <w:start w:val="1"/>
      <w:numFmt w:val="lowerRoman"/>
      <w:lvlText w:val="%3."/>
      <w:lvlJc w:val="right"/>
      <w:pPr>
        <w:ind w:left="4919" w:hanging="180"/>
      </w:pPr>
    </w:lvl>
    <w:lvl w:ilvl="3" w:tplc="040E000F" w:tentative="1">
      <w:start w:val="1"/>
      <w:numFmt w:val="decimal"/>
      <w:lvlText w:val="%4."/>
      <w:lvlJc w:val="left"/>
      <w:pPr>
        <w:ind w:left="5639" w:hanging="360"/>
      </w:pPr>
    </w:lvl>
    <w:lvl w:ilvl="4" w:tplc="040E0019" w:tentative="1">
      <w:start w:val="1"/>
      <w:numFmt w:val="lowerLetter"/>
      <w:lvlText w:val="%5."/>
      <w:lvlJc w:val="left"/>
      <w:pPr>
        <w:ind w:left="6359" w:hanging="360"/>
      </w:pPr>
    </w:lvl>
    <w:lvl w:ilvl="5" w:tplc="040E001B" w:tentative="1">
      <w:start w:val="1"/>
      <w:numFmt w:val="lowerRoman"/>
      <w:lvlText w:val="%6."/>
      <w:lvlJc w:val="right"/>
      <w:pPr>
        <w:ind w:left="7079" w:hanging="180"/>
      </w:pPr>
    </w:lvl>
    <w:lvl w:ilvl="6" w:tplc="040E000F" w:tentative="1">
      <w:start w:val="1"/>
      <w:numFmt w:val="decimal"/>
      <w:lvlText w:val="%7."/>
      <w:lvlJc w:val="left"/>
      <w:pPr>
        <w:ind w:left="7799" w:hanging="360"/>
      </w:pPr>
    </w:lvl>
    <w:lvl w:ilvl="7" w:tplc="040E0019" w:tentative="1">
      <w:start w:val="1"/>
      <w:numFmt w:val="lowerLetter"/>
      <w:lvlText w:val="%8."/>
      <w:lvlJc w:val="left"/>
      <w:pPr>
        <w:ind w:left="8519" w:hanging="360"/>
      </w:pPr>
    </w:lvl>
    <w:lvl w:ilvl="8" w:tplc="040E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5D013CAF"/>
    <w:multiLevelType w:val="hybridMultilevel"/>
    <w:tmpl w:val="E990CDFA"/>
    <w:lvl w:ilvl="0" w:tplc="30242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C7619"/>
    <w:multiLevelType w:val="hybridMultilevel"/>
    <w:tmpl w:val="3F6455FE"/>
    <w:lvl w:ilvl="0" w:tplc="DF44D140">
      <w:start w:val="3"/>
      <w:numFmt w:val="decimal"/>
      <w:lvlText w:val="%1."/>
      <w:lvlJc w:val="left"/>
      <w:pPr>
        <w:ind w:left="3839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4559" w:hanging="360"/>
      </w:pPr>
    </w:lvl>
    <w:lvl w:ilvl="2" w:tplc="040E001B" w:tentative="1">
      <w:start w:val="1"/>
      <w:numFmt w:val="lowerRoman"/>
      <w:lvlText w:val="%3."/>
      <w:lvlJc w:val="right"/>
      <w:pPr>
        <w:ind w:left="5279" w:hanging="180"/>
      </w:pPr>
    </w:lvl>
    <w:lvl w:ilvl="3" w:tplc="040E000F" w:tentative="1">
      <w:start w:val="1"/>
      <w:numFmt w:val="decimal"/>
      <w:lvlText w:val="%4."/>
      <w:lvlJc w:val="left"/>
      <w:pPr>
        <w:ind w:left="5999" w:hanging="360"/>
      </w:pPr>
    </w:lvl>
    <w:lvl w:ilvl="4" w:tplc="040E0019" w:tentative="1">
      <w:start w:val="1"/>
      <w:numFmt w:val="lowerLetter"/>
      <w:lvlText w:val="%5."/>
      <w:lvlJc w:val="left"/>
      <w:pPr>
        <w:ind w:left="6719" w:hanging="360"/>
      </w:pPr>
    </w:lvl>
    <w:lvl w:ilvl="5" w:tplc="040E001B" w:tentative="1">
      <w:start w:val="1"/>
      <w:numFmt w:val="lowerRoman"/>
      <w:lvlText w:val="%6."/>
      <w:lvlJc w:val="right"/>
      <w:pPr>
        <w:ind w:left="7439" w:hanging="180"/>
      </w:pPr>
    </w:lvl>
    <w:lvl w:ilvl="6" w:tplc="040E000F" w:tentative="1">
      <w:start w:val="1"/>
      <w:numFmt w:val="decimal"/>
      <w:lvlText w:val="%7."/>
      <w:lvlJc w:val="left"/>
      <w:pPr>
        <w:ind w:left="8159" w:hanging="360"/>
      </w:pPr>
    </w:lvl>
    <w:lvl w:ilvl="7" w:tplc="040E0019" w:tentative="1">
      <w:start w:val="1"/>
      <w:numFmt w:val="lowerLetter"/>
      <w:lvlText w:val="%8."/>
      <w:lvlJc w:val="left"/>
      <w:pPr>
        <w:ind w:left="8879" w:hanging="360"/>
      </w:pPr>
    </w:lvl>
    <w:lvl w:ilvl="8" w:tplc="040E001B" w:tentative="1">
      <w:start w:val="1"/>
      <w:numFmt w:val="lowerRoman"/>
      <w:lvlText w:val="%9."/>
      <w:lvlJc w:val="right"/>
      <w:pPr>
        <w:ind w:left="959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13B"/>
    <w:rsid w:val="002E7EA1"/>
    <w:rsid w:val="00310B7E"/>
    <w:rsid w:val="003D5374"/>
    <w:rsid w:val="003F4066"/>
    <w:rsid w:val="007C4F1E"/>
    <w:rsid w:val="00A4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E11E"/>
  <w15:chartTrackingRefBased/>
  <w15:docId w15:val="{6717E7B8-5842-4AB3-AF4A-06AE03CC7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7E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4F1E"/>
    <w:pPr>
      <w:ind w:left="720"/>
      <w:contextualSpacing/>
    </w:pPr>
  </w:style>
  <w:style w:type="paragraph" w:customStyle="1" w:styleId="bekezdsek">
    <w:name w:val="bekezdések"/>
    <w:basedOn w:val="Norml"/>
    <w:uiPriority w:val="99"/>
    <w:rsid w:val="002E7EA1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customStyle="1" w:styleId="Default">
    <w:name w:val="Default"/>
    <w:rsid w:val="002E7E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E7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Batóné dr. Mácsai Gyöngyvér</cp:lastModifiedBy>
  <cp:revision>3</cp:revision>
  <dcterms:created xsi:type="dcterms:W3CDTF">2024-11-07T09:52:00Z</dcterms:created>
  <dcterms:modified xsi:type="dcterms:W3CDTF">2024-11-13T13:30:00Z</dcterms:modified>
</cp:coreProperties>
</file>