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946272" w:rsidRDefault="00946272" w:rsidP="00946272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</w:p>
    <w:p w:rsidR="00946272" w:rsidRDefault="00946272" w:rsidP="00946272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</w:p>
    <w:p w:rsidR="00946272" w:rsidRDefault="00946272" w:rsidP="00946272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</w:p>
    <w:p w:rsidR="00946272" w:rsidRDefault="00946272" w:rsidP="00946272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</w:p>
    <w:p w:rsidR="00946272" w:rsidRDefault="00946272" w:rsidP="00946272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946272" w:rsidRDefault="00946272" w:rsidP="00946272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0F372F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0F372F">
        <w:rPr>
          <w:sz w:val="26"/>
          <w:szCs w:val="26"/>
        </w:rPr>
        <w:t xml:space="preserve">a </w:t>
      </w:r>
      <w:r w:rsidRPr="00FC44D8">
        <w:rPr>
          <w:sz w:val="26"/>
          <w:szCs w:val="26"/>
        </w:rPr>
        <w:t xml:space="preserve">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</w:t>
      </w:r>
      <w:r w:rsidR="004C2315">
        <w:rPr>
          <w:b/>
          <w:i/>
          <w:sz w:val="32"/>
        </w:rPr>
        <w:t>rzsébetvárosi Horvát</w:t>
      </w:r>
      <w:r>
        <w:rPr>
          <w:b/>
          <w:i/>
          <w:sz w:val="32"/>
        </w:rPr>
        <w:t xml:space="preserve"> Önkormányzat</w:t>
      </w: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 w:rsidRPr="00A35B67">
        <w:t xml:space="preserve"> </w:t>
      </w:r>
      <w:r>
        <w:t>15779478-1-42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Pr="00E23477">
        <w:t xml:space="preserve"> </w:t>
      </w:r>
      <w:r>
        <w:rPr>
          <w:szCs w:val="24"/>
        </w:rPr>
        <w:t>779474</w:t>
      </w:r>
    </w:p>
    <w:p w:rsidR="00946272" w:rsidRPr="00A60F4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Bencsik Katalin elnök</w:t>
      </w:r>
    </w:p>
    <w:p w:rsidR="00946272" w:rsidRPr="00A60F4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0F372F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0F372F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0F372F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946272" w:rsidRPr="00FC44D8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(együttesen:</w:t>
      </w:r>
      <w:r w:rsidR="000F372F">
        <w:rPr>
          <w:szCs w:val="24"/>
        </w:rPr>
        <w:t xml:space="preserve"> </w:t>
      </w:r>
      <w:r w:rsidRPr="00FC44D8">
        <w:rPr>
          <w:szCs w:val="24"/>
        </w:rPr>
        <w:t>Felek)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946272" w:rsidRDefault="00946272" w:rsidP="0094627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6E18B3">
        <w:rPr>
          <w:b/>
          <w:i/>
          <w:sz w:val="32"/>
          <w:szCs w:val="32"/>
        </w:rPr>
        <w:t>4</w:t>
      </w:r>
      <w:r w:rsidR="00635CC7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</w:t>
      </w:r>
      <w:r w:rsidR="006E18B3">
        <w:rPr>
          <w:b/>
          <w:i/>
          <w:sz w:val="32"/>
          <w:szCs w:val="32"/>
        </w:rPr>
        <w:t>november</w:t>
      </w:r>
      <w:r>
        <w:rPr>
          <w:b/>
          <w:i/>
          <w:sz w:val="32"/>
          <w:szCs w:val="32"/>
        </w:rPr>
        <w:t xml:space="preserve"> 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63499F">
        <w:t>Horvát</w:t>
      </w:r>
      <w:r>
        <w:t xml:space="preserve">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946272">
        <w:t>Horvát</w:t>
      </w:r>
      <w:r w:rsidR="0063499F">
        <w:t xml:space="preserve"> </w:t>
      </w:r>
      <w:r>
        <w:t xml:space="preserve">Önkormányzat </w:t>
      </w:r>
      <w:r w:rsidR="00D10D67">
        <w:t xml:space="preserve">(a </w:t>
      </w:r>
      <w:r w:rsidR="00424C27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lastRenderedPageBreak/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6E18B3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A </w:t>
      </w:r>
      <w:r w:rsidR="00D10D67">
        <w:rPr>
          <w:i w:val="0"/>
          <w:sz w:val="24"/>
          <w:szCs w:val="24"/>
        </w:rPr>
        <w:t>N</w:t>
      </w:r>
      <w:r w:rsidR="0038231B">
        <w:rPr>
          <w:i w:val="0"/>
          <w:sz w:val="24"/>
          <w:szCs w:val="24"/>
        </w:rPr>
        <w:t xml:space="preserve">emzetiségi </w:t>
      </w:r>
      <w:r w:rsidR="00D10D67">
        <w:rPr>
          <w:i w:val="0"/>
          <w:sz w:val="24"/>
          <w:szCs w:val="24"/>
        </w:rPr>
        <w:t>Ö</w:t>
      </w:r>
      <w:r w:rsidR="0038231B"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6E18B3" w:rsidRDefault="006E18B3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A50489" w:rsidRDefault="00A50489" w:rsidP="00E76153">
      <w:pPr>
        <w:ind w:left="284"/>
        <w:jc w:val="both"/>
      </w:pPr>
    </w:p>
    <w:p w:rsidR="00A50489" w:rsidRDefault="00A50489" w:rsidP="00E76153">
      <w:pPr>
        <w:ind w:left="284"/>
        <w:jc w:val="both"/>
      </w:pP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</w:t>
      </w:r>
      <w:r>
        <w:lastRenderedPageBreak/>
        <w:t>előirányzatokat érintően a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6E18B3" w:rsidP="0038231B">
      <w:pPr>
        <w:pStyle w:val="Cmsor6"/>
        <w:rPr>
          <w:szCs w:val="24"/>
        </w:rPr>
      </w:pPr>
      <w:r>
        <w:rPr>
          <w:szCs w:val="24"/>
        </w:rPr>
        <w:t xml:space="preserve">4. </w:t>
      </w:r>
      <w:r w:rsidR="00C9295C">
        <w:rPr>
          <w:szCs w:val="24"/>
        </w:rPr>
        <w:t>A k</w:t>
      </w:r>
      <w:r w:rsidR="0038231B"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B10957">
      <w:pPr>
        <w:pStyle w:val="Szvegtrzs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B10957">
      <w:pPr>
        <w:pStyle w:val="Szvegtrzs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B10957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 xml:space="preserve">Nemzetiségi Önkormányzat elnökének írásos felhatalmazását, továbbá a felhatalmazás írásos </w:t>
      </w:r>
      <w:bookmarkStart w:id="0" w:name="_GoBack"/>
      <w:bookmarkEnd w:id="0"/>
      <w:r>
        <w:t>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6E18B3">
      <w:pPr>
        <w:ind w:left="284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6E18B3">
      <w:pPr>
        <w:jc w:val="both"/>
      </w:pPr>
    </w:p>
    <w:p w:rsidR="0038231B" w:rsidRDefault="0038231B" w:rsidP="006E18B3">
      <w:pPr>
        <w:ind w:left="284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 w:rsidRPr="006E18B3">
        <w:rPr>
          <w:b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210EE3" w:rsidRDefault="00210EE3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>, továbbá a házipénztárban bonyolítja. A számla feletti rendelkezési jog a</w:t>
      </w:r>
      <w:r w:rsidR="00EB19C9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884DB6" w:rsidRPr="00063D97" w:rsidRDefault="00884DB6" w:rsidP="00884DB6">
      <w:pPr>
        <w:jc w:val="both"/>
        <w:rPr>
          <w:szCs w:val="24"/>
        </w:rPr>
      </w:pPr>
      <w:r w:rsidRPr="00063D97">
        <w:rPr>
          <w:szCs w:val="24"/>
        </w:rPr>
        <w:t>1</w:t>
      </w:r>
      <w:r>
        <w:rPr>
          <w:szCs w:val="24"/>
        </w:rPr>
        <w:t>7.</w:t>
      </w:r>
      <w:r w:rsidRPr="00063D97">
        <w:rPr>
          <w:szCs w:val="24"/>
        </w:rPr>
        <w:t xml:space="preserve">1. </w:t>
      </w:r>
      <w:proofErr w:type="gramStart"/>
      <w:r w:rsidRPr="00063D97">
        <w:rPr>
          <w:szCs w:val="24"/>
        </w:rPr>
        <w:t>A</w:t>
      </w:r>
      <w:r>
        <w:rPr>
          <w:szCs w:val="24"/>
        </w:rPr>
        <w:t>z Ö</w:t>
      </w:r>
      <w:r w:rsidRPr="00063D97">
        <w:rPr>
          <w:szCs w:val="24"/>
        </w:rPr>
        <w:t xml:space="preserve">nkormányzat a </w:t>
      </w:r>
      <w:r>
        <w:rPr>
          <w:szCs w:val="24"/>
        </w:rPr>
        <w:t>N</w:t>
      </w:r>
      <w:r w:rsidRPr="00063D97">
        <w:rPr>
          <w:szCs w:val="24"/>
        </w:rPr>
        <w:t xml:space="preserve">emzetiségi </w:t>
      </w:r>
      <w:r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</w:t>
      </w:r>
      <w:r>
        <w:rPr>
          <w:szCs w:val="24"/>
        </w:rPr>
        <w:t xml:space="preserve">nt 11. szám alatti helyiségében, 2025. január 1-jétől Budapest VII. kerület, Dohány utca 45. fszt. 13. </w:t>
      </w:r>
      <w:r w:rsidRPr="00063D97">
        <w:rPr>
          <w:szCs w:val="24"/>
        </w:rPr>
        <w:t>szám alatti helyiségében</w:t>
      </w:r>
      <w:r>
        <w:rPr>
          <w:szCs w:val="24"/>
        </w:rPr>
        <w:t>.</w:t>
      </w:r>
      <w:proofErr w:type="gramEnd"/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A50489" w:rsidRPr="005B1B52" w:rsidRDefault="00A50489" w:rsidP="0038231B">
      <w:pPr>
        <w:jc w:val="center"/>
        <w:rPr>
          <w:b/>
          <w:sz w:val="28"/>
          <w:szCs w:val="28"/>
        </w:rPr>
      </w:pP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63499F" w:rsidRDefault="00210EE3" w:rsidP="0038231B">
      <w:pPr>
        <w:pStyle w:val="Szvegtrzs2"/>
        <w:rPr>
          <w:rFonts w:ascii="Times New Roman" w:hAnsi="Times New Roman"/>
          <w:b w:val="0"/>
          <w:i w:val="0"/>
          <w:szCs w:val="24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6E18B3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6E18B3">
        <w:rPr>
          <w:rFonts w:ascii="Times New Roman" w:hAnsi="Times New Roman"/>
          <w:b w:val="0"/>
          <w:i w:val="0"/>
          <w:szCs w:val="24"/>
        </w:rPr>
        <w:t>4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6E18B3">
        <w:rPr>
          <w:rFonts w:ascii="Times New Roman" w:hAnsi="Times New Roman"/>
          <w:b w:val="0"/>
          <w:i w:val="0"/>
          <w:szCs w:val="24"/>
        </w:rPr>
        <w:t>XI…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E18B3">
        <w:rPr>
          <w:rFonts w:ascii="Times New Roman" w:hAnsi="Times New Roman"/>
          <w:b w:val="0"/>
          <w:i w:val="0"/>
          <w:szCs w:val="24"/>
        </w:rPr>
        <w:t xml:space="preserve">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0F372F">
        <w:rPr>
          <w:rFonts w:ascii="Times New Roman" w:hAnsi="Times New Roman"/>
          <w:b w:val="0"/>
          <w:i w:val="0"/>
        </w:rPr>
        <w:t>Horvát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6E18B3">
        <w:rPr>
          <w:rFonts w:ascii="Times New Roman" w:hAnsi="Times New Roman"/>
          <w:b w:val="0"/>
          <w:i w:val="0"/>
          <w:szCs w:val="24"/>
        </w:rPr>
        <w:t>….</w:t>
      </w:r>
      <w:r w:rsidR="006E18B3" w:rsidRPr="00EC184D">
        <w:rPr>
          <w:rFonts w:ascii="Times New Roman" w:hAnsi="Times New Roman"/>
          <w:b w:val="0"/>
          <w:i w:val="0"/>
          <w:szCs w:val="24"/>
        </w:rPr>
        <w:t>/202</w:t>
      </w:r>
      <w:r w:rsidR="006E18B3">
        <w:rPr>
          <w:rFonts w:ascii="Times New Roman" w:hAnsi="Times New Roman"/>
          <w:b w:val="0"/>
          <w:i w:val="0"/>
          <w:szCs w:val="24"/>
        </w:rPr>
        <w:t>4</w:t>
      </w:r>
      <w:r w:rsidR="006E18B3" w:rsidRPr="00EC184D">
        <w:rPr>
          <w:rFonts w:ascii="Times New Roman" w:hAnsi="Times New Roman"/>
          <w:b w:val="0"/>
          <w:i w:val="0"/>
          <w:szCs w:val="24"/>
        </w:rPr>
        <w:t>. (</w:t>
      </w:r>
      <w:r w:rsidR="006E18B3">
        <w:rPr>
          <w:rFonts w:ascii="Times New Roman" w:hAnsi="Times New Roman"/>
          <w:b w:val="0"/>
          <w:i w:val="0"/>
          <w:szCs w:val="24"/>
        </w:rPr>
        <w:t xml:space="preserve">XI….) </w:t>
      </w:r>
      <w:r w:rsidR="0038231B" w:rsidRPr="008C72DB">
        <w:rPr>
          <w:rFonts w:ascii="Times New Roman" w:hAnsi="Times New Roman"/>
          <w:b w:val="0"/>
          <w:i w:val="0"/>
        </w:rPr>
        <w:t xml:space="preserve">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6E18B3" w:rsidRDefault="006E18B3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</w:t>
      </w:r>
      <w:proofErr w:type="gramEnd"/>
      <w:r w:rsidRPr="000334C2">
        <w:rPr>
          <w:rFonts w:ascii="Times New Roman" w:hAnsi="Times New Roman"/>
          <w:b w:val="0"/>
          <w:i w:val="0"/>
        </w:rPr>
        <w:t xml:space="preserve">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</w:t>
      </w:r>
      <w:r w:rsidR="006E18B3">
        <w:t>4</w:t>
      </w:r>
      <w:r>
        <w:t xml:space="preserve">. </w:t>
      </w:r>
      <w:proofErr w:type="gramStart"/>
      <w:r w:rsidR="006E18B3">
        <w:t>november ….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</w:t>
      </w:r>
      <w:r w:rsidR="006E18B3">
        <w:t>4. november ….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946272" w:rsidTr="00812785">
        <w:tc>
          <w:tcPr>
            <w:tcW w:w="3602" w:type="dxa"/>
          </w:tcPr>
          <w:p w:rsidR="00946272" w:rsidRPr="00C402AE" w:rsidRDefault="00946272" w:rsidP="00946272">
            <w:pPr>
              <w:jc w:val="center"/>
              <w:rPr>
                <w:b/>
              </w:rPr>
            </w:pPr>
            <w:r>
              <w:rPr>
                <w:b/>
              </w:rPr>
              <w:t>Bencsik Katalin</w:t>
            </w:r>
          </w:p>
        </w:tc>
        <w:tc>
          <w:tcPr>
            <w:tcW w:w="1664" w:type="dxa"/>
            <w:gridSpan w:val="2"/>
          </w:tcPr>
          <w:p w:rsidR="00946272" w:rsidRDefault="00946272" w:rsidP="00946272">
            <w:pPr>
              <w:jc w:val="center"/>
            </w:pPr>
          </w:p>
        </w:tc>
        <w:tc>
          <w:tcPr>
            <w:tcW w:w="3804" w:type="dxa"/>
          </w:tcPr>
          <w:p w:rsidR="00946272" w:rsidRPr="008C72DB" w:rsidRDefault="00946272" w:rsidP="0094627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946272" w:rsidRPr="008C72DB" w:rsidTr="00812785">
        <w:tc>
          <w:tcPr>
            <w:tcW w:w="3602" w:type="dxa"/>
          </w:tcPr>
          <w:p w:rsidR="00946272" w:rsidRPr="008C72DB" w:rsidRDefault="00946272" w:rsidP="00946272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Horvát</w:t>
            </w:r>
            <w:r w:rsidRPr="008C72DB">
              <w:rPr>
                <w:i/>
              </w:rPr>
              <w:t xml:space="preserve"> Önkormányzat</w:t>
            </w:r>
          </w:p>
          <w:p w:rsidR="00946272" w:rsidRPr="008C72DB" w:rsidRDefault="00946272" w:rsidP="00946272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946272" w:rsidRPr="008C72DB" w:rsidRDefault="00946272" w:rsidP="00946272">
            <w:pPr>
              <w:jc w:val="both"/>
            </w:pPr>
          </w:p>
        </w:tc>
        <w:tc>
          <w:tcPr>
            <w:tcW w:w="3804" w:type="dxa"/>
          </w:tcPr>
          <w:p w:rsidR="00946272" w:rsidRPr="008C72DB" w:rsidRDefault="00946272" w:rsidP="00946272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946272" w:rsidRPr="008C72DB" w:rsidRDefault="00946272" w:rsidP="00946272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946272" w:rsidRPr="008C72DB" w:rsidRDefault="00946272" w:rsidP="00946272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946272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946272" w:rsidRPr="00C402AE" w:rsidRDefault="00946272" w:rsidP="00946272">
            <w:pPr>
              <w:jc w:val="center"/>
              <w:rPr>
                <w:b/>
              </w:rPr>
            </w:pP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A50489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A84" w:rsidRDefault="003E4A84">
      <w:r>
        <w:separator/>
      </w:r>
    </w:p>
  </w:endnote>
  <w:endnote w:type="continuationSeparator" w:id="0">
    <w:p w:rsidR="003E4A84" w:rsidRDefault="003E4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B10957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10957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A84" w:rsidRDefault="003E4A84">
      <w:r>
        <w:separator/>
      </w:r>
    </w:p>
  </w:footnote>
  <w:footnote w:type="continuationSeparator" w:id="0">
    <w:p w:rsidR="003E4A84" w:rsidRDefault="003E4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1208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372F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073A7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4A84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4C27"/>
    <w:rsid w:val="0042789E"/>
    <w:rsid w:val="004302A5"/>
    <w:rsid w:val="00430316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618A"/>
    <w:rsid w:val="004A7EB2"/>
    <w:rsid w:val="004B4782"/>
    <w:rsid w:val="004B672D"/>
    <w:rsid w:val="004B71E3"/>
    <w:rsid w:val="004C2315"/>
    <w:rsid w:val="004C6F3D"/>
    <w:rsid w:val="004C7EC6"/>
    <w:rsid w:val="004D1EE0"/>
    <w:rsid w:val="004D54D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3560"/>
    <w:rsid w:val="00537679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499F"/>
    <w:rsid w:val="00635331"/>
    <w:rsid w:val="00635CC7"/>
    <w:rsid w:val="00635CF6"/>
    <w:rsid w:val="00636EE2"/>
    <w:rsid w:val="00637123"/>
    <w:rsid w:val="00640031"/>
    <w:rsid w:val="00645683"/>
    <w:rsid w:val="006510C3"/>
    <w:rsid w:val="00652A5D"/>
    <w:rsid w:val="0066052C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18B3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07CF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4DB6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6272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0489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0957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03FA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17B99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1391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6BBA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45B154F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CD023-7068-4AA4-8DF4-C8176FAFC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3570</Words>
  <Characters>27680</Characters>
  <Application>Microsoft Office Word</Application>
  <DocSecurity>0</DocSecurity>
  <Lines>230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Németh György</cp:lastModifiedBy>
  <cp:revision>9</cp:revision>
  <cp:lastPrinted>2022-01-25T10:14:00Z</cp:lastPrinted>
  <dcterms:created xsi:type="dcterms:W3CDTF">2023-12-11T07:54:00Z</dcterms:created>
  <dcterms:modified xsi:type="dcterms:W3CDTF">2024-11-07T10:18:00Z</dcterms:modified>
</cp:coreProperties>
</file>