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F9588F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F9588F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Örmény Nemzetiségi Önkormányzat</w:t>
      </w: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96262" w:rsidRPr="00FC44D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A96262" w:rsidRPr="00C36F47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="00C36F47">
        <w:rPr>
          <w:szCs w:val="24"/>
        </w:rPr>
        <w:t xml:space="preserve"> </w:t>
      </w:r>
      <w:r w:rsidR="00C36F47" w:rsidRPr="00C36F47">
        <w:rPr>
          <w:shd w:val="clear" w:color="auto" w:fill="FFFFFF"/>
        </w:rPr>
        <w:t>15779526-1-42</w:t>
      </w:r>
    </w:p>
    <w:p w:rsidR="00A96262" w:rsidRPr="00FC44D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Pr="00684F02">
        <w:t xml:space="preserve"> </w:t>
      </w:r>
      <w:r w:rsidRPr="00684F02">
        <w:rPr>
          <w:szCs w:val="24"/>
        </w:rPr>
        <w:t>779528</w:t>
      </w:r>
    </w:p>
    <w:p w:rsidR="00A96262" w:rsidRPr="00A60F4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Ghorkhmazyan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Gayane</w:t>
      </w:r>
      <w:proofErr w:type="spellEnd"/>
      <w:r>
        <w:rPr>
          <w:sz w:val="26"/>
          <w:szCs w:val="26"/>
        </w:rPr>
        <w:t xml:space="preserve"> elnök</w:t>
      </w:r>
    </w:p>
    <w:p w:rsidR="00A96262" w:rsidRPr="00A60F48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F9588F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F9588F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F9588F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0451D6" w:rsidRDefault="00A96262" w:rsidP="00A9626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C457ED">
        <w:rPr>
          <w:b/>
          <w:i/>
          <w:sz w:val="32"/>
          <w:szCs w:val="32"/>
        </w:rPr>
        <w:t>4</w:t>
      </w:r>
      <w:r w:rsidR="004558BD">
        <w:rPr>
          <w:b/>
          <w:i/>
          <w:sz w:val="32"/>
          <w:szCs w:val="32"/>
        </w:rPr>
        <w:t>.</w:t>
      </w:r>
      <w:r w:rsidR="00C457ED">
        <w:rPr>
          <w:b/>
          <w:i/>
          <w:sz w:val="32"/>
          <w:szCs w:val="32"/>
        </w:rPr>
        <w:t xml:space="preserve"> november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A96262">
        <w:t>Örmény</w:t>
      </w:r>
      <w:r w:rsidR="00877930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A96262">
        <w:t>Örmény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877930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C457ED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  <w:r w:rsidR="00C457ED">
        <w:t>.</w:t>
      </w:r>
    </w:p>
    <w:p w:rsidR="00C457ED" w:rsidRDefault="00C457ED" w:rsidP="00E76153">
      <w:pPr>
        <w:ind w:left="284"/>
        <w:jc w:val="both"/>
      </w:pPr>
    </w:p>
    <w:p w:rsidR="00C457ED" w:rsidRDefault="00C457ED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</w:p>
    <w:p w:rsidR="0038231B" w:rsidRDefault="0038231B" w:rsidP="00C457ED">
      <w:pPr>
        <w:autoSpaceDE w:val="0"/>
        <w:autoSpaceDN w:val="0"/>
        <w:adjustRightInd w:val="0"/>
        <w:ind w:left="284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</w:t>
      </w:r>
      <w:r>
        <w:lastRenderedPageBreak/>
        <w:t>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C457ED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C457ED">
      <w:pPr>
        <w:ind w:left="993" w:firstLine="283"/>
        <w:jc w:val="center"/>
        <w:rPr>
          <w:b/>
          <w:sz w:val="28"/>
        </w:rPr>
      </w:pPr>
    </w:p>
    <w:p w:rsidR="0038231B" w:rsidRDefault="0038231B" w:rsidP="00C457ED">
      <w:pPr>
        <w:pStyle w:val="Szvegtrzs"/>
        <w:ind w:firstLine="283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C457ED">
      <w:pPr>
        <w:pStyle w:val="Szvegtrzs"/>
        <w:ind w:firstLine="283"/>
      </w:pPr>
    </w:p>
    <w:p w:rsidR="0038231B" w:rsidRDefault="0038231B" w:rsidP="00C457ED">
      <w:pPr>
        <w:pStyle w:val="Szvegtrzs"/>
        <w:ind w:firstLine="283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C457ED">
      <w:pPr>
        <w:pStyle w:val="Szvegtrzs"/>
        <w:ind w:firstLine="283"/>
      </w:pPr>
    </w:p>
    <w:p w:rsidR="0038231B" w:rsidRDefault="0038231B" w:rsidP="00C457ED">
      <w:pPr>
        <w:pStyle w:val="Szvegtrzs"/>
        <w:ind w:firstLine="283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C457ED">
      <w:pPr>
        <w:pStyle w:val="Szvegtrzs"/>
        <w:ind w:firstLine="283"/>
      </w:pPr>
    </w:p>
    <w:p w:rsidR="0038231B" w:rsidRDefault="0038231B" w:rsidP="00C457ED">
      <w:pPr>
        <w:pStyle w:val="Szvegtrzs"/>
        <w:ind w:firstLine="283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C457ED">
      <w:pPr>
        <w:pStyle w:val="Szvegtrzs"/>
        <w:ind w:firstLine="283"/>
      </w:pPr>
    </w:p>
    <w:p w:rsidR="0038231B" w:rsidRDefault="0038231B" w:rsidP="00C457ED">
      <w:pPr>
        <w:pStyle w:val="Szvegtrzs"/>
        <w:ind w:firstLine="283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C457ED">
      <w:pPr>
        <w:pStyle w:val="Szvegtrzs"/>
        <w:ind w:firstLine="283"/>
      </w:pPr>
    </w:p>
    <w:p w:rsidR="0038231B" w:rsidRDefault="0038231B" w:rsidP="00C457ED">
      <w:pPr>
        <w:ind w:firstLine="283"/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C457ED" w:rsidRDefault="00C457ED" w:rsidP="0038231B">
      <w:pPr>
        <w:pStyle w:val="Szvegtrzs"/>
        <w:rPr>
          <w:b/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C457ED" w:rsidRDefault="00C457ED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>, továbbá a házipénztárban bonyolítja. A számla feletti rendelkezési jog a</w:t>
      </w:r>
      <w:r w:rsidR="00EB19C9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C457ED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C457ED" w:rsidRDefault="00C457ED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3809D9" w:rsidRPr="00063D97" w:rsidRDefault="003809D9" w:rsidP="003809D9">
      <w:pPr>
        <w:jc w:val="both"/>
        <w:rPr>
          <w:szCs w:val="24"/>
        </w:rPr>
      </w:pPr>
      <w:bookmarkStart w:id="0" w:name="_GoBack"/>
      <w:bookmarkEnd w:id="0"/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 xml:space="preserve">Képviselő-testületének </w:t>
      </w:r>
      <w:r w:rsidR="00C457ED">
        <w:rPr>
          <w:rFonts w:ascii="Times New Roman" w:hAnsi="Times New Roman"/>
          <w:b w:val="0"/>
          <w:i w:val="0"/>
          <w:szCs w:val="24"/>
        </w:rPr>
        <w:t>….</w:t>
      </w:r>
      <w:proofErr w:type="gramEnd"/>
      <w:r w:rsidR="0087205F" w:rsidRPr="0087205F">
        <w:rPr>
          <w:rFonts w:ascii="Times New Roman" w:hAnsi="Times New Roman"/>
          <w:b w:val="0"/>
          <w:i w:val="0"/>
          <w:szCs w:val="24"/>
        </w:rPr>
        <w:t>/</w:t>
      </w:r>
      <w:r w:rsidR="0067179A" w:rsidRPr="0087205F">
        <w:rPr>
          <w:rFonts w:ascii="Times New Roman" w:hAnsi="Times New Roman"/>
          <w:b w:val="0"/>
          <w:i w:val="0"/>
          <w:szCs w:val="24"/>
        </w:rPr>
        <w:t>202</w:t>
      </w:r>
      <w:r w:rsidR="00C457ED">
        <w:rPr>
          <w:rFonts w:ascii="Times New Roman" w:hAnsi="Times New Roman"/>
          <w:b w:val="0"/>
          <w:i w:val="0"/>
          <w:szCs w:val="24"/>
        </w:rPr>
        <w:t>4</w:t>
      </w:r>
      <w:r w:rsidR="0067179A" w:rsidRPr="0087205F">
        <w:rPr>
          <w:rFonts w:ascii="Times New Roman" w:hAnsi="Times New Roman"/>
          <w:b w:val="0"/>
          <w:i w:val="0"/>
          <w:szCs w:val="24"/>
        </w:rPr>
        <w:t>. (</w:t>
      </w:r>
      <w:r w:rsidR="00C457ED">
        <w:rPr>
          <w:rFonts w:ascii="Times New Roman" w:hAnsi="Times New Roman"/>
          <w:b w:val="0"/>
          <w:i w:val="0"/>
          <w:szCs w:val="24"/>
        </w:rPr>
        <w:t>XI. …</w:t>
      </w:r>
      <w:r w:rsidR="00451348" w:rsidRPr="0087205F">
        <w:rPr>
          <w:rFonts w:ascii="Times New Roman" w:hAnsi="Times New Roman"/>
          <w:b w:val="0"/>
          <w:i w:val="0"/>
          <w:szCs w:val="24"/>
        </w:rPr>
        <w:t>)</w:t>
      </w:r>
      <w:r w:rsidR="0087205F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F9588F">
        <w:rPr>
          <w:rFonts w:ascii="Times New Roman" w:hAnsi="Times New Roman"/>
          <w:b w:val="0"/>
          <w:i w:val="0"/>
        </w:rPr>
        <w:t>Örmé</w:t>
      </w:r>
      <w:r w:rsidR="00476E9F">
        <w:rPr>
          <w:rFonts w:ascii="Times New Roman" w:hAnsi="Times New Roman"/>
          <w:b w:val="0"/>
          <w:i w:val="0"/>
        </w:rPr>
        <w:t>ny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C457ED">
        <w:rPr>
          <w:rFonts w:ascii="Times New Roman" w:hAnsi="Times New Roman"/>
          <w:b w:val="0"/>
          <w:i w:val="0"/>
          <w:szCs w:val="24"/>
        </w:rPr>
        <w:t>….</w:t>
      </w:r>
      <w:r w:rsidR="00C457ED" w:rsidRPr="0087205F">
        <w:rPr>
          <w:rFonts w:ascii="Times New Roman" w:hAnsi="Times New Roman"/>
          <w:b w:val="0"/>
          <w:i w:val="0"/>
          <w:szCs w:val="24"/>
        </w:rPr>
        <w:t>/202</w:t>
      </w:r>
      <w:r w:rsidR="00C457ED">
        <w:rPr>
          <w:rFonts w:ascii="Times New Roman" w:hAnsi="Times New Roman"/>
          <w:b w:val="0"/>
          <w:i w:val="0"/>
          <w:szCs w:val="24"/>
        </w:rPr>
        <w:t>4</w:t>
      </w:r>
      <w:r w:rsidR="00C457ED" w:rsidRPr="0087205F">
        <w:rPr>
          <w:rFonts w:ascii="Times New Roman" w:hAnsi="Times New Roman"/>
          <w:b w:val="0"/>
          <w:i w:val="0"/>
          <w:szCs w:val="24"/>
        </w:rPr>
        <w:t>. (</w:t>
      </w:r>
      <w:r w:rsidR="00C457ED">
        <w:rPr>
          <w:rFonts w:ascii="Times New Roman" w:hAnsi="Times New Roman"/>
          <w:b w:val="0"/>
          <w:i w:val="0"/>
          <w:szCs w:val="24"/>
        </w:rPr>
        <w:t>XI. …</w:t>
      </w:r>
      <w:r w:rsidR="00C457ED" w:rsidRPr="0087205F">
        <w:rPr>
          <w:rFonts w:ascii="Times New Roman" w:hAnsi="Times New Roman"/>
          <w:b w:val="0"/>
          <w:i w:val="0"/>
          <w:szCs w:val="24"/>
        </w:rPr>
        <w:t>)</w:t>
      </w:r>
      <w:r w:rsidR="00C457ED">
        <w:rPr>
          <w:rFonts w:ascii="Times New Roman" w:hAnsi="Times New Roman"/>
          <w:b w:val="0"/>
          <w:i w:val="0"/>
          <w:szCs w:val="24"/>
        </w:rPr>
        <w:t xml:space="preserve"> </w:t>
      </w:r>
      <w:r w:rsidR="0038231B" w:rsidRPr="008C72DB">
        <w:rPr>
          <w:rFonts w:ascii="Times New Roman" w:hAnsi="Times New Roman"/>
          <w:b w:val="0"/>
          <w:i w:val="0"/>
        </w:rPr>
        <w:t xml:space="preserve">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87205F" w:rsidRDefault="0087205F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C457ED">
        <w:t>4. november</w:t>
      </w:r>
      <w:proofErr w:type="gramStart"/>
      <w:r w:rsidR="00C457ED">
        <w:t>….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</w:t>
      </w:r>
      <w:r w:rsidR="00C457ED">
        <w:t>4. november 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A96262" w:rsidTr="00812785">
        <w:tc>
          <w:tcPr>
            <w:tcW w:w="3602" w:type="dxa"/>
          </w:tcPr>
          <w:p w:rsidR="00A96262" w:rsidRPr="00C402AE" w:rsidRDefault="00A96262" w:rsidP="00A9626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Ghorkhmazyan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Gayane</w:t>
            </w:r>
            <w:proofErr w:type="spellEnd"/>
          </w:p>
        </w:tc>
        <w:tc>
          <w:tcPr>
            <w:tcW w:w="1664" w:type="dxa"/>
            <w:gridSpan w:val="2"/>
          </w:tcPr>
          <w:p w:rsidR="00A96262" w:rsidRDefault="00A96262" w:rsidP="00A96262">
            <w:pPr>
              <w:jc w:val="center"/>
            </w:pPr>
          </w:p>
        </w:tc>
        <w:tc>
          <w:tcPr>
            <w:tcW w:w="3804" w:type="dxa"/>
          </w:tcPr>
          <w:p w:rsidR="00A96262" w:rsidRPr="008C72DB" w:rsidRDefault="00A96262" w:rsidP="00A9626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A96262" w:rsidRPr="008C72DB" w:rsidTr="00812785">
        <w:tc>
          <w:tcPr>
            <w:tcW w:w="3602" w:type="dxa"/>
          </w:tcPr>
          <w:p w:rsidR="00A96262" w:rsidRPr="008C72DB" w:rsidRDefault="00A96262" w:rsidP="00A96262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t xml:space="preserve">Örmény </w:t>
            </w:r>
            <w:r w:rsidRPr="008C72DB">
              <w:rPr>
                <w:i/>
              </w:rPr>
              <w:t>Nemzetiségi Önkormányzat</w:t>
            </w:r>
          </w:p>
          <w:p w:rsidR="00A96262" w:rsidRPr="008C72DB" w:rsidRDefault="00A96262" w:rsidP="00A96262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A96262" w:rsidRPr="008C72DB" w:rsidRDefault="00A96262" w:rsidP="00A96262">
            <w:pPr>
              <w:jc w:val="both"/>
            </w:pPr>
          </w:p>
        </w:tc>
        <w:tc>
          <w:tcPr>
            <w:tcW w:w="3804" w:type="dxa"/>
          </w:tcPr>
          <w:p w:rsidR="00A96262" w:rsidRPr="008C72DB" w:rsidRDefault="00A96262" w:rsidP="00A96262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A96262" w:rsidRPr="008C72DB" w:rsidRDefault="00A96262" w:rsidP="00A96262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A96262" w:rsidRPr="008C72DB" w:rsidRDefault="00A96262" w:rsidP="00A96262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E11A86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DDC" w:rsidRDefault="00506DDC">
      <w:r>
        <w:separator/>
      </w:r>
    </w:p>
  </w:endnote>
  <w:endnote w:type="continuationSeparator" w:id="0">
    <w:p w:rsidR="00506DDC" w:rsidRDefault="0050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3809D9">
      <w:rPr>
        <w:rStyle w:val="Oldalszm"/>
        <w:noProof/>
        <w:sz w:val="20"/>
      </w:rPr>
      <w:t>11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809D9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DDC" w:rsidRDefault="00506DDC">
      <w:r>
        <w:separator/>
      </w:r>
    </w:p>
  </w:footnote>
  <w:footnote w:type="continuationSeparator" w:id="0">
    <w:p w:rsidR="00506DDC" w:rsidRDefault="00506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09D9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8BD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6DDC"/>
    <w:rsid w:val="00507E14"/>
    <w:rsid w:val="00514081"/>
    <w:rsid w:val="0052202F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40E60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31EB"/>
    <w:rsid w:val="00825862"/>
    <w:rsid w:val="00833352"/>
    <w:rsid w:val="00833BD8"/>
    <w:rsid w:val="00834AAF"/>
    <w:rsid w:val="00840030"/>
    <w:rsid w:val="00840514"/>
    <w:rsid w:val="0084264A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05F"/>
    <w:rsid w:val="00872367"/>
    <w:rsid w:val="00877930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96262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47F09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36F47"/>
    <w:rsid w:val="00C402AE"/>
    <w:rsid w:val="00C44672"/>
    <w:rsid w:val="00C454BB"/>
    <w:rsid w:val="00C457ED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4A0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1A86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5AB4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65BC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588F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2E6F7F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53A7B-21F4-4A69-BC83-48566365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3575</Words>
  <Characters>27738</Characters>
  <Application>Microsoft Office Word</Application>
  <DocSecurity>0</DocSecurity>
  <Lines>231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5</cp:revision>
  <cp:lastPrinted>2022-01-25T10:14:00Z</cp:lastPrinted>
  <dcterms:created xsi:type="dcterms:W3CDTF">2023-12-11T07:55:00Z</dcterms:created>
  <dcterms:modified xsi:type="dcterms:W3CDTF">2024-11-07T10:12:00Z</dcterms:modified>
</cp:coreProperties>
</file>